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B16" w:rsidRDefault="000F4B16" w:rsidP="000F4B16">
      <w:pPr>
        <w:pStyle w:val="Nadpis2"/>
        <w:numPr>
          <w:ilvl w:val="0"/>
          <w:numId w:val="0"/>
        </w:numPr>
      </w:pPr>
      <w:bookmarkStart w:id="0" w:name="_Toc390179906"/>
      <w:r>
        <w:t xml:space="preserve">Příloha č. II: </w:t>
      </w:r>
      <w:r w:rsidRPr="004D0D1E">
        <w:t>Dokumentace o posouzení použitelnosti a plnění předběžných podmínek</w:t>
      </w:r>
      <w:bookmarkEnd w:id="0"/>
    </w:p>
    <w:p w:rsidR="000F4B16" w:rsidRDefault="000F4B16" w:rsidP="000F4B16">
      <w:pPr>
        <w:pStyle w:val="Standardntext"/>
      </w:pPr>
      <w:r>
        <w:t xml:space="preserve">Následující informace jsou doplněním tabulek 24 a 26, neboť tyto tabulky v oddíle 9 podléhají limitům na maximální počet znaků daným </w:t>
      </w:r>
      <w:r w:rsidRPr="00C03F95">
        <w:t>prováděcím nařízením Komise (EU) č. 288/2014</w:t>
      </w:r>
      <w:r>
        <w:t>.</w:t>
      </w:r>
    </w:p>
    <w:p w:rsidR="000F4B16" w:rsidRDefault="000F4B16" w:rsidP="000F4B16">
      <w:pPr>
        <w:pStyle w:val="Standardntext"/>
      </w:pPr>
    </w:p>
    <w:p w:rsidR="000F4B16" w:rsidRDefault="000F4B16" w:rsidP="000F4B16">
      <w:pPr>
        <w:pStyle w:val="Standardntext"/>
        <w:rPr>
          <w:b/>
        </w:rPr>
      </w:pPr>
      <w:r w:rsidRPr="00A8657F">
        <w:rPr>
          <w:b/>
        </w:rPr>
        <w:t>Doplnění tab. 24: Určení příslušných předběžných pod</w:t>
      </w:r>
      <w:r>
        <w:rPr>
          <w:b/>
        </w:rPr>
        <w:t>mínek a posouzení jejich plnění</w:t>
      </w:r>
    </w:p>
    <w:p w:rsidR="000F4B16" w:rsidRPr="00A8657F" w:rsidRDefault="000F4B16" w:rsidP="000F4B16">
      <w:pPr>
        <w:pStyle w:val="Standardntext"/>
        <w:keepNext/>
        <w:keepLines/>
        <w:shd w:val="clear" w:color="auto" w:fill="95B3D7"/>
        <w:rPr>
          <w:b/>
        </w:rPr>
      </w:pPr>
      <w:r w:rsidRPr="00A8657F">
        <w:rPr>
          <w:b/>
        </w:rPr>
        <w:t xml:space="preserve">Předběžná podmínka: </w:t>
      </w:r>
      <w:r w:rsidRPr="00A8657F">
        <w:rPr>
          <w:color w:val="000000"/>
        </w:rPr>
        <w:t>Existence opatření pro účinné uplatňování právních předpisů Unie o veřejných zakázkách v oblasti fondů ESI</w:t>
      </w:r>
    </w:p>
    <w:p w:rsidR="006A4C5C" w:rsidRDefault="000F4B16" w:rsidP="000F4B16">
      <w:pPr>
        <w:pStyle w:val="Standardntext"/>
        <w:shd w:val="clear" w:color="auto" w:fill="B8CCE4"/>
        <w:rPr>
          <w:b/>
        </w:rPr>
      </w:pPr>
      <w:r w:rsidRPr="00A8657F">
        <w:rPr>
          <w:b/>
        </w:rPr>
        <w:t xml:space="preserve">Kritérium: </w:t>
      </w:r>
    </w:p>
    <w:p w:rsidR="006A4C5C" w:rsidRDefault="006A4C5C" w:rsidP="000F4B16">
      <w:pPr>
        <w:pStyle w:val="Standardntext"/>
        <w:shd w:val="clear" w:color="auto" w:fill="B8CCE4"/>
        <w:rPr>
          <w:b/>
        </w:rPr>
      </w:pPr>
      <w:r>
        <w:t>Opatření pro účinné uplatňování předpisů Unie o veřejných zakázkách prostřednictvím odpovídajících mechanismů.</w:t>
      </w:r>
    </w:p>
    <w:p w:rsidR="000F4B16" w:rsidRDefault="000F4B16" w:rsidP="000F4B16">
      <w:pPr>
        <w:pStyle w:val="Standardntext"/>
        <w:shd w:val="clear" w:color="auto" w:fill="B8CCE4"/>
        <w:rPr>
          <w:rFonts w:cs="Times New Roman"/>
          <w:color w:val="000000"/>
        </w:rPr>
      </w:pPr>
      <w:r w:rsidRPr="00A8657F">
        <w:rPr>
          <w:rFonts w:cs="Times New Roman"/>
          <w:color w:val="000000"/>
        </w:rPr>
        <w:t>Opatření, jež zajišťují transparentní postupy zadávání veřejných zakázek.</w:t>
      </w:r>
    </w:p>
    <w:p w:rsidR="006A4C5C" w:rsidRPr="006A4C5C" w:rsidRDefault="006A4C5C" w:rsidP="000F4B16">
      <w:pPr>
        <w:pStyle w:val="Standardntext"/>
        <w:shd w:val="clear" w:color="auto" w:fill="B8CCE4"/>
        <w:rPr>
          <w:rFonts w:cs="Times New Roman"/>
          <w:color w:val="000000"/>
        </w:rPr>
      </w:pPr>
      <w:r>
        <w:rPr>
          <w:rFonts w:cs="Times New Roman"/>
          <w:color w:val="000000"/>
        </w:rPr>
        <w:t>Opatření pro odbornou přípravu a šíření informací pro zaměstnance podílející se na provádění fondů ESI.</w:t>
      </w:r>
    </w:p>
    <w:p w:rsidR="009916CD" w:rsidRDefault="000F4B16" w:rsidP="00A20210">
      <w:pPr>
        <w:pStyle w:val="Standardntext"/>
        <w:shd w:val="clear" w:color="auto" w:fill="DBE5F1"/>
        <w:rPr>
          <w:b/>
        </w:rPr>
      </w:pPr>
      <w:r w:rsidRPr="00A8657F">
        <w:rPr>
          <w:b/>
        </w:rPr>
        <w:t xml:space="preserve">Vysvětlení: </w:t>
      </w:r>
    </w:p>
    <w:p w:rsidR="009916CD" w:rsidRPr="004E15C5" w:rsidRDefault="009916CD" w:rsidP="009916CD">
      <w:pPr>
        <w:pStyle w:val="Standardntext"/>
        <w:shd w:val="clear" w:color="auto" w:fill="DBE5F1"/>
        <w:spacing w:after="0"/>
      </w:pPr>
      <w:r w:rsidRPr="004E15C5">
        <w:t xml:space="preserve">Správný postup při zadávání veřejných zakázek je součástí </w:t>
      </w:r>
      <w:r w:rsidR="003B7FF3" w:rsidRPr="004E15C5">
        <w:t xml:space="preserve">Příručky </w:t>
      </w:r>
      <w:r w:rsidRPr="004E15C5">
        <w:t>pro žadatele, která j</w:t>
      </w:r>
      <w:r w:rsidR="0000552A" w:rsidRPr="004E15C5">
        <w:t>e</w:t>
      </w:r>
      <w:r w:rsidRPr="004E15C5">
        <w:t xml:space="preserve"> průběžně aktualizována. Tato </w:t>
      </w:r>
      <w:r w:rsidR="003B7FF3" w:rsidRPr="004E15C5">
        <w:t>P</w:t>
      </w:r>
      <w:r w:rsidRPr="004E15C5">
        <w:t>říručka obsahuj</w:t>
      </w:r>
      <w:r w:rsidR="003B7FF3" w:rsidRPr="004E15C5">
        <w:t>e</w:t>
      </w:r>
      <w:r w:rsidRPr="004E15C5">
        <w:t xml:space="preserve"> výčet nejčastějších porušení a doporučení jak jim předcházet. Počítá se s jej</w:t>
      </w:r>
      <w:r w:rsidR="0000552A" w:rsidRPr="004E15C5">
        <w:t>í</w:t>
      </w:r>
      <w:r w:rsidRPr="004E15C5">
        <w:t xml:space="preserve"> průběžnou aktualizací na základě zkušeností z praxe a závěrů auditů.</w:t>
      </w:r>
    </w:p>
    <w:p w:rsidR="0000552A" w:rsidRPr="004E15C5" w:rsidRDefault="0000552A" w:rsidP="0000552A">
      <w:pPr>
        <w:pStyle w:val="Standardntext"/>
        <w:shd w:val="clear" w:color="auto" w:fill="DBE5F1"/>
        <w:spacing w:after="0"/>
      </w:pPr>
      <w:r w:rsidRPr="004E15C5">
        <w:t xml:space="preserve">Příručky pro žadatele jsou zveřejňovány na internetových stránkách zprostředkujícího subjektu (v předchozích programových obdobích agentura </w:t>
      </w:r>
      <w:proofErr w:type="spellStart"/>
      <w:r w:rsidRPr="004E15C5">
        <w:t>CzechInvest</w:t>
      </w:r>
      <w:proofErr w:type="spellEnd"/>
      <w:r w:rsidRPr="004E15C5">
        <w:t>).</w:t>
      </w:r>
    </w:p>
    <w:p w:rsidR="009916CD" w:rsidRPr="004E15C5" w:rsidRDefault="00400236" w:rsidP="009916CD">
      <w:pPr>
        <w:pStyle w:val="Standardntext"/>
        <w:shd w:val="clear" w:color="auto" w:fill="DBE5F1"/>
        <w:spacing w:after="0"/>
      </w:pPr>
      <w:hyperlink r:id="rId9" w:history="1">
        <w:r w:rsidR="009916CD" w:rsidRPr="004E15C5">
          <w:rPr>
            <w:rStyle w:val="Hypertextovodkaz"/>
          </w:rPr>
          <w:t>http://www.czechinvest.org/data/files/pokyny-k-uspusne-realizaci-vyburoveho-rizeni-na-dodavatele-cerven-2014-3814.pdf</w:t>
        </w:r>
      </w:hyperlink>
      <w:r w:rsidR="009916CD" w:rsidRPr="004E15C5">
        <w:t>.</w:t>
      </w:r>
    </w:p>
    <w:p w:rsidR="009916CD" w:rsidRPr="004E15C5" w:rsidRDefault="009916CD" w:rsidP="009916CD">
      <w:pPr>
        <w:pStyle w:val="Standardntext"/>
        <w:shd w:val="clear" w:color="auto" w:fill="DBE5F1"/>
        <w:spacing w:after="0"/>
      </w:pPr>
      <w:r w:rsidRPr="004E15C5">
        <w:t>Zprostředkující subjekt vede evidenci dotazů žadatelů a odpovědí na ně prostřednictvím nástroje FAQ (</w:t>
      </w:r>
      <w:proofErr w:type="spellStart"/>
      <w:r w:rsidRPr="004E15C5">
        <w:t>Frequently</w:t>
      </w:r>
      <w:proofErr w:type="spellEnd"/>
      <w:r w:rsidRPr="004E15C5">
        <w:t xml:space="preserve"> </w:t>
      </w:r>
      <w:proofErr w:type="spellStart"/>
      <w:r w:rsidRPr="004E15C5">
        <w:t>Asked</w:t>
      </w:r>
      <w:proofErr w:type="spellEnd"/>
      <w:r w:rsidRPr="004E15C5">
        <w:t xml:space="preserve"> </w:t>
      </w:r>
      <w:proofErr w:type="spellStart"/>
      <w:r w:rsidRPr="004E15C5">
        <w:t>Questions</w:t>
      </w:r>
      <w:proofErr w:type="spellEnd"/>
      <w:r w:rsidRPr="004E15C5">
        <w:t>):</w:t>
      </w:r>
    </w:p>
    <w:p w:rsidR="009916CD" w:rsidRPr="004E15C5" w:rsidRDefault="00400236" w:rsidP="009916CD">
      <w:pPr>
        <w:pStyle w:val="Standardntext"/>
        <w:shd w:val="clear" w:color="auto" w:fill="DBE5F1"/>
        <w:spacing w:after="0"/>
      </w:pPr>
      <w:hyperlink r:id="rId10" w:history="1">
        <w:r w:rsidR="009916CD" w:rsidRPr="004E15C5">
          <w:rPr>
            <w:rStyle w:val="Hypertextovodkaz"/>
          </w:rPr>
          <w:t>http://www.czechinvest.org/vyber-dodavatele-v-oppi-000</w:t>
        </w:r>
      </w:hyperlink>
      <w:r w:rsidR="009916CD" w:rsidRPr="004E15C5">
        <w:t xml:space="preserve">. </w:t>
      </w:r>
    </w:p>
    <w:p w:rsidR="009916CD" w:rsidRPr="004E15C5" w:rsidRDefault="0000552A" w:rsidP="009916CD">
      <w:pPr>
        <w:pStyle w:val="Standardntext"/>
        <w:shd w:val="clear" w:color="auto" w:fill="DBE5F1"/>
        <w:spacing w:after="0"/>
      </w:pPr>
      <w:r w:rsidRPr="004E15C5">
        <w:t xml:space="preserve">Je </w:t>
      </w:r>
      <w:r w:rsidR="009916CD" w:rsidRPr="004E15C5">
        <w:t xml:space="preserve">také </w:t>
      </w:r>
      <w:r w:rsidRPr="004E15C5">
        <w:t>v</w:t>
      </w:r>
      <w:r w:rsidR="004E15C5">
        <w:t> </w:t>
      </w:r>
      <w:r w:rsidRPr="004E15C5">
        <w:t>provozu</w:t>
      </w:r>
      <w:r w:rsidR="004E15C5">
        <w:t xml:space="preserve"> </w:t>
      </w:r>
      <w:r w:rsidR="009916CD" w:rsidRPr="004E15C5">
        <w:t>Zelen</w:t>
      </w:r>
      <w:r w:rsidRPr="004E15C5">
        <w:t>á</w:t>
      </w:r>
      <w:r w:rsidR="009916CD" w:rsidRPr="004E15C5">
        <w:t xml:space="preserve"> (bezplatn</w:t>
      </w:r>
      <w:r w:rsidRPr="004E15C5">
        <w:t>á</w:t>
      </w:r>
      <w:r w:rsidR="009916CD" w:rsidRPr="004E15C5">
        <w:t>) link</w:t>
      </w:r>
      <w:r w:rsidRPr="004E15C5">
        <w:t>a</w:t>
      </w:r>
      <w:r w:rsidR="009916CD" w:rsidRPr="004E15C5">
        <w:t xml:space="preserve">, kde </w:t>
      </w:r>
      <w:r w:rsidRPr="004E15C5">
        <w:t>je možno</w:t>
      </w:r>
      <w:r w:rsidR="009916CD" w:rsidRPr="004E15C5">
        <w:t xml:space="preserve"> zodpovídat okamžité dotazy žadatelů.</w:t>
      </w:r>
    </w:p>
    <w:p w:rsidR="009916CD" w:rsidRPr="004E15C5" w:rsidRDefault="009916CD" w:rsidP="009916CD">
      <w:pPr>
        <w:pStyle w:val="Standardntext"/>
        <w:shd w:val="clear" w:color="auto" w:fill="DBE5F1"/>
        <w:spacing w:after="0"/>
      </w:pPr>
      <w:r w:rsidRPr="004E15C5">
        <w:t xml:space="preserve">Dotazy žadatelů jsou pravidelně vyhodnocovány a zohledněny při aktualizaci </w:t>
      </w:r>
      <w:r w:rsidR="003B7FF3" w:rsidRPr="004E15C5">
        <w:t xml:space="preserve">Příručky </w:t>
      </w:r>
      <w:r w:rsidRPr="004E15C5">
        <w:t>pro žadatele.</w:t>
      </w:r>
    </w:p>
    <w:p w:rsidR="009916CD" w:rsidRDefault="009916CD" w:rsidP="009916CD">
      <w:pPr>
        <w:pStyle w:val="Standardntext"/>
        <w:shd w:val="clear" w:color="auto" w:fill="DBE5F1"/>
        <w:spacing w:after="0"/>
      </w:pPr>
      <w:r w:rsidRPr="004E15C5">
        <w:t>Tato praxe je zavedena již z předchozích programovacích období a bude pokračovat i v rámci implementace OP PIK.</w:t>
      </w:r>
    </w:p>
    <w:p w:rsidR="009916CD" w:rsidRDefault="009916CD" w:rsidP="009916CD">
      <w:pPr>
        <w:pStyle w:val="Standardntext"/>
        <w:shd w:val="clear" w:color="auto" w:fill="DBE5F1"/>
        <w:spacing w:after="0"/>
      </w:pPr>
    </w:p>
    <w:p w:rsidR="00A20210" w:rsidRPr="00240FA5" w:rsidRDefault="00A20210" w:rsidP="00A20210">
      <w:pPr>
        <w:pStyle w:val="Standardntext"/>
        <w:shd w:val="clear" w:color="auto" w:fill="DBE5F1"/>
        <w:rPr>
          <w:rFonts w:cs="Times New Roman"/>
          <w:bCs/>
        </w:rPr>
      </w:pPr>
      <w:r w:rsidRPr="00240FA5">
        <w:rPr>
          <w:bCs/>
        </w:rPr>
        <w:t xml:space="preserve">V OP PIK bude </w:t>
      </w:r>
      <w:r w:rsidRPr="00240FA5">
        <w:t>kontrol</w:t>
      </w:r>
      <w:r>
        <w:t>a</w:t>
      </w:r>
      <w:r w:rsidRPr="00240FA5">
        <w:t xml:space="preserve"> zadávacího řízení prováděna </w:t>
      </w:r>
      <w:r>
        <w:t xml:space="preserve">ve třech na sebe navazujících stupních. </w:t>
      </w:r>
    </w:p>
    <w:p w:rsidR="00A20210" w:rsidRPr="00240FA5" w:rsidRDefault="00A20210" w:rsidP="00A20210">
      <w:pPr>
        <w:pStyle w:val="Standardntext"/>
        <w:shd w:val="clear" w:color="auto" w:fill="DBE5F1"/>
      </w:pPr>
      <w:r>
        <w:t>I. stupeň</w:t>
      </w:r>
      <w:r w:rsidRPr="00240FA5">
        <w:t xml:space="preserve"> kontroly bude proveden ještě před </w:t>
      </w:r>
      <w:r>
        <w:t>zahájením zadávacího řízení</w:t>
      </w:r>
      <w:r w:rsidRPr="00240FA5">
        <w:t xml:space="preserve"> ověření</w:t>
      </w:r>
      <w:r>
        <w:t>m</w:t>
      </w:r>
      <w:r w:rsidRPr="00240FA5">
        <w:t xml:space="preserve"> inzerátu a zadávací dokumentace. </w:t>
      </w:r>
      <w:r>
        <w:t>II. stupeň</w:t>
      </w:r>
      <w:r w:rsidRPr="00240FA5">
        <w:t xml:space="preserve"> kontroly proběhne po výběru nejvhodnější nabídky</w:t>
      </w:r>
      <w:r>
        <w:t xml:space="preserve">, a to před </w:t>
      </w:r>
      <w:r w:rsidRPr="00240FA5">
        <w:t>uzavření</w:t>
      </w:r>
      <w:r>
        <w:t>m</w:t>
      </w:r>
      <w:r w:rsidRPr="00240FA5">
        <w:t xml:space="preserve"> smlouvy s v</w:t>
      </w:r>
      <w:r>
        <w:t>ybraným</w:t>
      </w:r>
      <w:r w:rsidRPr="00240FA5">
        <w:t xml:space="preserve"> uchazečem. </w:t>
      </w:r>
      <w:r>
        <w:t xml:space="preserve">III. stupeň kontroly proběhne po uzavření smlouvy s vybraným uchazečem. </w:t>
      </w:r>
      <w:r w:rsidRPr="00240FA5">
        <w:t xml:space="preserve">Příjemce nebude moci výdaje dané zakázky nárokovat v žádosti o platbu, dokud dané zadávací řízení neprojde </w:t>
      </w:r>
      <w:r>
        <w:t>všemi třemi</w:t>
      </w:r>
      <w:r w:rsidRPr="00240FA5">
        <w:t xml:space="preserve"> stupni kontroly.</w:t>
      </w:r>
    </w:p>
    <w:p w:rsidR="00A20210" w:rsidRPr="00240FA5" w:rsidRDefault="00A20210" w:rsidP="00A20210">
      <w:pPr>
        <w:pStyle w:val="Standardntext"/>
        <w:shd w:val="clear" w:color="auto" w:fill="DBE5F1"/>
      </w:pPr>
      <w:r w:rsidRPr="00240FA5">
        <w:t xml:space="preserve">Ve </w:t>
      </w:r>
      <w:r>
        <w:t>III. stupni kontroly, tj. ve fázi</w:t>
      </w:r>
      <w:r w:rsidRPr="00240FA5">
        <w:t xml:space="preserve"> proplácení</w:t>
      </w:r>
      <w:r>
        <w:t>,</w:t>
      </w:r>
      <w:r w:rsidRPr="00240FA5">
        <w:t xml:space="preserve"> </w:t>
      </w:r>
      <w:r>
        <w:t xml:space="preserve">se kontrolní pracovníci budou zaměřovat na ověření souladu posouzení a hodnocení nabídek, souladu výběru nejvhodnější nabídky a souladu uzavření smlouvy s postupy stanovenými ZVZ, metodickým pokynem nebo </w:t>
      </w:r>
      <w:r>
        <w:lastRenderedPageBreak/>
        <w:t xml:space="preserve">v podmínkách rozhodnutí o poskytnutí dotace. </w:t>
      </w:r>
      <w:r w:rsidRPr="00240FA5">
        <w:t xml:space="preserve">V případě porušení zákona č. 137/2006 Sb., o veřejných zakázkách nebo </w:t>
      </w:r>
      <w:r w:rsidRPr="00B643AF">
        <w:t>Metodickém pokynu pro oblast zadávání zakázek pro programové období 2014-2020</w:t>
      </w:r>
      <w:r w:rsidRPr="00240FA5">
        <w:t xml:space="preserve"> vydaného MMR, budou uplatněny</w:t>
      </w:r>
      <w:r>
        <w:t xml:space="preserve"> </w:t>
      </w:r>
      <w:r w:rsidRPr="00240FA5">
        <w:t>vůči příjemci sankce dle § 14e zákona č. 218/2000 Sb., jak stanoví Rozhodnutí EK pro % sankce za nesprávný postup při zadávání zakázek připravené platformou COCOF (Rozhodnutí Komise EU ze dne 19.</w:t>
      </w:r>
      <w:r>
        <w:t xml:space="preserve"> </w:t>
      </w:r>
      <w:r w:rsidRPr="00240FA5">
        <w:t>12.</w:t>
      </w:r>
      <w:r>
        <w:t xml:space="preserve"> </w:t>
      </w:r>
      <w:r w:rsidRPr="00240FA5">
        <w:t xml:space="preserve">2013 k finančním opravám za porušení v oblasti veřejných zakázek). Sankce nebudou uplatněny, pokud porušení nenaplňuje znaky porušení legislativy ČR, legislativy EU a současně nemá finanční dopad. Vůči příjemci bude postupováno podle podmínek, za kterých byla dotace poskytnuta. </w:t>
      </w:r>
    </w:p>
    <w:p w:rsidR="00A20210" w:rsidRDefault="00A20210" w:rsidP="00A20210">
      <w:pPr>
        <w:pStyle w:val="Standardntext"/>
        <w:shd w:val="clear" w:color="auto" w:fill="DBE5F1"/>
      </w:pPr>
      <w:r w:rsidRPr="00240FA5">
        <w:t xml:space="preserve">ŘO bude pravidelně pořádat školení v oblasti zadávání zakázek </w:t>
      </w:r>
      <w:r>
        <w:t xml:space="preserve">(ZVZ, </w:t>
      </w:r>
      <w:r w:rsidRPr="00240FA5">
        <w:t>Rozhodnutí Komise EU ze dne 19.</w:t>
      </w:r>
      <w:r>
        <w:t xml:space="preserve"> </w:t>
      </w:r>
      <w:r w:rsidRPr="00240FA5">
        <w:t>12.</w:t>
      </w:r>
      <w:r>
        <w:t xml:space="preserve"> </w:t>
      </w:r>
      <w:r w:rsidRPr="00240FA5">
        <w:t>2013</w:t>
      </w:r>
      <w:r>
        <w:t xml:space="preserve">, </w:t>
      </w:r>
      <w:r w:rsidRPr="00B643AF">
        <w:t>Metodický pokyn pro oblast zadávání zakázek pro programové období 2014-2020</w:t>
      </w:r>
      <w:r>
        <w:t>)</w:t>
      </w:r>
      <w:r w:rsidRPr="00973887">
        <w:t xml:space="preserve"> </w:t>
      </w:r>
      <w:r w:rsidRPr="00240FA5">
        <w:t>a jejich kontroly pro pracovníky implementační struktury i žadatele včetně shrnutí nejčastějších chyb a doporučení, jak jim předcházet.</w:t>
      </w:r>
      <w:r>
        <w:t xml:space="preserve"> Tato školení budou uskutečňována v pravidelném cyklu, a to pro žadatele jedenkrát ročně ve všech regionech ČR a pro pracovníky implementační struktury dvakrát ročně. Nad tuto míru budou uskutečňována školení preventivně ad hoc, dle potřeb vzešlých z kontrol prováděných pracovníky nebo z požadavků žadatelů.</w:t>
      </w:r>
      <w:r w:rsidR="00262734" w:rsidRPr="00262734">
        <w:t xml:space="preserve"> </w:t>
      </w:r>
      <w:r w:rsidR="00262734" w:rsidRPr="004E15C5">
        <w:t>ŘO ve spolupráci s</w:t>
      </w:r>
      <w:r w:rsidR="0000552A" w:rsidRPr="004E15C5">
        <w:t xml:space="preserve">e </w:t>
      </w:r>
      <w:proofErr w:type="spellStart"/>
      <w:r w:rsidR="0000552A" w:rsidRPr="004E15C5">
        <w:t>zprostředkujícícm</w:t>
      </w:r>
      <w:proofErr w:type="spellEnd"/>
      <w:r w:rsidR="0000552A" w:rsidRPr="004E15C5">
        <w:t xml:space="preserve"> subjektem</w:t>
      </w:r>
      <w:r w:rsidR="00262734" w:rsidRPr="004E15C5">
        <w:t xml:space="preserve"> bude pořádat pravidelně (1-2x) ročně semináře pro žadatele v regionech ČR, kde se lektoři zaměří především na nejčastější typy porušení a návrhy, jak jim předcházet. V rámci diskuse na seminářích je možné přímo zodpovídat praktické dotazy žadatelů. Semináře pro žadatele, jejichž součástí byla i problematika veřejných zakázek, byly realizovány již v programovém období 2007-13 a v rámci OP PIK budou pokračovat.</w:t>
      </w:r>
    </w:p>
    <w:p w:rsidR="00A20210" w:rsidRPr="003F5AD0" w:rsidRDefault="00A20210" w:rsidP="00A20210">
      <w:pPr>
        <w:pStyle w:val="Standardntext"/>
        <w:shd w:val="clear" w:color="auto" w:fill="DBE5F1"/>
      </w:pPr>
      <w:r w:rsidRPr="003F5AD0">
        <w:t>Doplnění v návaznosti na vypořádání připomínky EK k OP PIK č. 148:</w:t>
      </w:r>
    </w:p>
    <w:p w:rsidR="00A20210" w:rsidRPr="003F5AD0" w:rsidRDefault="00A20210" w:rsidP="00A20210">
      <w:pPr>
        <w:pStyle w:val="Standardntext"/>
        <w:shd w:val="clear" w:color="auto" w:fill="DBE5F1"/>
        <w:rPr>
          <w:rFonts w:cs="Times New Roman"/>
        </w:rPr>
      </w:pPr>
      <w:r w:rsidRPr="003F5AD0">
        <w:rPr>
          <w:rFonts w:cs="Times New Roman"/>
        </w:rPr>
        <w:t xml:space="preserve">V OP PIK činí 98 % příjemců podnikatelé (tj. míra podpory nepřesahuje 50% hranici), pouze 2 % tvoří obce, vysoké školy, kraje apod. Z uvedeného vyplývá, že zadavatelé majoritně v OP PIK nejsou veřejnými, dotovanými ani sektorovými zadavateli. Většina zakázek zadávaných v OP PIK se nebude řídit ZVZ, ale Metodickým pokynem pro oblast zadávání zakázek pro programové období 2014-2020. Tuto skutečnost je třeba zohlednit při nastavení kontrolního systému. Při nastavení kontrolního systému je třeba zohlednit kromě ZVZ také další zákony a prováděcí předpisy z oblasti kontrol a poskytování dotací, např. zákon č. 255/2012 Sb., č. 320/2001 Sb., č. 218/2000 Sb.. </w:t>
      </w:r>
    </w:p>
    <w:p w:rsidR="00A20210" w:rsidRPr="003F5AD0" w:rsidRDefault="00A20210" w:rsidP="00A20210">
      <w:pPr>
        <w:pStyle w:val="Standardntext"/>
        <w:shd w:val="clear" w:color="auto" w:fill="DBE5F1"/>
        <w:rPr>
          <w:rFonts w:cs="Times New Roman"/>
        </w:rPr>
      </w:pPr>
      <w:r w:rsidRPr="003F5AD0">
        <w:rPr>
          <w:rFonts w:cs="Times New Roman"/>
        </w:rPr>
        <w:t xml:space="preserve">Řídící orgán stanovil systém kontrol veřejných zakázek, který dokáže předcházet a eliminovat nejčastěji se opakující chyby při zadávání veřejných zakázek. </w:t>
      </w:r>
      <w:r w:rsidRPr="003B7FF3">
        <w:rPr>
          <w:rFonts w:cs="Times New Roman"/>
        </w:rPr>
        <w:t xml:space="preserve">V rámci tohoto kontrolního systému je část kontrolní činnosti přenesena na zprostředkující </w:t>
      </w:r>
      <w:r w:rsidRPr="004E15C5">
        <w:rPr>
          <w:rFonts w:cs="Times New Roman"/>
        </w:rPr>
        <w:t>subjekt (dále jen ZS),</w:t>
      </w:r>
      <w:r w:rsidRPr="003B7FF3">
        <w:rPr>
          <w:rFonts w:cs="Times New Roman"/>
        </w:rPr>
        <w:t xml:space="preserve"> přičemž komunikace o konkrétních pochybeních dané veřejné zakázky projektu je mezi řídícím orgánem a ZS nastavena prostřednictvím IS MS2014+.</w:t>
      </w:r>
      <w:r w:rsidRPr="003F5AD0">
        <w:rPr>
          <w:rFonts w:cs="Times New Roman"/>
        </w:rPr>
        <w:t xml:space="preserve"> Kontrola veřejných zakázek je nastavena do tří na sebe navazujících stupňů. </w:t>
      </w:r>
    </w:p>
    <w:p w:rsidR="00A20210" w:rsidRPr="003F5AD0" w:rsidRDefault="00A20210" w:rsidP="00A20210">
      <w:pPr>
        <w:pStyle w:val="Standardntext"/>
        <w:shd w:val="clear" w:color="auto" w:fill="DBE5F1"/>
        <w:rPr>
          <w:rFonts w:cs="Times New Roman"/>
        </w:rPr>
      </w:pPr>
      <w:r w:rsidRPr="003F5AD0">
        <w:rPr>
          <w:rFonts w:cs="Times New Roman"/>
        </w:rPr>
        <w:t xml:space="preserve">I. a II. stupeň kontroly se týká pouze veřejných zakázek ve smyslu § 7 zákona č. 137/2006 Sb., o veřejných zakázkách, ve znění pozdějších předpisů (dále jen ZVZ) zadávané podle postupů stanovených ZVZ, resp. na druhy zadávacích řízení podle § 21 ZVZ, , a na zakázky zadávané postupem stanoveným v Metodickém pokynu pro oblast zadávání zakázek pro programové období 2014-2020, jejichž předpokládaná hodnota dosahuje nejméně finančního limitu nadlimitní veřejné zakázky pro sektorové zadavatele podle nařízení vlády č. 77/2008 Sb.. I. stupeň kontroly probíhá před zahájením zadávacího řízení, kdy se kontroluje plánovaný postup zahájení zadávacího řízení a nastavení zadávacích podmínek. Tímto krokem se eliminují nejčastější pochybení diskriminačního charakteru. </w:t>
      </w:r>
    </w:p>
    <w:p w:rsidR="00A20210" w:rsidRPr="003F5AD0" w:rsidRDefault="00A20210" w:rsidP="00A20210">
      <w:pPr>
        <w:pStyle w:val="Standardntext"/>
        <w:shd w:val="clear" w:color="auto" w:fill="DBE5F1"/>
        <w:rPr>
          <w:rFonts w:cs="Times New Roman"/>
        </w:rPr>
      </w:pPr>
      <w:r w:rsidRPr="003F5AD0">
        <w:rPr>
          <w:rFonts w:cs="Times New Roman"/>
        </w:rPr>
        <w:t xml:space="preserve">II. stupeň kontroly probíhá po posouzení a hodnocení podaných nabídek, ale před podpisem smlouvy s vybraným uchazečem. </w:t>
      </w:r>
    </w:p>
    <w:p w:rsidR="00A20210" w:rsidRDefault="00A20210" w:rsidP="00A20210">
      <w:pPr>
        <w:pStyle w:val="Standardntext"/>
        <w:shd w:val="clear" w:color="auto" w:fill="DBE5F1"/>
        <w:rPr>
          <w:rFonts w:cs="Times New Roman"/>
        </w:rPr>
      </w:pPr>
      <w:r w:rsidRPr="003F5AD0">
        <w:rPr>
          <w:rFonts w:cs="Times New Roman"/>
        </w:rPr>
        <w:lastRenderedPageBreak/>
        <w:t>Zahájením III. stupně kontroly je zahájena průběžná kontrola dle zákona č. 320/2001 Sb.. III. stupeň kontroly se týká již všech zakázek zadávaných v rámci projektů spolufinancovaných ze zdrojů OP PIK a nastává ve fázi po podpisu smlouvy s vybraným uchazečem. Pochybení, která se nejčastěji objevují v jednotlivých stupních kontroly, jsou průběžně konzultována mezi ŘO a ZS a preventivní opatření zahrnována do metodických dokumentů pro příjemce dotace (</w:t>
      </w:r>
      <w:r w:rsidR="003B7FF3">
        <w:rPr>
          <w:rFonts w:cs="Times New Roman"/>
        </w:rPr>
        <w:t>Příručka</w:t>
      </w:r>
      <w:r w:rsidR="003B7FF3" w:rsidRPr="003F5AD0">
        <w:rPr>
          <w:rFonts w:cs="Times New Roman"/>
        </w:rPr>
        <w:t xml:space="preserve"> </w:t>
      </w:r>
      <w:r w:rsidRPr="003F5AD0">
        <w:rPr>
          <w:rFonts w:cs="Times New Roman"/>
        </w:rPr>
        <w:t>pro žadatele, Pravidla pro výběr dodavatelů, Rozhodnutí o poskytnutí dotace, Podmínky poskytnutí dotace aj.)</w:t>
      </w:r>
      <w:r w:rsidR="00B04321">
        <w:rPr>
          <w:rFonts w:cs="Times New Roman"/>
        </w:rPr>
        <w:t>.</w:t>
      </w:r>
    </w:p>
    <w:p w:rsidR="00B04321" w:rsidRPr="006A56DB" w:rsidRDefault="00B04321" w:rsidP="00B04321">
      <w:pPr>
        <w:pStyle w:val="Standardntext"/>
        <w:shd w:val="clear" w:color="auto" w:fill="B8CCE4"/>
        <w:rPr>
          <w:rFonts w:cs="Times New Roman"/>
          <w:color w:val="000000"/>
        </w:rPr>
      </w:pPr>
      <w:r w:rsidRPr="006A56DB">
        <w:rPr>
          <w:b/>
        </w:rPr>
        <w:t xml:space="preserve">Kritérium: </w:t>
      </w:r>
      <w:r w:rsidRPr="006A56DB">
        <w:rPr>
          <w:rFonts w:cs="Times New Roman"/>
        </w:rPr>
        <w:t xml:space="preserve">Opatření </w:t>
      </w:r>
      <w:r>
        <w:rPr>
          <w:rFonts w:cs="Times New Roman"/>
        </w:rPr>
        <w:t>pro posílení správní kapacity pro provádění a uplatňování právních předpisů Unie o veřejných zakázkách</w:t>
      </w:r>
    </w:p>
    <w:p w:rsidR="00B04321" w:rsidRDefault="00B04321" w:rsidP="00A20210">
      <w:pPr>
        <w:pStyle w:val="Standardntext"/>
        <w:shd w:val="clear" w:color="auto" w:fill="DBE5F1"/>
        <w:rPr>
          <w:b/>
        </w:rPr>
      </w:pPr>
      <w:r w:rsidRPr="006A56DB">
        <w:t xml:space="preserve">V současnosti je v rámci OP PIK správní kapacita zajištěna, průběžné doplnění administrativní kapacity bude dle potřeby. </w:t>
      </w:r>
      <w:r w:rsidRPr="006A56DB">
        <w:rPr>
          <w:rFonts w:cs="Times New Roman"/>
        </w:rPr>
        <w:t xml:space="preserve">V souvislosti se vzrůstající náročností agendy týkající se zadávání veřejných zakázek </w:t>
      </w:r>
      <w:r>
        <w:rPr>
          <w:rFonts w:cs="Times New Roman"/>
        </w:rPr>
        <w:t>existuje v rámci organizační struktury řídícího orgánu oddělení</w:t>
      </w:r>
      <w:r w:rsidRPr="006A56DB">
        <w:rPr>
          <w:rFonts w:cs="Times New Roman"/>
        </w:rPr>
        <w:t xml:space="preserve"> kontroly výběrových řízení</w:t>
      </w:r>
      <w:r>
        <w:rPr>
          <w:rFonts w:cs="Times New Roman"/>
        </w:rPr>
        <w:t xml:space="preserve"> s kapacitou 8 zaměstnanců</w:t>
      </w:r>
      <w:r w:rsidRPr="006A56DB">
        <w:rPr>
          <w:rFonts w:cs="Times New Roman"/>
        </w:rPr>
        <w:t xml:space="preserve">. </w:t>
      </w:r>
      <w:r>
        <w:rPr>
          <w:rFonts w:cs="Times New Roman"/>
        </w:rPr>
        <w:t>V návaznosti na zpracování Analýzy a plánu administrativní kapacity operačních programů implementovaných v gesci MPO bude v</w:t>
      </w:r>
      <w:r w:rsidRPr="006A56DB">
        <w:rPr>
          <w:rFonts w:cs="Times New Roman"/>
        </w:rPr>
        <w:t> případě potřeby v</w:t>
      </w:r>
      <w:r>
        <w:rPr>
          <w:rFonts w:cs="Times New Roman"/>
        </w:rPr>
        <w:t xml:space="preserve"> průběhu implementace OP PIK </w:t>
      </w:r>
      <w:r w:rsidRPr="006A56DB">
        <w:rPr>
          <w:rFonts w:cs="Times New Roman"/>
        </w:rPr>
        <w:t>posílen o další zaměstnance.</w:t>
      </w:r>
    </w:p>
    <w:p w:rsidR="000F4B16" w:rsidRPr="006A56DB" w:rsidRDefault="000F4B16" w:rsidP="000F4B16">
      <w:pPr>
        <w:pStyle w:val="Standardntext"/>
        <w:rPr>
          <w:b/>
        </w:rPr>
      </w:pPr>
    </w:p>
    <w:p w:rsidR="000F4B16" w:rsidRPr="006A56DB" w:rsidRDefault="000F4B16" w:rsidP="000F4B16">
      <w:pPr>
        <w:pStyle w:val="Standardntext"/>
        <w:shd w:val="clear" w:color="auto" w:fill="95B3D7"/>
        <w:rPr>
          <w:b/>
        </w:rPr>
      </w:pPr>
      <w:r w:rsidRPr="006A56DB">
        <w:rPr>
          <w:b/>
        </w:rPr>
        <w:t xml:space="preserve">Předběžná podmínka: </w:t>
      </w:r>
      <w:r w:rsidRPr="006A56DB">
        <w:rPr>
          <w:rFonts w:cs="Times New Roman"/>
        </w:rPr>
        <w:t>Existence opatření pro účinné uplatňování právních předpisů Unie o veřejné podpoře v oblasti fondů ESI</w:t>
      </w:r>
    </w:p>
    <w:p w:rsidR="000F4B16" w:rsidRPr="006A56DB" w:rsidRDefault="000F4B16" w:rsidP="000F4B16">
      <w:pPr>
        <w:pStyle w:val="Standardntext"/>
        <w:shd w:val="clear" w:color="auto" w:fill="B8CCE4"/>
        <w:rPr>
          <w:rFonts w:cs="Times New Roman"/>
          <w:color w:val="000000"/>
        </w:rPr>
      </w:pPr>
      <w:r w:rsidRPr="006A56DB">
        <w:rPr>
          <w:b/>
        </w:rPr>
        <w:t xml:space="preserve">Kritérium: </w:t>
      </w:r>
      <w:r w:rsidRPr="006A56DB">
        <w:rPr>
          <w:rFonts w:cs="Times New Roman"/>
        </w:rPr>
        <w:t>Opatření pro účinné uplatňování pravidel Unie o veřejné podpoře</w:t>
      </w:r>
    </w:p>
    <w:p w:rsidR="00C36EE6" w:rsidRPr="00C36EE6" w:rsidRDefault="000F4B16" w:rsidP="00C36EE6">
      <w:pPr>
        <w:pStyle w:val="Standardntext"/>
        <w:shd w:val="clear" w:color="auto" w:fill="DBE5F1"/>
      </w:pPr>
      <w:r w:rsidRPr="006A56DB">
        <w:rPr>
          <w:b/>
        </w:rPr>
        <w:t>Vysvětlení:</w:t>
      </w:r>
      <w:r w:rsidR="00BA2E46">
        <w:rPr>
          <w:b/>
        </w:rPr>
        <w:t xml:space="preserve"> </w:t>
      </w:r>
      <w:r w:rsidR="00C36EE6" w:rsidRPr="00C36EE6">
        <w:t xml:space="preserve">Oblast VP se řídí právem EU, zákonem č. 215/2004 Sb. V návaznosti na metodické pokyny ÚOHS a MMR a další uvedené předpisy v této tabulce vydává ŘO OPPIK interní metodický manuál, ve kterém upravuje postupy pro VP a zapracovává pravidla VP do dokumentace výzev včetně pravidel pro podpory malého rozsahu. </w:t>
      </w:r>
    </w:p>
    <w:p w:rsidR="00BA2E46" w:rsidRPr="00CC4B61" w:rsidRDefault="00BA2E46" w:rsidP="00BA2E46">
      <w:pPr>
        <w:pStyle w:val="Standardntext"/>
        <w:shd w:val="clear" w:color="auto" w:fill="DBE5F1"/>
        <w:rPr>
          <w:rFonts w:cs="Times New Roman"/>
        </w:rPr>
      </w:pPr>
      <w:r w:rsidRPr="00CC4B61">
        <w:rPr>
          <w:rFonts w:cs="Times New Roman"/>
        </w:rPr>
        <w:t xml:space="preserve">Pravidla pro veřejnou podporu budou promítnuta do řídicí dokumentace programu, řídicích a kontrolních procesů a výzev, až budou k dispozici jejich schválené (finální) verze. Do manuálu interních postupů </w:t>
      </w:r>
      <w:r w:rsidRPr="00041F31">
        <w:rPr>
          <w:rFonts w:cs="Times New Roman"/>
        </w:rPr>
        <w:t>budou změny promítnuty k 3</w:t>
      </w:r>
      <w:r w:rsidR="00041F31" w:rsidRPr="004E15C5">
        <w:rPr>
          <w:rFonts w:cs="Times New Roman"/>
        </w:rPr>
        <w:t>0</w:t>
      </w:r>
      <w:r w:rsidRPr="00041F31">
        <w:rPr>
          <w:rFonts w:cs="Times New Roman"/>
        </w:rPr>
        <w:t xml:space="preserve">. </w:t>
      </w:r>
      <w:r w:rsidR="00041F31" w:rsidRPr="004E15C5">
        <w:rPr>
          <w:rFonts w:cs="Times New Roman"/>
        </w:rPr>
        <w:t>6</w:t>
      </w:r>
      <w:r w:rsidRPr="00041F31">
        <w:rPr>
          <w:rFonts w:cs="Times New Roman"/>
        </w:rPr>
        <w:t>. 201</w:t>
      </w:r>
      <w:r w:rsidR="00041F31" w:rsidRPr="000968A9">
        <w:rPr>
          <w:rFonts w:cs="Times New Roman"/>
        </w:rPr>
        <w:t>5</w:t>
      </w:r>
      <w:r w:rsidRPr="008D3778">
        <w:rPr>
          <w:rFonts w:cs="Times New Roman"/>
        </w:rPr>
        <w:t>, d</w:t>
      </w:r>
      <w:r w:rsidRPr="00CC4B61">
        <w:rPr>
          <w:rFonts w:cs="Times New Roman"/>
        </w:rPr>
        <w:t>o výzev před jejich vyhlášením. Výzvu a všechny její přílohy vždy obdrží v předstihu k připomínkám z pohledu dodržení souladu s pravidly veřejné podpory oddělení OP, veřejné podpory a evaluací Odboru koordinace strukturálních fondů MPO, které zajistí promítnutí všech relevantních pravidel VP do dané výzvy. V případě, že je třeba program notifikovat, připraví ve spolupráci s věcným gestorem z</w:t>
      </w:r>
      <w:r w:rsidR="00C07023">
        <w:rPr>
          <w:rFonts w:cs="Times New Roman"/>
        </w:rPr>
        <w:t xml:space="preserve"> příslušného </w:t>
      </w:r>
      <w:r w:rsidRPr="00CC4B61">
        <w:rPr>
          <w:rFonts w:cs="Times New Roman"/>
        </w:rPr>
        <w:t xml:space="preserve">odboru a na základě konzultací s ÚOHS podklady pro notifikaci uvedeného programu. Výzva je vyhlášena teprve na základě kladného rozhodnutí EK a v souladu s podmínkami danými v tomto rozhodnutí. V případě finančních nástrojů je za promítnutí pravidel VP do výzev popř. notifikace odpovědný odbor inovačního podnikání a investic MPO. </w:t>
      </w:r>
    </w:p>
    <w:p w:rsidR="00BA2E46" w:rsidRDefault="00BA2E46" w:rsidP="00BA2E46">
      <w:pPr>
        <w:pStyle w:val="Standardntext"/>
        <w:shd w:val="clear" w:color="auto" w:fill="DBE5F1"/>
        <w:rPr>
          <w:rFonts w:cs="Times New Roman"/>
        </w:rPr>
      </w:pPr>
      <w:r w:rsidRPr="00CC4B61">
        <w:rPr>
          <w:rFonts w:cs="Times New Roman"/>
        </w:rPr>
        <w:t>Postupy administrace projektů, kterými je zajištěno dodržování pravidel kumulace, jsou stanoveny v řídící dokumentaci každého programu (např. v případě OP PIK se jedná o Manuál interních postupů vydávaný oddělením metodiky odboru koordinace strukturálních fondů MPO). V této dokumentaci jsou přesně vymezeny činnosti a osoby za jejich provádění odpovědné. Současně jsou pravidla kumulace detailně nastavena v příslušných výzvách, ve</w:t>
      </w:r>
      <w:r w:rsidRPr="0038476A">
        <w:rPr>
          <w:rFonts w:cs="Times New Roman"/>
        </w:rPr>
        <w:t xml:space="preserve"> kterých řídící orgány předpokládají poskytování veřejné podpory a její kumulaci.</w:t>
      </w:r>
    </w:p>
    <w:p w:rsidR="00BA2E46" w:rsidRPr="00002117" w:rsidRDefault="00BA2E46" w:rsidP="00BA2E46">
      <w:pPr>
        <w:pStyle w:val="Standardntext"/>
        <w:shd w:val="clear" w:color="auto" w:fill="DBE5F1"/>
        <w:rPr>
          <w:b/>
        </w:rPr>
      </w:pPr>
      <w:r w:rsidRPr="00002117">
        <w:rPr>
          <w:b/>
        </w:rPr>
        <w:t xml:space="preserve">Administrace podpor de </w:t>
      </w:r>
      <w:proofErr w:type="spellStart"/>
      <w:r w:rsidRPr="00002117">
        <w:rPr>
          <w:b/>
        </w:rPr>
        <w:t>minimis</w:t>
      </w:r>
      <w:proofErr w:type="spellEnd"/>
    </w:p>
    <w:p w:rsidR="00676789" w:rsidRDefault="00BA2E46" w:rsidP="00B74EA3">
      <w:pPr>
        <w:pStyle w:val="Standardntext"/>
        <w:shd w:val="clear" w:color="auto" w:fill="DBE5F1"/>
      </w:pPr>
      <w:r>
        <w:t xml:space="preserve">Od 1. 1. 2010 funguje v České republice Centrální registr podpor malého rozsahu, který monitoruje všechny poskytnuté podpory malého rozsahu na území státu. Před poskytnutím podpory de </w:t>
      </w:r>
      <w:proofErr w:type="spellStart"/>
      <w:r>
        <w:t>minimis</w:t>
      </w:r>
      <w:proofErr w:type="spellEnd"/>
      <w:r>
        <w:t xml:space="preserve"> ověří řídící orgán OP PIK v Centrálním registru, zda poskytnutím nové podpory de </w:t>
      </w:r>
      <w:proofErr w:type="spellStart"/>
      <w:r>
        <w:t>minimis</w:t>
      </w:r>
      <w:proofErr w:type="spellEnd"/>
      <w:r>
        <w:t xml:space="preserve"> nedojde u daného příjemce k překročení limitu pro tuto podporu. </w:t>
      </w:r>
      <w:r>
        <w:lastRenderedPageBreak/>
        <w:t>Centrální registr byl k 1. 7. 2014 adaptován na nové znění legislativy, tj. především umož</w:t>
      </w:r>
      <w:r w:rsidR="00C97B5A">
        <w:t>ň</w:t>
      </w:r>
      <w:r>
        <w:t>uje vyhledávat podpory poskytnuté všem podnikům, které nově dle definice musejí být považovány za jeden podnik</w:t>
      </w:r>
      <w:r w:rsidRPr="006A56DB">
        <w:t xml:space="preserve">. </w:t>
      </w:r>
      <w:r w:rsidRPr="00002117">
        <w:t xml:space="preserve">Tomuto odpovídá i změna nastavení pravidel implementace na ŘO OPPIK, kdy budou jednak vydány nové postupy pro aplikaci pravidla de </w:t>
      </w:r>
      <w:proofErr w:type="spellStart"/>
      <w:r w:rsidRPr="00002117">
        <w:t>minimis</w:t>
      </w:r>
      <w:proofErr w:type="spellEnd"/>
      <w:r w:rsidRPr="00002117">
        <w:t xml:space="preserve"> v návaznosti na nově vydaný metodický postup zveřejněný na webových stránkách ÚOHS pro ŘO </w:t>
      </w:r>
      <w:r w:rsidRPr="004E15C5">
        <w:t xml:space="preserve">a </w:t>
      </w:r>
      <w:r w:rsidR="00086ED7" w:rsidRPr="004E15C5">
        <w:t>zprostředkujícího subjektu</w:t>
      </w:r>
      <w:r w:rsidRPr="004E15C5">
        <w:t>, a dále budou zpracovány nové formuláře pro žadatele, příjemce a implementační strukturu (změna se musí promítnout do čestného prohlášení a Podmínek Rozhodnutí o poskytnutí dotace. Tyto dokumenty jsou součástí manuálu interních postupů, který bude vydán k </w:t>
      </w:r>
      <w:r w:rsidR="00ED7B3A" w:rsidRPr="004E15C5">
        <w:t>30. 6. 2015</w:t>
      </w:r>
      <w:r w:rsidRPr="004E15C5">
        <w:t>).</w:t>
      </w:r>
      <w:r w:rsidR="00676789">
        <w:t xml:space="preserve"> </w:t>
      </w:r>
      <w:r w:rsidR="00676789" w:rsidRPr="00676789">
        <w:rPr>
          <w:rFonts w:cs="Times New Roman"/>
        </w:rPr>
        <w:t xml:space="preserve">Dle § 3a odst. 4 zákona č. 215/2004 Sb., má poskytovatel podpory malého rozsahu povinnost uvést v právním úkonu poskytnutí podpory de </w:t>
      </w:r>
      <w:proofErr w:type="spellStart"/>
      <w:r w:rsidR="00676789" w:rsidRPr="00676789">
        <w:rPr>
          <w:rFonts w:cs="Times New Roman"/>
        </w:rPr>
        <w:t>minimis</w:t>
      </w:r>
      <w:proofErr w:type="spellEnd"/>
      <w:r w:rsidR="00676789" w:rsidRPr="00676789">
        <w:rPr>
          <w:rFonts w:cs="Times New Roman"/>
        </w:rPr>
        <w:t xml:space="preserve"> název přímo použitelného předpisu Evropské unie, podle kterého byla podpora malého rozsahu poskytnuta.</w:t>
      </w:r>
    </w:p>
    <w:p w:rsidR="00B74EA3" w:rsidRDefault="00BA2E46" w:rsidP="00B74EA3">
      <w:pPr>
        <w:pStyle w:val="Standardntext"/>
        <w:shd w:val="clear" w:color="auto" w:fill="DBE5F1"/>
      </w:pPr>
      <w:r w:rsidRPr="00002117">
        <w:rPr>
          <w:b/>
        </w:rPr>
        <w:t>Oznamovací povinnost</w:t>
      </w:r>
    </w:p>
    <w:p w:rsidR="00BA2E46" w:rsidRPr="00B74EA3" w:rsidRDefault="00BA2E46" w:rsidP="00B74EA3">
      <w:pPr>
        <w:pStyle w:val="Standardntext"/>
        <w:shd w:val="clear" w:color="auto" w:fill="DBE5F1"/>
      </w:pPr>
      <w:r w:rsidRPr="006A56DB">
        <w:rPr>
          <w:rFonts w:cs="Times New Roman"/>
        </w:rPr>
        <w:t>Plnění oznamovací povinnost</w:t>
      </w:r>
      <w:r>
        <w:rPr>
          <w:rFonts w:cs="Times New Roman"/>
        </w:rPr>
        <w:t xml:space="preserve">i </w:t>
      </w:r>
      <w:r w:rsidRPr="006A56DB">
        <w:rPr>
          <w:rFonts w:cs="Times New Roman"/>
        </w:rPr>
        <w:t xml:space="preserve">dle </w:t>
      </w:r>
      <w:r>
        <w:rPr>
          <w:rFonts w:cs="Times New Roman"/>
        </w:rPr>
        <w:t>n</w:t>
      </w:r>
      <w:r w:rsidRPr="006A56DB">
        <w:rPr>
          <w:rFonts w:cs="Times New Roman"/>
        </w:rPr>
        <w:t xml:space="preserve">ařízení </w:t>
      </w:r>
      <w:r>
        <w:rPr>
          <w:rFonts w:cs="Times New Roman"/>
        </w:rPr>
        <w:t>K</w:t>
      </w:r>
      <w:r w:rsidRPr="006A56DB">
        <w:rPr>
          <w:rFonts w:cs="Times New Roman"/>
        </w:rPr>
        <w:t xml:space="preserve">omise č. 659/1999 (resp. </w:t>
      </w:r>
      <w:r>
        <w:rPr>
          <w:rFonts w:cs="Times New Roman"/>
        </w:rPr>
        <w:t>n</w:t>
      </w:r>
      <w:r w:rsidRPr="006A56DB">
        <w:rPr>
          <w:rFonts w:cs="Times New Roman"/>
        </w:rPr>
        <w:t xml:space="preserve">ařízení </w:t>
      </w:r>
      <w:r>
        <w:rPr>
          <w:rFonts w:cs="Times New Roman"/>
        </w:rPr>
        <w:t>K</w:t>
      </w:r>
      <w:r w:rsidRPr="006A56DB">
        <w:rPr>
          <w:rFonts w:cs="Times New Roman"/>
        </w:rPr>
        <w:t xml:space="preserve">omise č. 794/2004) a </w:t>
      </w:r>
      <w:r>
        <w:rPr>
          <w:rFonts w:cs="Times New Roman"/>
        </w:rPr>
        <w:t>r</w:t>
      </w:r>
      <w:r w:rsidRPr="006A56DB">
        <w:rPr>
          <w:rFonts w:cs="Times New Roman"/>
        </w:rPr>
        <w:t xml:space="preserve">ozhodnutí </w:t>
      </w:r>
      <w:r>
        <w:rPr>
          <w:rFonts w:cs="Times New Roman"/>
        </w:rPr>
        <w:t>K</w:t>
      </w:r>
      <w:r w:rsidRPr="006A56DB">
        <w:rPr>
          <w:rFonts w:cs="Times New Roman"/>
        </w:rPr>
        <w:t>omise o použití čl. 106 odst. 2 Smlouvy o fungování Evropské unie na státní podporu ve formě vyrovnávací platby za závazek veřejné služby poskytované určitým podnikům pověřeným poskytováním služeb obecného hospodářského zájmu (2012/21/EU) je</w:t>
      </w:r>
      <w:r>
        <w:rPr>
          <w:rFonts w:cs="Times New Roman"/>
        </w:rPr>
        <w:t xml:space="preserve"> v ČR</w:t>
      </w:r>
      <w:r w:rsidRPr="006A56DB">
        <w:rPr>
          <w:rFonts w:cs="Times New Roman"/>
        </w:rPr>
        <w:t xml:space="preserve"> koordinováno ze strany ÚOHS.</w:t>
      </w:r>
      <w:r>
        <w:rPr>
          <w:rFonts w:cs="Times New Roman"/>
        </w:rPr>
        <w:t xml:space="preserve"> Na základě zákona č. 215/2004 Sb. ze dne 2. dubna 2004 o úpravě některých vztahů v oblasti veřejné podpory a o změně zákona o podpoře výzkumu a vývoje poskytuje ŘO OP PIK vždy do 30. dubna kalendářního roku informace o poskytnutých veřejných podporách za předcházející kalendářní rok. Informace jsou vkládány přímo do systému SARI (</w:t>
      </w:r>
      <w:proofErr w:type="spellStart"/>
      <w:r>
        <w:rPr>
          <w:rFonts w:cs="Times New Roman"/>
        </w:rPr>
        <w:t>State</w:t>
      </w:r>
      <w:proofErr w:type="spellEnd"/>
      <w:r>
        <w:rPr>
          <w:rFonts w:cs="Times New Roman"/>
        </w:rPr>
        <w:t xml:space="preserve"> Aid Reporting </w:t>
      </w:r>
      <w:proofErr w:type="spellStart"/>
      <w:r>
        <w:rPr>
          <w:rFonts w:cs="Times New Roman"/>
        </w:rPr>
        <w:t>Interactive</w:t>
      </w:r>
      <w:proofErr w:type="spellEnd"/>
      <w:r>
        <w:rPr>
          <w:rFonts w:cs="Times New Roman"/>
        </w:rPr>
        <w:t xml:space="preserve">). </w:t>
      </w:r>
      <w:r w:rsidRPr="006A56DB">
        <w:rPr>
          <w:rFonts w:cs="Times New Roman"/>
        </w:rPr>
        <w:t>Nesplnění dané povinnosti je také dle zákona 215/2004 Sb. považováno za správní delikt a je sankcionováno až do výše 300 000 CZK.</w:t>
      </w:r>
    </w:p>
    <w:p w:rsidR="00BA2E46" w:rsidRPr="0077610E" w:rsidRDefault="00BA2E46" w:rsidP="00BA2E46">
      <w:pPr>
        <w:pStyle w:val="Standardntext"/>
        <w:shd w:val="clear" w:color="auto" w:fill="DBE5F1"/>
        <w:rPr>
          <w:rFonts w:cs="Times New Roman"/>
          <w:b/>
        </w:rPr>
      </w:pPr>
      <w:r w:rsidRPr="0077610E">
        <w:rPr>
          <w:rFonts w:cs="Times New Roman"/>
          <w:b/>
        </w:rPr>
        <w:t>Kontrol</w:t>
      </w:r>
      <w:r>
        <w:rPr>
          <w:rFonts w:cs="Times New Roman"/>
          <w:b/>
        </w:rPr>
        <w:t>a souladu projektů s pravidly VP</w:t>
      </w:r>
    </w:p>
    <w:p w:rsidR="00BA2E46" w:rsidRPr="00D15671" w:rsidRDefault="00BA2E46" w:rsidP="00BA2E46">
      <w:pPr>
        <w:pStyle w:val="Standardntext"/>
        <w:shd w:val="clear" w:color="auto" w:fill="DBE5F1"/>
        <w:rPr>
          <w:rFonts w:cs="Times New Roman"/>
        </w:rPr>
      </w:pPr>
      <w:r w:rsidRPr="00D15671">
        <w:rPr>
          <w:rFonts w:cs="Times New Roman"/>
        </w:rPr>
        <w:t xml:space="preserve">Kontrola souladu </w:t>
      </w:r>
      <w:r>
        <w:rPr>
          <w:rFonts w:cs="Times New Roman"/>
        </w:rPr>
        <w:t xml:space="preserve">projektů </w:t>
      </w:r>
      <w:r w:rsidRPr="00D15671">
        <w:rPr>
          <w:rFonts w:cs="Times New Roman"/>
        </w:rPr>
        <w:t xml:space="preserve">s pravidly VP </w:t>
      </w:r>
      <w:r>
        <w:rPr>
          <w:rFonts w:cs="Times New Roman"/>
        </w:rPr>
        <w:t xml:space="preserve">bude probíhat jak před poskytnutím podpory (např. projekty musí splňovat pravidla VP uvedené v jednotlivých výzvách, žadatelé podepisují tzv. Podmínky poskytnutí dotace, které uvádějí další pravidla VP specifická pro danou výzvu), tak </w:t>
      </w:r>
      <w:r w:rsidRPr="00D15671">
        <w:rPr>
          <w:rFonts w:cs="Times New Roman"/>
        </w:rPr>
        <w:t xml:space="preserve">i v průběhu realizace projektu. Pravidla budou komunikována vůči žadatelům/příjemcům příslušnými informačními kanály (semináře, příručky). </w:t>
      </w:r>
      <w:r>
        <w:rPr>
          <w:rFonts w:cs="Times New Roman"/>
        </w:rPr>
        <w:t xml:space="preserve">Na základě náhodného kontrolního vzorku probíhají také kontroly projektů v místě realizace. Oddělení kontrol na místě provádí kontrolu realizace projektů podpořených v rámci OP PIK, přičemž využívá také tzv. kontrolní listy (kontrolní list pro veřejnou podporu, kontrolní list pro podporu de </w:t>
      </w:r>
      <w:proofErr w:type="spellStart"/>
      <w:r>
        <w:rPr>
          <w:rFonts w:cs="Times New Roman"/>
        </w:rPr>
        <w:t>minimis</w:t>
      </w:r>
      <w:proofErr w:type="spellEnd"/>
      <w:r>
        <w:rPr>
          <w:rFonts w:cs="Times New Roman"/>
        </w:rPr>
        <w:t xml:space="preserve">), ve kterých jsou uvedena pravidla veřejné podpory platná pro daný projekt a jejich plnění ze strany příjemce podpory. </w:t>
      </w:r>
    </w:p>
    <w:p w:rsidR="00BA2E46" w:rsidRDefault="00BA2E46" w:rsidP="00BA2E46">
      <w:pPr>
        <w:pStyle w:val="Standardntext"/>
        <w:shd w:val="clear" w:color="auto" w:fill="DBE5F1"/>
        <w:rPr>
          <w:rFonts w:cs="Times New Roman"/>
        </w:rPr>
      </w:pPr>
      <w:r w:rsidRPr="006A56DB">
        <w:rPr>
          <w:rFonts w:cs="Times New Roman"/>
        </w:rPr>
        <w:t xml:space="preserve">Dle vnitrostátního zákona (zákon č. 215/2004 Sb.) je poskytovatel </w:t>
      </w:r>
      <w:r>
        <w:rPr>
          <w:rFonts w:cs="Times New Roman"/>
        </w:rPr>
        <w:t xml:space="preserve">podpory </w:t>
      </w:r>
      <w:r w:rsidRPr="006A56DB">
        <w:rPr>
          <w:rFonts w:cs="Times New Roman"/>
        </w:rPr>
        <w:t>povinen bez zbytečného odkladu učinit veškerá nezbytná opatření k zajištění splnění povinnosti navrácení podpory. Za tím účelem poskytovatel příjemce neprodleně vyzve k navrácení podpory; nevyplývá-li lhůta k navrácení nebo prozatímnímu navrácení veřejné podpory z rozhodnutí Komise, poskytovatel lhůtu zároveň ve výzvě stanoví. Po marném uplynutí lhůty k navrácení nebo prozatímnímu navrácení veřejné podpory poskytovatel rozhodne o jejím odnětí příjemci podle zvláštního vnitrostátního právního předpisu, popřípadě, nelze-li takto postupovat, podá proti příjemci žalobu u soudu. Za porušení dané povinnosti se uloží poskytovateli pokuta ve výši do 1 000 000 Kč (§8a odst. 3 písm. d) zákona č. 215/2004 Sb.). Postup při navrácení veřejné podpory, uvedený v § 7 zákona č. 215/2004 Sb., se vztahuje k situaci, kdy Evropská komise rozhodne o navrácení nebo o prozatímním navrácení veřejné podpory, pak je příjemce povinen poskytnutou veřejnou podporu vrátit poskytovateli, případně jeho právnímu nástupci, a to včetně úroků stanovených Komisí.</w:t>
      </w:r>
    </w:p>
    <w:p w:rsidR="00BA2E46" w:rsidRDefault="00BA2E46" w:rsidP="00BA2E46">
      <w:pPr>
        <w:pStyle w:val="Standardntext"/>
        <w:shd w:val="clear" w:color="auto" w:fill="DBE5F1"/>
        <w:rPr>
          <w:rFonts w:cs="Times New Roman"/>
        </w:rPr>
      </w:pPr>
      <w:r w:rsidRPr="006A56DB">
        <w:rPr>
          <w:rFonts w:cs="Times New Roman"/>
        </w:rPr>
        <w:lastRenderedPageBreak/>
        <w:t xml:space="preserve">K zajištění plnění podmínky vyplývající z judikatury ve věci </w:t>
      </w:r>
      <w:proofErr w:type="spellStart"/>
      <w:r w:rsidRPr="006A56DB">
        <w:rPr>
          <w:rFonts w:cs="Times New Roman"/>
        </w:rPr>
        <w:t>Deggendorf</w:t>
      </w:r>
      <w:proofErr w:type="spellEnd"/>
      <w:r w:rsidRPr="006A56DB">
        <w:rPr>
          <w:rFonts w:cs="Times New Roman"/>
        </w:rPr>
        <w:t xml:space="preserve"> musí před poskytnutím podpory žadatel podepsat čestné prohlášení, že nemá nevypořádané finanční závazky (z jiných projektů nebo z rozhodnutí EK k navrácení finančních prostředků) a rovněž je v Podmínkách Rozhodnutí o poskytnutí dotace vázán podmínkou neprodleně tuto skutečnost oznámit poskytovateli, pokud nastane. V případě, že podmínku poruší, jedná se o porušení rozpočtové kázně, na kterou se vztahuje sankce dle zákona o rozpočtových pravidlech č. 218/2000 Sb.</w:t>
      </w:r>
      <w:r w:rsidRPr="00EB20DE">
        <w:rPr>
          <w:rFonts w:cs="Times New Roman"/>
        </w:rPr>
        <w:t xml:space="preserve"> </w:t>
      </w:r>
    </w:p>
    <w:p w:rsidR="00BA2E46" w:rsidRPr="00E20589" w:rsidRDefault="00BA2E46" w:rsidP="00BA2E46">
      <w:pPr>
        <w:pStyle w:val="Standardntext"/>
        <w:shd w:val="clear" w:color="auto" w:fill="DBE5F1"/>
        <w:rPr>
          <w:rFonts w:cs="Times New Roman"/>
        </w:rPr>
      </w:pPr>
      <w:r w:rsidRPr="00E20589">
        <w:rPr>
          <w:rFonts w:cs="Times New Roman"/>
        </w:rPr>
        <w:t xml:space="preserve">Povinnost a postupy při navracení veřejné podpory jsou dále popsány v řídící dokumentaci programů (manuály, podmínky rozhodnutí, smlouvy apod.), která podléhá schválení centrálním koordinačním orgánem (v tomto případě MMR-NOK, jako koordinátor jednotného metodického prostředí).  </w:t>
      </w:r>
    </w:p>
    <w:p w:rsidR="00BA2E46" w:rsidRDefault="00BA2E46" w:rsidP="00BA2E46">
      <w:pPr>
        <w:pStyle w:val="Standardntext"/>
        <w:shd w:val="clear" w:color="auto" w:fill="DBE5F1"/>
        <w:rPr>
          <w:rFonts w:cs="Times New Roman"/>
        </w:rPr>
      </w:pPr>
      <w:r w:rsidRPr="00CC4B61">
        <w:rPr>
          <w:rFonts w:cs="Times New Roman"/>
        </w:rPr>
        <w:t>Výše uvedené postupy jsou již uplatňovány pro OPPI</w:t>
      </w:r>
      <w:r>
        <w:rPr>
          <w:rFonts w:cs="Times New Roman"/>
        </w:rPr>
        <w:t xml:space="preserve"> a z těchto zkušeností se bude vycházet i nadále v OP PIK</w:t>
      </w:r>
      <w:r w:rsidRPr="00CC4B61">
        <w:rPr>
          <w:rFonts w:cs="Times New Roman"/>
        </w:rPr>
        <w:t xml:space="preserve">. </w:t>
      </w:r>
    </w:p>
    <w:p w:rsidR="00BA2E46" w:rsidRPr="00CC4B61" w:rsidRDefault="00BA2E46" w:rsidP="00BA2E46">
      <w:pPr>
        <w:pStyle w:val="Standardntext"/>
        <w:shd w:val="clear" w:color="auto" w:fill="DBE5F1"/>
        <w:rPr>
          <w:rFonts w:cs="Times New Roman"/>
        </w:rPr>
      </w:pPr>
      <w:r w:rsidRPr="00CC4B61">
        <w:rPr>
          <w:rFonts w:cs="Times New Roman"/>
        </w:rPr>
        <w:t>Obsah OP</w:t>
      </w:r>
      <w:r>
        <w:rPr>
          <w:rFonts w:cs="Times New Roman"/>
        </w:rPr>
        <w:t xml:space="preserve"> </w:t>
      </w:r>
      <w:r w:rsidRPr="00CC4B61">
        <w:rPr>
          <w:rFonts w:cs="Times New Roman"/>
        </w:rPr>
        <w:t>PIK byl analyzován z pohledu revidované legislativy EU pro oblast veřejné podpory.</w:t>
      </w:r>
    </w:p>
    <w:p w:rsidR="000F4B16" w:rsidRDefault="00BA2E46">
      <w:pPr>
        <w:pStyle w:val="Standardntext"/>
        <w:shd w:val="clear" w:color="auto" w:fill="DBE5F1"/>
        <w:rPr>
          <w:rFonts w:cs="Times New Roman"/>
        </w:rPr>
      </w:pPr>
      <w:r w:rsidRPr="00CC4B61">
        <w:rPr>
          <w:rFonts w:cs="Times New Roman"/>
        </w:rPr>
        <w:t>Řídící orgán OP PIK zároveň počítá i s promítnutím specifických podmínek veřejné podpory pro oblast finančních nástrojů, které budou zapracovány do příslušných smluvních dokumentů s finančními zprostředkovateli.</w:t>
      </w:r>
    </w:p>
    <w:p w:rsidR="00165E59" w:rsidRDefault="00165E59" w:rsidP="005D1091">
      <w:pPr>
        <w:pStyle w:val="Standardntext"/>
        <w:shd w:val="clear" w:color="auto" w:fill="B8CCE4"/>
      </w:pPr>
      <w:r w:rsidRPr="005D1091">
        <w:rPr>
          <w:b/>
        </w:rPr>
        <w:t xml:space="preserve">Kritérium: </w:t>
      </w:r>
      <w:r w:rsidRPr="005D1091">
        <w:t xml:space="preserve">Opatření </w:t>
      </w:r>
      <w:r w:rsidR="005D1091" w:rsidRPr="005D1091">
        <w:t>k zajištění správní kapacity pro provádění a uplatňování právních předpisů Unie o státních podporách</w:t>
      </w:r>
    </w:p>
    <w:p w:rsidR="00612253" w:rsidRDefault="00612253" w:rsidP="00612253">
      <w:pPr>
        <w:pStyle w:val="Standardntext"/>
        <w:shd w:val="clear" w:color="auto" w:fill="DBE5F1"/>
        <w:rPr>
          <w:rFonts w:cs="Times New Roman"/>
        </w:rPr>
      </w:pPr>
      <w:r w:rsidRPr="005D1091">
        <w:rPr>
          <w:rFonts w:cs="Times New Roman"/>
        </w:rPr>
        <w:t>Řízení lidských zdrojů v implementační struktuře probíhá s ohledem na činnosti, které je nutné zajistit. Dochází k plánování administrativní kapacity s ohledem na počty projektů v administraci i na plánované výzvy a jejich alokace. Jednotlivé úrovně programu (např. prioritní osy) ŘO vyhodnocuje z hlediska pravděpodobnosti, v jakých svých částech a za jakých podmínek</w:t>
      </w:r>
      <w:r>
        <w:rPr>
          <w:rFonts w:cs="Times New Roman"/>
        </w:rPr>
        <w:t>,</w:t>
      </w:r>
      <w:r w:rsidRPr="005D1091">
        <w:rPr>
          <w:rFonts w:cs="Times New Roman"/>
        </w:rPr>
        <w:t xml:space="preserve"> mohou zakládat veřejnou podporu. Na základě této identifikace dochází k odhadům potřebné kapacity lidských zdrojů. Vzhledem k tomu, že kontrola poskytování veřejné podpory se týká jak administrativních kontrol, tak kontrol na místě, dochází k vyhodnocování kapacit různých útvarů v rámci řídicího orgánu a v důsledku zjištěných skutečností případně k posílení týmu. Technická pomoc je na financování potřebných lidských zdrojů využívána v 2007-2013 a bude i v období 2014-2020.</w:t>
      </w:r>
    </w:p>
    <w:p w:rsidR="008D409B" w:rsidRPr="00132281" w:rsidRDefault="00612253" w:rsidP="000F4B16">
      <w:pPr>
        <w:pStyle w:val="Standardntext"/>
        <w:shd w:val="clear" w:color="auto" w:fill="DBE5F1"/>
        <w:rPr>
          <w:rFonts w:cs="Times New Roman"/>
          <w:b/>
        </w:rPr>
      </w:pPr>
      <w:r>
        <w:rPr>
          <w:rFonts w:cs="Times New Roman"/>
        </w:rPr>
        <w:t xml:space="preserve">Provádění a uplatňování právních předpisů je </w:t>
      </w:r>
      <w:r w:rsidRPr="004E15C5">
        <w:rPr>
          <w:rFonts w:cs="Times New Roman"/>
        </w:rPr>
        <w:t xml:space="preserve">jak na ŘO OP PIK, tak </w:t>
      </w:r>
      <w:r w:rsidR="00086ED7" w:rsidRPr="004E15C5">
        <w:rPr>
          <w:rFonts w:cs="Times New Roman"/>
        </w:rPr>
        <w:t>u</w:t>
      </w:r>
      <w:r w:rsidR="00086ED7">
        <w:rPr>
          <w:rFonts w:cs="Times New Roman"/>
        </w:rPr>
        <w:t xml:space="preserve"> zprostředkujícího subjektu</w:t>
      </w:r>
      <w:r>
        <w:rPr>
          <w:rFonts w:cs="Times New Roman"/>
        </w:rPr>
        <w:t xml:space="preserve"> zajištěno týmem kvalifikovaných zaměstnanců. V případě potřeby bude odpovědné oddělení na základě průběžné kontroly správní kapacity posíleno o další pracovníky. Všichni zaměstnanci zabývající se oblastí veřejné podpory mají již zkušenosti se zajištěním souladu OPPI s pravidly pro veřejnou podporu, jejich odborné znalosti budou nadále prohlubovány a rozšiřovány formou účasti na vzdělávacích akcích pořádaných k tématu veřejné podpory.</w:t>
      </w:r>
    </w:p>
    <w:p w:rsidR="00044DC2" w:rsidRPr="006A56DB" w:rsidRDefault="00044DC2" w:rsidP="000F4B16">
      <w:pPr>
        <w:pStyle w:val="Standardntext"/>
        <w:rPr>
          <w:b/>
        </w:rPr>
      </w:pPr>
    </w:p>
    <w:p w:rsidR="000F4B16" w:rsidRPr="006A56DB" w:rsidRDefault="000F4B16" w:rsidP="000F4B16">
      <w:pPr>
        <w:pStyle w:val="Standardntext"/>
        <w:shd w:val="clear" w:color="auto" w:fill="95B3D7"/>
        <w:rPr>
          <w:b/>
        </w:rPr>
      </w:pPr>
      <w:r w:rsidRPr="006A56DB">
        <w:rPr>
          <w:b/>
        </w:rPr>
        <w:t xml:space="preserve">Předběžná podmínka: </w:t>
      </w:r>
      <w:r w:rsidRPr="006A56DB">
        <w:rPr>
          <w:rFonts w:cs="Times New Roman"/>
        </w:rPr>
        <w:t xml:space="preserve">3.1. Byla provedena zvláštní opatření, o něž se opírá podpora podnikání zohledňující  </w:t>
      </w:r>
      <w:proofErr w:type="spellStart"/>
      <w:r w:rsidRPr="006A56DB">
        <w:rPr>
          <w:rFonts w:cs="Times New Roman"/>
        </w:rPr>
        <w:t>Small</w:t>
      </w:r>
      <w:proofErr w:type="spellEnd"/>
      <w:r w:rsidRPr="006A56DB">
        <w:rPr>
          <w:rFonts w:cs="Times New Roman"/>
        </w:rPr>
        <w:t xml:space="preserve"> Business </w:t>
      </w:r>
      <w:proofErr w:type="spellStart"/>
      <w:r w:rsidRPr="006A56DB">
        <w:rPr>
          <w:rFonts w:cs="Times New Roman"/>
        </w:rPr>
        <w:t>Act</w:t>
      </w:r>
      <w:proofErr w:type="spellEnd"/>
      <w:r w:rsidRPr="006A56DB">
        <w:rPr>
          <w:rFonts w:cs="Times New Roman"/>
        </w:rPr>
        <w:t xml:space="preserve"> (SBA).</w:t>
      </w:r>
    </w:p>
    <w:p w:rsidR="000F4B16" w:rsidRPr="006A56DB" w:rsidRDefault="000F4B16" w:rsidP="000F4B16">
      <w:pPr>
        <w:pStyle w:val="Standardntext"/>
        <w:shd w:val="clear" w:color="auto" w:fill="B8CCE4"/>
        <w:rPr>
          <w:rFonts w:cs="Times New Roman"/>
          <w:color w:val="000000"/>
        </w:rPr>
      </w:pPr>
      <w:r w:rsidRPr="006A56DB">
        <w:rPr>
          <w:b/>
        </w:rPr>
        <w:t xml:space="preserve">Kritérium: </w:t>
      </w:r>
      <w:r w:rsidRPr="006A56DB">
        <w:rPr>
          <w:rFonts w:cs="Times New Roman"/>
        </w:rPr>
        <w:t>Zvláštními opatřeními jsou:</w:t>
      </w:r>
    </w:p>
    <w:p w:rsidR="000F4B16" w:rsidRPr="006A56DB" w:rsidRDefault="000F4B16" w:rsidP="000F4B16">
      <w:pPr>
        <w:pStyle w:val="Standardntext"/>
        <w:shd w:val="clear" w:color="auto" w:fill="DBE5F1"/>
        <w:rPr>
          <w:rFonts w:cs="Times New Roman"/>
        </w:rPr>
      </w:pPr>
      <w:r w:rsidRPr="006A56DB">
        <w:rPr>
          <w:b/>
        </w:rPr>
        <w:t xml:space="preserve">Vysvětlení: </w:t>
      </w:r>
      <w:r w:rsidRPr="006A56DB">
        <w:rPr>
          <w:rFonts w:cs="Times New Roman"/>
        </w:rPr>
        <w:t>Vládou byla schválena Strategie mezinárodní konkurenceschopnosti (SMK) v r. 2011.</w:t>
      </w:r>
    </w:p>
    <w:p w:rsidR="000F4B16" w:rsidRPr="006A56DB" w:rsidRDefault="00400236" w:rsidP="000F4B16">
      <w:pPr>
        <w:pStyle w:val="Standardntext"/>
        <w:shd w:val="clear" w:color="auto" w:fill="DBE5F1"/>
        <w:rPr>
          <w:rFonts w:cs="Times New Roman"/>
        </w:rPr>
      </w:pPr>
      <w:hyperlink r:id="rId11" w:history="1">
        <w:r w:rsidR="000F4B16" w:rsidRPr="006A56DB">
          <w:rPr>
            <w:rStyle w:val="Hypertextovodkaz"/>
            <w:rFonts w:cs="Times New Roman"/>
          </w:rPr>
          <w:t>http://www.vlada.cz/assets/media-centrum/aktualne/Strategie-mezinarodni-konkurenceschopnosti-Ceske-republiky.pdf</w:t>
        </w:r>
      </w:hyperlink>
    </w:p>
    <w:p w:rsidR="000F4B16" w:rsidRPr="006A56DB" w:rsidRDefault="000F4B16" w:rsidP="000F4B16">
      <w:pPr>
        <w:pStyle w:val="Standardntext"/>
        <w:shd w:val="clear" w:color="auto" w:fill="DBE5F1"/>
        <w:rPr>
          <w:rFonts w:cs="Times New Roman"/>
        </w:rPr>
      </w:pPr>
      <w:r w:rsidRPr="006A56DB">
        <w:rPr>
          <w:rFonts w:cs="Times New Roman"/>
        </w:rPr>
        <w:lastRenderedPageBreak/>
        <w:t xml:space="preserve">SMK implementaci opatření vedoucích k naplnění </w:t>
      </w:r>
      <w:proofErr w:type="spellStart"/>
      <w:r w:rsidRPr="006A56DB">
        <w:rPr>
          <w:rFonts w:cs="Times New Roman"/>
        </w:rPr>
        <w:t>Small</w:t>
      </w:r>
      <w:proofErr w:type="spellEnd"/>
      <w:r w:rsidRPr="006A56DB">
        <w:rPr>
          <w:rFonts w:cs="Times New Roman"/>
        </w:rPr>
        <w:t xml:space="preserve"> Business </w:t>
      </w:r>
      <w:proofErr w:type="spellStart"/>
      <w:r w:rsidRPr="006A56DB">
        <w:rPr>
          <w:rFonts w:cs="Times New Roman"/>
        </w:rPr>
        <w:t>Act</w:t>
      </w:r>
      <w:proofErr w:type="spellEnd"/>
      <w:r w:rsidRPr="006A56DB">
        <w:rPr>
          <w:rFonts w:cs="Times New Roman"/>
        </w:rPr>
        <w:t xml:space="preserve"> uvádí v projektovém záměru 36. </w:t>
      </w:r>
    </w:p>
    <w:p w:rsidR="000F4B16" w:rsidRPr="006A56DB" w:rsidRDefault="000F4B16" w:rsidP="000F4B16">
      <w:pPr>
        <w:pStyle w:val="Standardntext"/>
        <w:shd w:val="clear" w:color="auto" w:fill="DBE5F1"/>
        <w:rPr>
          <w:rFonts w:cs="Times New Roman"/>
        </w:rPr>
      </w:pPr>
      <w:r w:rsidRPr="006A56DB">
        <w:rPr>
          <w:rFonts w:cs="Times New Roman"/>
        </w:rPr>
        <w:t>Opatření související se zesílením podpory podnikatelského prostředí jsou též součástí Národního programu reforem (2014), kap. 4.2 (NPR neřeší přímo otázku implementace SBA).</w:t>
      </w:r>
    </w:p>
    <w:p w:rsidR="000F4B16" w:rsidRPr="006A56DB" w:rsidRDefault="00400236" w:rsidP="000F4B16">
      <w:pPr>
        <w:pStyle w:val="Standardntext"/>
        <w:shd w:val="clear" w:color="auto" w:fill="DBE5F1"/>
        <w:rPr>
          <w:b/>
        </w:rPr>
      </w:pPr>
      <w:hyperlink r:id="rId12" w:history="1">
        <w:r w:rsidR="000F4B16" w:rsidRPr="006A56DB">
          <w:rPr>
            <w:rStyle w:val="Hypertextovodkaz"/>
          </w:rPr>
          <w:t>http://www.vlada.cz/assets/evropske-zalezitosti/aktualne/NPR-2014.pdf</w:t>
        </w:r>
      </w:hyperlink>
    </w:p>
    <w:p w:rsidR="000F4B16" w:rsidRPr="006A56DB" w:rsidRDefault="000F4B16" w:rsidP="000F4B16">
      <w:pPr>
        <w:pStyle w:val="Standardntext"/>
        <w:shd w:val="clear" w:color="auto" w:fill="B8CCE4"/>
        <w:rPr>
          <w:rFonts w:cs="Times New Roman"/>
          <w:color w:val="000000"/>
        </w:rPr>
      </w:pPr>
      <w:r w:rsidRPr="006A56DB">
        <w:rPr>
          <w:b/>
        </w:rPr>
        <w:t xml:space="preserve">Kritérium: </w:t>
      </w:r>
      <w:r w:rsidR="00500C59" w:rsidRPr="004E15C5">
        <w:t>o</w:t>
      </w:r>
      <w:r w:rsidRPr="006A56DB">
        <w:rPr>
          <w:rFonts w:cs="Times New Roman"/>
        </w:rPr>
        <w:t>patření zavedená s cílem zkrátit dobu potřebnou k založení firmy a snížit příslušné náklady, která zohledňují cíle SBA</w:t>
      </w:r>
    </w:p>
    <w:p w:rsidR="000F4B16" w:rsidRPr="006A56DB" w:rsidRDefault="000F4B16" w:rsidP="000F4B16">
      <w:pPr>
        <w:pStyle w:val="Standardntext"/>
        <w:shd w:val="clear" w:color="auto" w:fill="DBE5F1"/>
        <w:rPr>
          <w:rFonts w:cs="Times New Roman"/>
        </w:rPr>
      </w:pPr>
      <w:r w:rsidRPr="006A56DB">
        <w:rPr>
          <w:b/>
        </w:rPr>
        <w:t>Vysvětlení:</w:t>
      </w:r>
      <w:r w:rsidRPr="006A56DB">
        <w:rPr>
          <w:rFonts w:cs="Times New Roman"/>
        </w:rPr>
        <w:t xml:space="preserve"> Pro oblast živnostenského podnikání</w:t>
      </w:r>
      <w:r w:rsidRPr="006A56DB">
        <w:rPr>
          <w:rFonts w:cs="Times New Roman"/>
          <w:u w:val="single"/>
        </w:rPr>
        <w:t xml:space="preserve"> </w:t>
      </w:r>
      <w:r w:rsidRPr="006A56DB">
        <w:rPr>
          <w:rFonts w:cs="Times New Roman"/>
        </w:rPr>
        <w:t>(působnost MPO) zákonem č. 130/2008 Sb. došlo ke snížení nákladů na vstup do živnostenského podnikání a zkrátila se doba pro vydání dokladu o vzniku práva podnikat (z 15 dní na 5 pracovních dní). Oprávnění k provozování živnosti na území ČR lze získat při splnění podmínek dle živnostenského zákona i velmi krátké době (několik desítek minut, resp. na počkání). Vstupní náklady činí 1000 Kč.</w:t>
      </w:r>
    </w:p>
    <w:p w:rsidR="000F4B16" w:rsidRPr="006A56DB" w:rsidRDefault="000F4B16" w:rsidP="000F4B16">
      <w:pPr>
        <w:pStyle w:val="Standardntext"/>
        <w:shd w:val="clear" w:color="auto" w:fill="DBE5F1"/>
        <w:rPr>
          <w:rFonts w:cs="Times New Roman"/>
        </w:rPr>
      </w:pPr>
      <w:r w:rsidRPr="006A56DB">
        <w:rPr>
          <w:rFonts w:cs="Times New Roman"/>
        </w:rPr>
        <w:t>K nákladům na založení podniku:</w:t>
      </w:r>
    </w:p>
    <w:p w:rsidR="000F4B16" w:rsidRPr="006A56DB" w:rsidRDefault="000F4B16" w:rsidP="000F4B16">
      <w:pPr>
        <w:pStyle w:val="Standardntext"/>
        <w:shd w:val="clear" w:color="auto" w:fill="DBE5F1"/>
        <w:rPr>
          <w:rFonts w:cs="Times New Roman"/>
        </w:rPr>
      </w:pPr>
      <w:r w:rsidRPr="006A56DB">
        <w:rPr>
          <w:rFonts w:cs="Times New Roman"/>
        </w:rPr>
        <w:t xml:space="preserve">Ministerstvem spravedlnosti je v současné době v souladu se zpracovaným akčním plánem připravováno legislativní řešení, </w:t>
      </w:r>
      <w:r w:rsidR="006D10BF">
        <w:rPr>
          <w:rFonts w:cs="Times New Roman"/>
        </w:rPr>
        <w:t xml:space="preserve">které </w:t>
      </w:r>
      <w:r w:rsidR="00500C59">
        <w:rPr>
          <w:rFonts w:cs="Times New Roman"/>
        </w:rPr>
        <w:t xml:space="preserve">umožní osvobození společností s ručením omezeným od soudních poplatků v případě, že splní zákonem stanovené podmínky, tj. </w:t>
      </w:r>
      <w:r w:rsidR="00500C59" w:rsidRPr="00926A66">
        <w:t>1) žadatel splní tzv. základní náležitosti zakladatelského právního jednání, které</w:t>
      </w:r>
      <w:r w:rsidR="00500C59">
        <w:t xml:space="preserve"> jsou</w:t>
      </w:r>
      <w:r w:rsidR="00500C59" w:rsidRPr="00926A66">
        <w:t xml:space="preserve"> uvedeny v občanském zákoníku a v zákoně o obchodních korporacích</w:t>
      </w:r>
      <w:r w:rsidR="00500C59">
        <w:t>,</w:t>
      </w:r>
      <w:r w:rsidR="00500C59" w:rsidRPr="00926A66">
        <w:t xml:space="preserve"> 2) vkladová povinnost je splacena v penězích a 3) zápis do veřejného rejstříku provedl notář</w:t>
      </w:r>
      <w:r w:rsidR="00500C59">
        <w:t xml:space="preserve">. </w:t>
      </w:r>
      <w:r w:rsidR="006D10BF">
        <w:t xml:space="preserve">Tímto bude docíleno toho, že náklady na založení takové společnosti s ručením omezeným se budou pohybovat v limitech nastavených Evropskou komisí. Návrh zákona </w:t>
      </w:r>
      <w:r w:rsidR="00365584">
        <w:t xml:space="preserve">byl </w:t>
      </w:r>
      <w:r w:rsidR="006D10BF">
        <w:t xml:space="preserve">vládě předložen v prosinci 2014, účinnost se předpokládá v druhé polovině roku 2015. </w:t>
      </w:r>
      <w:r w:rsidRPr="006A56DB">
        <w:rPr>
          <w:rFonts w:cs="Times New Roman"/>
        </w:rPr>
        <w:t xml:space="preserve">Současně jsou činěna i další opatření, která fakticky snížila celkové náklady na založení podniku – například výrazné rozšíření kooperace jednotlivých systémů státní správy a vytvoření nového systému tzv. základních registrů zákonem ze dne 26. března 2009 č. 111/2009 Sb., o základních registrech, a jeho využívání při zakládání obchodních společností, dále také odstranění povinnosti přikládat k návrhu na zápis osoby výpis z katastru nemovitostí, předložit u každého společníka výpis z evidence Rejstříku trestů k prokázání jeho bezúhonnosti. K určitým úsporám by podle stavu od 1. ledna 2014 též mohlo dojít v souvislosti s přímými zápisy notářů. </w:t>
      </w:r>
    </w:p>
    <w:p w:rsidR="000F4B16" w:rsidRPr="006A56DB" w:rsidRDefault="000F4B16" w:rsidP="000F4B16">
      <w:pPr>
        <w:pStyle w:val="Standardntext"/>
        <w:shd w:val="clear" w:color="auto" w:fill="DBE5F1"/>
        <w:rPr>
          <w:rFonts w:cs="Times New Roman"/>
        </w:rPr>
      </w:pPr>
      <w:r w:rsidRPr="006A56DB">
        <w:rPr>
          <w:rFonts w:cs="Times New Roman"/>
        </w:rPr>
        <w:t xml:space="preserve">S otázkou nákladnosti zakládání společnosti pak souvisí i skutečnost, že podle ustanovení § 142 zákona č. 90/2012 Sb., o obchodních společnostech a družstvech (zákon o obchodních korporacích), je od 1. ledna 2014 nově stanovena minimální výše vkladu do společnosti s ručením omezeným pouze ve výši 1 Kč, </w:t>
      </w:r>
      <w:r w:rsidRPr="006A56DB">
        <w:rPr>
          <w:rFonts w:cs="Times New Roman"/>
          <w:bCs/>
        </w:rPr>
        <w:t>oproti starému obchodnímu zákoníku, kde byl</w:t>
      </w:r>
      <w:r w:rsidRPr="006A56DB">
        <w:rPr>
          <w:rFonts w:cs="Times New Roman"/>
        </w:rPr>
        <w:t xml:space="preserve"> povinný základní kapitál u společnosti s ručením omezeným ve výši 200.000,- Kč.</w:t>
      </w:r>
    </w:p>
    <w:p w:rsidR="000F4B16" w:rsidRPr="006A56DB" w:rsidRDefault="000F4B16" w:rsidP="000F4B16">
      <w:pPr>
        <w:pStyle w:val="Standardntext"/>
        <w:shd w:val="clear" w:color="auto" w:fill="DBE5F1"/>
        <w:rPr>
          <w:rFonts w:cs="Times New Roman"/>
        </w:rPr>
      </w:pPr>
      <w:r w:rsidRPr="006A56DB">
        <w:rPr>
          <w:rFonts w:cs="Times New Roman"/>
        </w:rPr>
        <w:t xml:space="preserve">Všechna tato opatření pak v komplexu přinášejí snížení nákladů malých a středních podniků jak při jejich zakládání, tak i po dobu jejich existence. </w:t>
      </w:r>
    </w:p>
    <w:p w:rsidR="000F4B16" w:rsidRPr="006A56DB" w:rsidRDefault="000F4B16" w:rsidP="000F4B16">
      <w:pPr>
        <w:pStyle w:val="Standardntext"/>
        <w:shd w:val="clear" w:color="auto" w:fill="DBE5F1"/>
        <w:rPr>
          <w:b/>
        </w:rPr>
      </w:pPr>
      <w:r w:rsidRPr="006A56DB">
        <w:rPr>
          <w:rFonts w:cs="Times New Roman"/>
        </w:rPr>
        <w:t>Problematika naplnění kritérií je řešena jednáním mezi MPO,  MSp a MMR.</w:t>
      </w:r>
    </w:p>
    <w:p w:rsidR="000F4B16" w:rsidRPr="006A56DB" w:rsidRDefault="000F4B16" w:rsidP="000F4B16">
      <w:pPr>
        <w:pStyle w:val="Standardntext"/>
        <w:shd w:val="clear" w:color="auto" w:fill="B8CCE4"/>
        <w:rPr>
          <w:rFonts w:cs="Times New Roman"/>
          <w:color w:val="000000"/>
        </w:rPr>
      </w:pPr>
      <w:r w:rsidRPr="006A56DB">
        <w:rPr>
          <w:b/>
        </w:rPr>
        <w:t xml:space="preserve">Kritérium: </w:t>
      </w:r>
      <w:r w:rsidRPr="006A56DB">
        <w:rPr>
          <w:rFonts w:cs="Times New Roman"/>
        </w:rPr>
        <w:t>opatření zavedená s cílem zkrátit dobu potřebnou k získání licencí a povolení k zahájení a provádění konkrétní činnosti podniku, která zohledňují cíle SBA.</w:t>
      </w:r>
    </w:p>
    <w:p w:rsidR="000F4B16" w:rsidRPr="006A56DB" w:rsidRDefault="000F4B16" w:rsidP="000F4B16">
      <w:pPr>
        <w:pStyle w:val="Standardntext"/>
        <w:shd w:val="clear" w:color="auto" w:fill="DBE5F1"/>
        <w:rPr>
          <w:rFonts w:cs="Times New Roman"/>
        </w:rPr>
      </w:pPr>
      <w:r w:rsidRPr="006A56DB">
        <w:rPr>
          <w:b/>
        </w:rPr>
        <w:t xml:space="preserve">Vysvětlení: </w:t>
      </w:r>
      <w:r w:rsidRPr="006A56DB">
        <w:rPr>
          <w:rFonts w:cs="Times New Roman"/>
        </w:rPr>
        <w:t xml:space="preserve">Pro oblast živnostenského podnikání (tj. získání podnikatelského oprávnění podle živnostenského zákona, gesce MPO) splněno -  v případě splnění všech podmínek stanovených zákonem může podnikatel, který ohlásí živnost obecnímu živnostenskému úřadu, od okamžiku ohlášení živnosti již podnikat. Pouze u koncesovaných živností, které v současné době představují zhruba 4% všech platných živnostenských oprávnění a týkají se činností, u nichž je požadavek na regulaci dán nutností zvýšené ochrany zdraví, života a </w:t>
      </w:r>
      <w:r w:rsidRPr="006A56DB">
        <w:rPr>
          <w:rFonts w:cs="Times New Roman"/>
        </w:rPr>
        <w:lastRenderedPageBreak/>
        <w:t>bezpečnosti, je doba pro vznik oprávnění podnikat delší (cca 1 měsíc od podání žádosti). Zákonem č. 130/2008 Sb. došlo ke snížení nákladů na vstup do živnostenského podnikání a zkrátila se doba pro vydání dokladu o vzniku práva podnikat (z 15 dní na 5 pracovních dní).</w:t>
      </w:r>
    </w:p>
    <w:p w:rsidR="000F4B16" w:rsidRPr="006A56DB" w:rsidRDefault="000F4B16" w:rsidP="000F4B16">
      <w:pPr>
        <w:pStyle w:val="Standardntext"/>
        <w:shd w:val="clear" w:color="auto" w:fill="DBE5F1"/>
        <w:rPr>
          <w:rFonts w:cs="Times New Roman"/>
        </w:rPr>
      </w:pPr>
      <w:r w:rsidRPr="006A56DB">
        <w:rPr>
          <w:rFonts w:cs="Times New Roman"/>
        </w:rPr>
        <w:t xml:space="preserve">MPO (v oblasti živnostenského podnikání) průběžně činí legislativní opatření ke snížení administrativní náročnosti a doby potřebné k založení podniku např. zavedení elektronického podání, zavedení Centrálního registračního místa, zbavení povinnosti oznamovat změny, pokud byly oznámeny již jinému orgánu státní moci, atd.). V současné době je v legislativním procesu další novela živnostenského zákona, která, mimo jiné, zbaví podnikatele povinnosti předkládat dokumenty prokazující např. právní důvod užívání místa podnikání, odbornou způsobilost, atd., pokud již dříve tyto dokumenty doložil kterémukoliv živnostenskému úřadu na území České republiky. </w:t>
      </w:r>
      <w:r w:rsidRPr="006A56DB">
        <w:rPr>
          <w:rFonts w:cs="Times New Roman"/>
        </w:rPr>
        <w:br/>
        <w:t>Vykonávat podnikatelskou činnost a získat příslušné podnikatelské oprávnění je možno i na základě jiných právních předpisů (některé z nich jsou v gesci MPO).</w:t>
      </w:r>
    </w:p>
    <w:p w:rsidR="000F4B16" w:rsidRPr="006A56DB" w:rsidRDefault="000F4B16" w:rsidP="00132281">
      <w:pPr>
        <w:pStyle w:val="Standardntext"/>
        <w:shd w:val="clear" w:color="auto" w:fill="DBE5F1"/>
        <w:spacing w:after="0"/>
        <w:rPr>
          <w:rFonts w:cs="Times New Roman"/>
          <w:b/>
          <w:bCs/>
        </w:rPr>
      </w:pPr>
      <w:r w:rsidRPr="006A56DB">
        <w:rPr>
          <w:rFonts w:cs="Times New Roman"/>
          <w:bCs/>
        </w:rPr>
        <w:t>Vyjádření za oblast působnosti MSp:</w:t>
      </w:r>
    </w:p>
    <w:p w:rsidR="000F4B16" w:rsidRPr="006A56DB" w:rsidRDefault="000F4B16" w:rsidP="00132281">
      <w:pPr>
        <w:pStyle w:val="Standardntext"/>
        <w:shd w:val="clear" w:color="auto" w:fill="DBE5F1"/>
        <w:spacing w:after="0"/>
        <w:rPr>
          <w:b/>
        </w:rPr>
      </w:pPr>
      <w:r w:rsidRPr="006A56DB">
        <w:rPr>
          <w:rFonts w:cs="Times New Roman"/>
          <w:bCs/>
        </w:rPr>
        <w:t>Zákon č. 304/2013 Sb. umožňuje též, aby v případě, že notář činí notářský zápis ohledně skutečnosti, která se má zapsat do veřejného rejstříku, mohl rovnou sám takový zápis provést a podnikatel nemusel podávat další návrh na příslušný rejstříkový soud.</w:t>
      </w:r>
    </w:p>
    <w:p w:rsidR="000F4B16" w:rsidRPr="006A56DB" w:rsidRDefault="000F4B16" w:rsidP="000F4B16">
      <w:pPr>
        <w:pStyle w:val="Standardntext"/>
        <w:shd w:val="clear" w:color="auto" w:fill="B8CCE4"/>
        <w:rPr>
          <w:rFonts w:cs="Times New Roman"/>
          <w:color w:val="000000"/>
        </w:rPr>
      </w:pPr>
      <w:r w:rsidRPr="006A56DB">
        <w:rPr>
          <w:b/>
        </w:rPr>
        <w:t xml:space="preserve">Kritérium: </w:t>
      </w:r>
      <w:r w:rsidRPr="006A56DB">
        <w:rPr>
          <w:rFonts w:cs="Times New Roman"/>
        </w:rPr>
        <w:t>mechanismus zavedený s cílem monitoro</w:t>
      </w:r>
      <w:r w:rsidR="00132281">
        <w:rPr>
          <w:rFonts w:cs="Times New Roman"/>
        </w:rPr>
        <w:t xml:space="preserve">vat provádění kroků spjatých s </w:t>
      </w:r>
      <w:r w:rsidRPr="006A56DB">
        <w:rPr>
          <w:rFonts w:cs="Times New Roman"/>
        </w:rPr>
        <w:t>SBA, které byly podniknuty, a posuzovat dopady právních předpisů na malé a střední podniky</w:t>
      </w:r>
    </w:p>
    <w:p w:rsidR="000F4B16" w:rsidRPr="006A56DB" w:rsidRDefault="000F4B16" w:rsidP="000F4B16">
      <w:pPr>
        <w:pStyle w:val="Standardntext"/>
        <w:shd w:val="clear" w:color="auto" w:fill="DBE5F1"/>
        <w:rPr>
          <w:rFonts w:cs="Times New Roman"/>
        </w:rPr>
      </w:pPr>
      <w:r w:rsidRPr="006A56DB">
        <w:rPr>
          <w:b/>
        </w:rPr>
        <w:t xml:space="preserve">Vysvětlení: </w:t>
      </w:r>
      <w:r w:rsidRPr="006A56DB">
        <w:rPr>
          <w:rFonts w:cs="Times New Roman"/>
          <w:u w:val="single"/>
        </w:rPr>
        <w:t>Vyjádření k monitoringu implementace SBA:</w:t>
      </w:r>
    </w:p>
    <w:p w:rsidR="000F4B16" w:rsidRPr="006A56DB" w:rsidRDefault="000F4B16" w:rsidP="000F4B16">
      <w:pPr>
        <w:pStyle w:val="Standardntext"/>
        <w:shd w:val="clear" w:color="auto" w:fill="DBE5F1"/>
        <w:rPr>
          <w:rFonts w:cs="Times New Roman"/>
        </w:rPr>
      </w:pPr>
      <w:r w:rsidRPr="006A56DB">
        <w:rPr>
          <w:rFonts w:cs="Times New Roman"/>
        </w:rPr>
        <w:t>Monitoring implementace SBA bude zajištěn ve formě vypracovávání a hodnocení zpráv o implementaci opatření obsažených v SBA v působnosti jednotlivých resortů, v rámci aktivit národního zmocněnce pro MSP.</w:t>
      </w:r>
    </w:p>
    <w:p w:rsidR="000F4B16" w:rsidRPr="006A56DB" w:rsidRDefault="000F4B16" w:rsidP="000F4B16">
      <w:pPr>
        <w:pStyle w:val="Standardntext"/>
        <w:shd w:val="clear" w:color="auto" w:fill="DBE5F1"/>
        <w:rPr>
          <w:rFonts w:cs="Times New Roman"/>
        </w:rPr>
      </w:pPr>
      <w:r w:rsidRPr="006A56DB">
        <w:rPr>
          <w:rFonts w:cs="Times New Roman"/>
          <w:u w:val="single"/>
        </w:rPr>
        <w:t>Vyjádření k  hodnocení dopadů na MSP</w:t>
      </w:r>
      <w:r w:rsidRPr="006A56DB">
        <w:rPr>
          <w:rFonts w:cs="Times New Roman"/>
        </w:rPr>
        <w:t>:</w:t>
      </w:r>
    </w:p>
    <w:p w:rsidR="000F4B16" w:rsidRPr="006A56DB" w:rsidRDefault="000F4B16" w:rsidP="000F4B16">
      <w:pPr>
        <w:pStyle w:val="Standardntext"/>
        <w:shd w:val="clear" w:color="auto" w:fill="DBE5F1"/>
        <w:rPr>
          <w:b/>
        </w:rPr>
      </w:pPr>
      <w:r w:rsidRPr="006A56DB">
        <w:rPr>
          <w:rFonts w:cs="Times New Roman"/>
        </w:rPr>
        <w:t>V ČR je již od r. 2007 aplikováno, jako nedílná součást legislativního procesu, hodnocení dopadu regulace (RIA), v jehož rámci jsou identifikovány a vyhodnocovány očekávané dopady připravované regulace na její budoucí adresáty, a to podle identifikovaných skupin či kategorií budoucích adresátů regulace, u nichž lze očekávat rozdílný rozsah či povahu dopadů. Usnesením vlády č. 26 ze dne 8.1.2014 byly schváleny novelizované Obecné zásady pro hodnocení dopadů regulace (RIA), které obsahují v části Dopady na podnikatelské prostředí požadavek na popis očekávaných dopadů a jejich rozlišení ve vazbě na velikost podnikatelů (zejména s ohledem na osoby samostatně výdělečně činné a malé a střední podniky) a dále dopady na trh práce. Z tohoto pohledu nepovažujeme aplikaci zvláštních kategorií a testů v hodnocení dopadů za rozhodující opatření, tento přístup je již obsažen v současném procesu RIA.</w:t>
      </w:r>
    </w:p>
    <w:p w:rsidR="000F4B16" w:rsidRPr="006A56DB" w:rsidRDefault="000F4B16" w:rsidP="000F4B16">
      <w:pPr>
        <w:pStyle w:val="Standardntext"/>
        <w:rPr>
          <w:b/>
        </w:rPr>
      </w:pPr>
    </w:p>
    <w:p w:rsidR="000F4B16" w:rsidRPr="006A56DB" w:rsidRDefault="000F4B16" w:rsidP="000F4B16">
      <w:pPr>
        <w:pStyle w:val="Standardntext"/>
        <w:keepNext/>
        <w:keepLines/>
        <w:shd w:val="clear" w:color="auto" w:fill="95B3D7"/>
        <w:rPr>
          <w:rFonts w:cs="Times New Roman"/>
          <w:b/>
        </w:rPr>
      </w:pPr>
      <w:r w:rsidRPr="006A56DB">
        <w:rPr>
          <w:b/>
        </w:rPr>
        <w:t xml:space="preserve">Předběžná podmínka: </w:t>
      </w:r>
      <w:r w:rsidRPr="006A56DB">
        <w:rPr>
          <w:rFonts w:cs="Times New Roman"/>
        </w:rPr>
        <w:t>8.2. Samostatná výdělečná činnost, podnikání a zakládání firem: existence strategického rámce politiky podpory začínajících podniků přispívající k začlenění.</w:t>
      </w:r>
    </w:p>
    <w:p w:rsidR="000F4B16" w:rsidRPr="006A56DB" w:rsidRDefault="000F4B16" w:rsidP="000F4B16">
      <w:pPr>
        <w:pStyle w:val="Standardntext"/>
        <w:keepNext/>
        <w:keepLines/>
        <w:shd w:val="clear" w:color="auto" w:fill="B8CCE4"/>
        <w:rPr>
          <w:rFonts w:cs="Times New Roman"/>
          <w:color w:val="000000"/>
        </w:rPr>
      </w:pPr>
      <w:r w:rsidRPr="006A56DB">
        <w:rPr>
          <w:b/>
        </w:rPr>
        <w:t xml:space="preserve">Kritérium: </w:t>
      </w:r>
      <w:r w:rsidRPr="006A56DB">
        <w:rPr>
          <w:rFonts w:cs="Times New Roman"/>
        </w:rPr>
        <w:t>Je zaveden strategický rámec politiky podpory začínajících podniků přispívající k začlenění, obsahující tyto prvky:</w:t>
      </w:r>
    </w:p>
    <w:p w:rsidR="000F4B16" w:rsidRPr="006A56DB" w:rsidRDefault="000F4B16" w:rsidP="000F4B16">
      <w:pPr>
        <w:pStyle w:val="Standardntext"/>
        <w:keepNext/>
        <w:keepLines/>
        <w:shd w:val="clear" w:color="auto" w:fill="DBE5F1"/>
        <w:rPr>
          <w:rFonts w:cs="Times New Roman"/>
        </w:rPr>
      </w:pPr>
      <w:r w:rsidRPr="006A56DB">
        <w:rPr>
          <w:b/>
        </w:rPr>
        <w:t xml:space="preserve">Vysvětlení: </w:t>
      </w:r>
      <w:r w:rsidRPr="006A56DB">
        <w:rPr>
          <w:rFonts w:cs="Times New Roman"/>
        </w:rPr>
        <w:t>Vládou byla schválena Strategie mezinárodní konkurenceschopnosti (SMK) v r. 2011.</w:t>
      </w:r>
    </w:p>
    <w:p w:rsidR="000F4B16" w:rsidRPr="006A56DB" w:rsidRDefault="000F4B16" w:rsidP="000F4B16">
      <w:pPr>
        <w:pStyle w:val="Standardntext"/>
        <w:shd w:val="clear" w:color="auto" w:fill="DBE5F1"/>
        <w:rPr>
          <w:rFonts w:cs="Times New Roman"/>
        </w:rPr>
      </w:pPr>
      <w:r w:rsidRPr="006A56DB">
        <w:rPr>
          <w:rFonts w:cs="Times New Roman"/>
        </w:rPr>
        <w:t>Vládou byla schválena rovněž Koncepce podpory malých a středních podnikatelů na období let 2014–2020.</w:t>
      </w:r>
    </w:p>
    <w:p w:rsidR="000F4B16" w:rsidRPr="006A56DB" w:rsidRDefault="000F4B16" w:rsidP="000F4B16">
      <w:pPr>
        <w:pStyle w:val="Standardntext"/>
        <w:shd w:val="clear" w:color="auto" w:fill="DBE5F1"/>
        <w:rPr>
          <w:b/>
        </w:rPr>
      </w:pPr>
      <w:r w:rsidRPr="006A56DB">
        <w:rPr>
          <w:rFonts w:cs="Times New Roman"/>
        </w:rPr>
        <w:lastRenderedPageBreak/>
        <w:t>Opatření související se zesílením podpory podnikatelského prostředí jsou též součástí Národního programu reforem (2014), kap. 4.2.</w:t>
      </w:r>
    </w:p>
    <w:p w:rsidR="000F4B16" w:rsidRPr="006A56DB" w:rsidRDefault="000F4B16" w:rsidP="000F4B16">
      <w:pPr>
        <w:pStyle w:val="Standardntext"/>
        <w:keepNext/>
        <w:keepLines/>
        <w:shd w:val="clear" w:color="auto" w:fill="B8CCE4"/>
        <w:rPr>
          <w:rFonts w:cs="Times New Roman"/>
          <w:color w:val="000000"/>
        </w:rPr>
      </w:pPr>
      <w:r w:rsidRPr="006A56DB">
        <w:rPr>
          <w:b/>
        </w:rPr>
        <w:t xml:space="preserve">Kritérium: </w:t>
      </w:r>
      <w:r w:rsidRPr="006A56DB">
        <w:rPr>
          <w:rFonts w:cs="Times New Roman"/>
        </w:rPr>
        <w:t>• opatření zavedená s cílem zkrátit dobu potřebnou k založení firmy a snížit příslušné náklady, která zohledňují cíle SBA.</w:t>
      </w:r>
    </w:p>
    <w:p w:rsidR="000F4B16" w:rsidRPr="006A56DB" w:rsidRDefault="000F4B16" w:rsidP="000F4B16">
      <w:pPr>
        <w:pStyle w:val="Standardntext"/>
        <w:keepNext/>
        <w:keepLines/>
        <w:shd w:val="clear" w:color="auto" w:fill="DBE5F1"/>
        <w:rPr>
          <w:rFonts w:cs="Times New Roman"/>
        </w:rPr>
      </w:pPr>
      <w:r w:rsidRPr="006A56DB">
        <w:rPr>
          <w:b/>
        </w:rPr>
        <w:t>Vysvětlení:</w:t>
      </w:r>
      <w:r w:rsidRPr="006A56DB">
        <w:rPr>
          <w:rFonts w:cs="Times New Roman"/>
        </w:rPr>
        <w:t xml:space="preserve"> Pro oblast živnostenského podnikání</w:t>
      </w:r>
      <w:r w:rsidRPr="006A56DB">
        <w:rPr>
          <w:rFonts w:cs="Times New Roman"/>
          <w:u w:val="single"/>
        </w:rPr>
        <w:t xml:space="preserve"> </w:t>
      </w:r>
      <w:r w:rsidRPr="006A56DB">
        <w:rPr>
          <w:rFonts w:cs="Times New Roman"/>
        </w:rPr>
        <w:t>(gesce MPO) zákonem č. 130/2008 Sb. došlo ke snížení nákladů na vstup do podnikání a zkrátila se doba pro vydání dokladu o vzniku práva podnikat (z 15 na 5 pracovních dní). Oprávnění lze získat při splnění podmínek zákona i ve velmi krátké době (několik desítek minut, resp. na počkání). Vstupní náklady činí 1000 Kč.</w:t>
      </w:r>
    </w:p>
    <w:p w:rsidR="000F4B16" w:rsidRPr="006A56DB" w:rsidRDefault="000F4B16" w:rsidP="000F4B16">
      <w:pPr>
        <w:pStyle w:val="Standardntext"/>
        <w:shd w:val="clear" w:color="auto" w:fill="DBE5F1"/>
        <w:rPr>
          <w:rFonts w:cs="Times New Roman"/>
        </w:rPr>
      </w:pPr>
      <w:r w:rsidRPr="006A56DB">
        <w:rPr>
          <w:rFonts w:cs="Times New Roman"/>
        </w:rPr>
        <w:t xml:space="preserve">Ke splnění podmínky jsou nutné kroky ke snížení nákladů na založení podniku v gesci </w:t>
      </w:r>
      <w:r w:rsidRPr="00132281">
        <w:rPr>
          <w:rFonts w:cs="Times New Roman"/>
        </w:rPr>
        <w:t>MSp</w:t>
      </w:r>
      <w:r w:rsidRPr="006A56DB">
        <w:rPr>
          <w:rFonts w:cs="Times New Roman"/>
        </w:rPr>
        <w:t xml:space="preserve"> (legislativní řešení v souladu se zpracovaným akčním plánem</w:t>
      </w:r>
      <w:r w:rsidR="006D10BF">
        <w:rPr>
          <w:rFonts w:cs="Times New Roman"/>
        </w:rPr>
        <w:t xml:space="preserve"> – viz vyjádření u podmínky č. 3.1</w:t>
      </w:r>
      <w:r w:rsidRPr="006A56DB">
        <w:rPr>
          <w:rFonts w:cs="Times New Roman"/>
        </w:rPr>
        <w:t xml:space="preserve">). </w:t>
      </w:r>
    </w:p>
    <w:p w:rsidR="000F4B16" w:rsidRPr="006A56DB" w:rsidRDefault="000F4B16" w:rsidP="000F4B16">
      <w:pPr>
        <w:pStyle w:val="Standardntext"/>
        <w:shd w:val="clear" w:color="auto" w:fill="DBE5F1"/>
        <w:rPr>
          <w:rFonts w:cs="Times New Roman"/>
        </w:rPr>
      </w:pPr>
      <w:r w:rsidRPr="006A56DB">
        <w:rPr>
          <w:rFonts w:cs="Times New Roman"/>
        </w:rPr>
        <w:t>Předpokládáme, že se zde pojmem podnik rozumí obchodní společnost nebo družstvo. Pokud by do této kategorie měly spadat i fyzické osoby (tzv. OSVČ), potom k zahájení podnikání fyzických osob podnikajících v režimu živnostenského zákona platí to, co níže uvedeno k získávání licencí a povolení. Je zaveden systém snižování administrativní zátěže, který je pravidelně vyhodnocován.</w:t>
      </w:r>
    </w:p>
    <w:p w:rsidR="000F4B16" w:rsidRPr="006A56DB" w:rsidRDefault="000F4B16" w:rsidP="000F4B16">
      <w:pPr>
        <w:pStyle w:val="Standardntext"/>
        <w:shd w:val="clear" w:color="auto" w:fill="DBE5F1"/>
        <w:rPr>
          <w:rFonts w:cs="Times New Roman"/>
        </w:rPr>
      </w:pPr>
      <w:r w:rsidRPr="006A56DB">
        <w:rPr>
          <w:rFonts w:cs="Times New Roman"/>
        </w:rPr>
        <w:t>Podrobné vyjádření za oblast působnosti MSp je obsaženo u předběžné podmínky č. 3.1. MSp dále odkazuje také na plnění Plánu snižování administrativní zátěže.</w:t>
      </w:r>
    </w:p>
    <w:p w:rsidR="000F4B16" w:rsidRPr="006A56DB" w:rsidRDefault="000F4B16" w:rsidP="000F4B16">
      <w:pPr>
        <w:pStyle w:val="Standardntext"/>
        <w:shd w:val="clear" w:color="auto" w:fill="DBE5F1"/>
        <w:rPr>
          <w:b/>
        </w:rPr>
      </w:pPr>
      <w:r w:rsidRPr="006A56DB">
        <w:rPr>
          <w:rFonts w:cs="Times New Roman"/>
        </w:rPr>
        <w:t>Plán obsahuje opatření k usnadnění vstupu do podnikání jak v gesci MPO (novela živnostenského zákona), tak v gesci MSp (rejstříkový zákon).</w:t>
      </w:r>
    </w:p>
    <w:p w:rsidR="000F4B16" w:rsidRPr="006A56DB" w:rsidRDefault="000F4B16" w:rsidP="000F4B16">
      <w:pPr>
        <w:pStyle w:val="Standardntext"/>
        <w:shd w:val="clear" w:color="auto" w:fill="B8CCE4"/>
        <w:rPr>
          <w:rFonts w:cs="Times New Roman"/>
          <w:color w:val="000000"/>
        </w:rPr>
      </w:pPr>
      <w:r w:rsidRPr="006A56DB">
        <w:rPr>
          <w:b/>
        </w:rPr>
        <w:t xml:space="preserve">Kritérium: </w:t>
      </w:r>
      <w:r w:rsidRPr="006A56DB">
        <w:rPr>
          <w:rFonts w:cs="Times New Roman"/>
        </w:rPr>
        <w:t>opatření zavedená s cílem zkrátit dobu potřebnou k získání licencí a povolení k zahájení a provádění konkrétní činnosti podniku, která  zohledňují cíle SBA.</w:t>
      </w:r>
    </w:p>
    <w:p w:rsidR="000F4B16" w:rsidRPr="006A56DB" w:rsidRDefault="000F4B16" w:rsidP="000F4B16">
      <w:pPr>
        <w:pStyle w:val="Standardntext"/>
        <w:shd w:val="clear" w:color="auto" w:fill="DBE5F1"/>
        <w:rPr>
          <w:rFonts w:cs="Times New Roman"/>
          <w:strike/>
        </w:rPr>
      </w:pPr>
      <w:r w:rsidRPr="006A56DB">
        <w:rPr>
          <w:b/>
        </w:rPr>
        <w:t>Vysvětlení:</w:t>
      </w:r>
      <w:r w:rsidRPr="006A56DB">
        <w:rPr>
          <w:rFonts w:cs="Times New Roman"/>
        </w:rPr>
        <w:t xml:space="preserve"> Pro oblast živnostenského podnikání (tj. získání podnikatelského oprávnění podle živnostenského zákona) splněno -  v případě splnění všech podmínek stanovených zákonem může podnikatel, který ohlásí živnost obecnímu živnostenskému úřadu, od okamžiku ohlášení živnosti již podnikat. Pouze u koncesovaných živností, které v současné době představují zhruba 4% všech platných živnostenských oprávnění a týkají se činností, u nichž je požadavek na regulaci dán nutností zvýšené ochrany zdraví, života a bezpečnosti (tomu jsou  přizpůsobeny i  požadavky na odbornou či jinou způsobilost, u většiny koncesovaných živností se rovněž vyžaduje stanovisko i jiného orgánu státní správy než je živnostenský úřad), je doba pro vznik oprávnění podnikat delší (cca 1 měsíc od podání žádosti). Zákonem č. 130/2008 Sb. došlo ke snížení nákladů na vstup do živnostenského podnikání a zkrátila se doba pro vydání dokladu o vzniku práva podnikat (z 15 dní na 5 pracovních dní).  </w:t>
      </w:r>
    </w:p>
    <w:p w:rsidR="000F4B16" w:rsidRPr="006A56DB" w:rsidRDefault="000F4B16" w:rsidP="000F4B16">
      <w:pPr>
        <w:pStyle w:val="Standardntext"/>
        <w:shd w:val="clear" w:color="auto" w:fill="DBE5F1"/>
        <w:rPr>
          <w:rFonts w:cs="Times New Roman"/>
        </w:rPr>
      </w:pPr>
      <w:r w:rsidRPr="006A56DB">
        <w:rPr>
          <w:rFonts w:cs="Times New Roman"/>
        </w:rPr>
        <w:t>Vykonávat podnikatelskou činnost a získat příslušné podnikatelské oprávnění je možno i na základě jiných právních předpisů (některé z nich jsou v gesci MPO).</w:t>
      </w:r>
    </w:p>
    <w:p w:rsidR="000F4B16" w:rsidRPr="006A56DB" w:rsidRDefault="000F4B16" w:rsidP="000F4B16">
      <w:pPr>
        <w:pStyle w:val="Standardntext"/>
        <w:shd w:val="clear" w:color="auto" w:fill="DBE5F1"/>
        <w:rPr>
          <w:rFonts w:cs="Times New Roman"/>
          <w:u w:val="single"/>
        </w:rPr>
      </w:pPr>
      <w:r w:rsidRPr="006A56DB">
        <w:rPr>
          <w:rFonts w:cs="Times New Roman"/>
          <w:u w:val="single"/>
        </w:rPr>
        <w:t>Vyjádření MSp k problematice zápisu do obch. rejstříku:</w:t>
      </w:r>
    </w:p>
    <w:p w:rsidR="000F4B16" w:rsidRPr="006A56DB" w:rsidRDefault="000F4B16" w:rsidP="000F4B16">
      <w:pPr>
        <w:pStyle w:val="Standardntext"/>
        <w:shd w:val="clear" w:color="auto" w:fill="DBE5F1"/>
        <w:rPr>
          <w:rFonts w:cs="Times New Roman"/>
        </w:rPr>
      </w:pPr>
      <w:r w:rsidRPr="006A56DB">
        <w:rPr>
          <w:rFonts w:cs="Times New Roman"/>
        </w:rPr>
        <w:t xml:space="preserve">Současný právní řád dává rejstříkovým soudům povinnost provést zápis do obchodního rejstříku ve standardních případech do 5 dní od podání návrhu. Pokud rejstříkový soud do této doby zápis neprovede, považuje se zápis za provedený dnem následujícím po uplynutí této lhůty (fikce zápisu). Zákon o veřejných rejstřících právnických a fyzických osob umožňuje též, aby </w:t>
      </w:r>
      <w:r w:rsidR="00F8551C">
        <w:rPr>
          <w:rFonts w:cs="Times New Roman"/>
        </w:rPr>
        <w:t xml:space="preserve">právnické osoby </w:t>
      </w:r>
      <w:r w:rsidRPr="006A56DB">
        <w:rPr>
          <w:rFonts w:cs="Times New Roman"/>
        </w:rPr>
        <w:t xml:space="preserve">zapisoval do veřejného rejstříku notář, pokud je podkladem pro zápis do veřejného rejstříku notářský zápis (§ 108 a násl. zákona). To může být i u </w:t>
      </w:r>
      <w:proofErr w:type="spellStart"/>
      <w:r w:rsidRPr="006A56DB">
        <w:rPr>
          <w:rFonts w:cs="Times New Roman"/>
        </w:rPr>
        <w:t>prvozápisů</w:t>
      </w:r>
      <w:proofErr w:type="spellEnd"/>
      <w:r w:rsidRPr="006A56DB">
        <w:rPr>
          <w:rFonts w:cs="Times New Roman"/>
        </w:rPr>
        <w:t xml:space="preserve">. Pokud bude mít notář k dispozici veškeré podklady pro zápis do obchodního </w:t>
      </w:r>
      <w:r w:rsidRPr="006A56DB">
        <w:rPr>
          <w:rFonts w:cs="Times New Roman"/>
        </w:rPr>
        <w:lastRenderedPageBreak/>
        <w:t xml:space="preserve">rejstříku, bude schopen zápis provést během jediného dne. Notář však standardně bude zápisy provádět během 1 dne. </w:t>
      </w:r>
    </w:p>
    <w:p w:rsidR="000F4B16" w:rsidRPr="006A56DB" w:rsidRDefault="000F4B16" w:rsidP="000F4B16">
      <w:pPr>
        <w:pStyle w:val="Standardntext"/>
        <w:shd w:val="clear" w:color="auto" w:fill="DBE5F1"/>
        <w:rPr>
          <w:b/>
        </w:rPr>
      </w:pPr>
      <w:r w:rsidRPr="006A56DB">
        <w:rPr>
          <w:rFonts w:cs="Times New Roman"/>
        </w:rPr>
        <w:t>Podrobněji uvedeno ve vyjádření k předběžné podmínce č. 3.1.</w:t>
      </w:r>
    </w:p>
    <w:p w:rsidR="000F4B16" w:rsidRPr="006A56DB" w:rsidRDefault="000F4B16" w:rsidP="000F4B16">
      <w:pPr>
        <w:pStyle w:val="Standardntext"/>
        <w:shd w:val="clear" w:color="auto" w:fill="B8CCE4"/>
        <w:rPr>
          <w:rFonts w:cs="Times New Roman"/>
          <w:color w:val="000000"/>
        </w:rPr>
      </w:pPr>
      <w:r w:rsidRPr="006A56DB">
        <w:rPr>
          <w:b/>
        </w:rPr>
        <w:t xml:space="preserve">Kritérium: </w:t>
      </w:r>
      <w:r w:rsidRPr="006A56DB">
        <w:rPr>
          <w:rFonts w:cs="Times New Roman"/>
        </w:rPr>
        <w:t>činnosti propojující vhodné služby pro rozvoj podnikání a finanční služby (přístup ke kapitálu), včetně  aktivní pomoci pro znevýhodněné skupiny,  popř. oblasti či obojí.</w:t>
      </w:r>
    </w:p>
    <w:p w:rsidR="000F4B16" w:rsidRPr="006A56DB" w:rsidRDefault="000F4B16" w:rsidP="000F4B16">
      <w:pPr>
        <w:pStyle w:val="Standardntext"/>
        <w:shd w:val="clear" w:color="auto" w:fill="DBE5F1"/>
        <w:rPr>
          <w:rFonts w:cs="Times New Roman"/>
        </w:rPr>
      </w:pPr>
      <w:r w:rsidRPr="006A56DB">
        <w:rPr>
          <w:b/>
        </w:rPr>
        <w:t xml:space="preserve">Vysvětlení: </w:t>
      </w:r>
      <w:r w:rsidRPr="006A56DB">
        <w:rPr>
          <w:rFonts w:cs="Times New Roman"/>
        </w:rPr>
        <w:t xml:space="preserve">Vládou byla schválena Strategie mezinárodní konkurenceschopnosti (SMK) v r. 2011 - zejména projektový záměr SMK 30, 34, 35 (realizace projektu agentury </w:t>
      </w:r>
      <w:proofErr w:type="spellStart"/>
      <w:r w:rsidRPr="006A56DB">
        <w:rPr>
          <w:rFonts w:cs="Times New Roman"/>
        </w:rPr>
        <w:t>CzechInvest</w:t>
      </w:r>
      <w:proofErr w:type="spellEnd"/>
      <w:r w:rsidRPr="006A56DB">
        <w:rPr>
          <w:rFonts w:cs="Times New Roman"/>
        </w:rPr>
        <w:t xml:space="preserve"> "</w:t>
      </w:r>
      <w:proofErr w:type="spellStart"/>
      <w:r w:rsidRPr="006A56DB">
        <w:rPr>
          <w:rFonts w:cs="Times New Roman"/>
        </w:rPr>
        <w:t>CzechEkoSystem</w:t>
      </w:r>
      <w:proofErr w:type="spellEnd"/>
      <w:r w:rsidRPr="006A56DB">
        <w:rPr>
          <w:rFonts w:cs="Times New Roman"/>
        </w:rPr>
        <w:t>" má vazbu na projekt 35).</w:t>
      </w:r>
    </w:p>
    <w:p w:rsidR="000F4B16" w:rsidRPr="006A56DB" w:rsidRDefault="000F4B16" w:rsidP="000F4B16">
      <w:pPr>
        <w:pStyle w:val="Standardntext"/>
        <w:shd w:val="clear" w:color="auto" w:fill="DBE5F1"/>
        <w:rPr>
          <w:rFonts w:cs="Times New Roman"/>
        </w:rPr>
      </w:pPr>
      <w:r w:rsidRPr="006A56DB">
        <w:rPr>
          <w:rFonts w:cs="Times New Roman"/>
        </w:rPr>
        <w:t>Vládou byla schválena Koncepce podpory malých a středních podnikatelů na období let 2014–2020. Plnění koncepce MSP se předpokládá implementací opatření v rámci OP PIK.</w:t>
      </w:r>
    </w:p>
    <w:p w:rsidR="000F4B16" w:rsidRPr="006A56DB" w:rsidRDefault="000F4B16" w:rsidP="000F4B16">
      <w:pPr>
        <w:pStyle w:val="Standardntext"/>
        <w:shd w:val="clear" w:color="auto" w:fill="DBE5F1"/>
        <w:rPr>
          <w:rFonts w:cs="Times New Roman"/>
        </w:rPr>
      </w:pPr>
      <w:r w:rsidRPr="006A56DB">
        <w:rPr>
          <w:rFonts w:cs="Times New Roman"/>
        </w:rPr>
        <w:t>Opatření související se zesílením podpory podnikatelského prostředí jsou též součástí Národního programu reforem (2014), kap. 4.2, 4.4.</w:t>
      </w:r>
    </w:p>
    <w:p w:rsidR="000F4B16" w:rsidRPr="006A56DB" w:rsidRDefault="000F4B16" w:rsidP="000F4B16">
      <w:pPr>
        <w:pStyle w:val="Standardntext"/>
        <w:shd w:val="clear" w:color="auto" w:fill="DBE5F1"/>
        <w:rPr>
          <w:rFonts w:cs="Times New Roman"/>
        </w:rPr>
      </w:pPr>
      <w:r w:rsidRPr="006A56DB">
        <w:rPr>
          <w:rFonts w:cs="Times New Roman"/>
        </w:rPr>
        <w:t>Jedním ze 4 hlavních cílů Koncepce MSP 2014+ je „</w:t>
      </w:r>
      <w:r w:rsidRPr="006A56DB">
        <w:rPr>
          <w:rFonts w:cs="Times New Roman"/>
          <w:b/>
        </w:rPr>
        <w:t>Rozvoj a zkvalitňování podnikatelského prostředí a zvyšování kvality poradenských služeb pro MSP</w:t>
      </w:r>
      <w:r w:rsidRPr="006A56DB">
        <w:rPr>
          <w:rFonts w:cs="Times New Roman"/>
        </w:rPr>
        <w:t xml:space="preserve">, včetně zvýšení atraktivity technického a přírodovědného vzdělávání, posílení a rozvoje technické inteligence.“. Pro MSP (vč. podnikatelů z řad znevýhodněných skupin) je v současné době klíčové získávat informace např. o podporách či podnikatelské legislativě, a to především ve vztahu k zahraničí, ochraně duševního vlastnictví, ale také zlepšování netechnických kompetencí v oblasti strategického řízení a inovačního managementu. </w:t>
      </w:r>
    </w:p>
    <w:p w:rsidR="000F4B16" w:rsidRPr="006A56DB" w:rsidRDefault="000F4B16" w:rsidP="000F4B16">
      <w:pPr>
        <w:pStyle w:val="Standardntext"/>
        <w:shd w:val="clear" w:color="auto" w:fill="DBE5F1"/>
        <w:rPr>
          <w:rFonts w:cs="Times New Roman"/>
        </w:rPr>
      </w:pPr>
      <w:r w:rsidRPr="006A56DB">
        <w:rPr>
          <w:rFonts w:cs="Times New Roman"/>
        </w:rPr>
        <w:t xml:space="preserve">V rámci poradenských služeb bude velký důraz kladen na zvyšování finanční gramotnosti podnikatelů. Tyto znalosti jsou nezbytné z hlediska správného řízení, ať už vlastních finančních prostředků podniku, tak i cizích zdrojů, a souvisí i s možností kapitálového vstupu do podniku. Důležité je také začínajícím MSP a zejména sociálním podnikům poskytnout poradenství v oblasti sestavení kvalitního business plánu a jeho provádění. </w:t>
      </w:r>
    </w:p>
    <w:p w:rsidR="00A25670" w:rsidRDefault="000F4B16" w:rsidP="000F4B16">
      <w:pPr>
        <w:pStyle w:val="Standardntext"/>
        <w:shd w:val="clear" w:color="auto" w:fill="DBE5F1"/>
        <w:rPr>
          <w:rFonts w:cs="Times New Roman"/>
        </w:rPr>
      </w:pPr>
      <w:r w:rsidRPr="006A56DB">
        <w:rPr>
          <w:rFonts w:cs="Times New Roman"/>
        </w:rPr>
        <w:t>Pro začínající MSP je klíčová podpora prostřednictvím zvýhodněných úvěrů, záruk a kapitálových vstupů (venture kapitál). Tento typ podpory je uvažován také při přípravě nového Operačního programu na podnikání a inovace pro konkurenceschopnost.  V rámci zpřístupnění finančních nástrojů pro sociální podniky je plánováno jejich zvýhodnění v jednotlivých programech.</w:t>
      </w:r>
    </w:p>
    <w:p w:rsidR="00A25670" w:rsidRPr="003C260A" w:rsidRDefault="00A25670" w:rsidP="00A25670">
      <w:pPr>
        <w:pStyle w:val="Standardntext"/>
        <w:shd w:val="clear" w:color="auto" w:fill="DBE5F1"/>
        <w:rPr>
          <w:rFonts w:cs="Times New Roman"/>
        </w:rPr>
      </w:pPr>
      <w:r w:rsidRPr="003C260A">
        <w:rPr>
          <w:rFonts w:cs="Times New Roman"/>
        </w:rPr>
        <w:t>Podpora znevýhodněných osob a začínajících podnikatelů je konkrétně řešena ve Strategické priorit</w:t>
      </w:r>
      <w:r w:rsidR="00612735">
        <w:rPr>
          <w:rFonts w:cs="Times New Roman"/>
        </w:rPr>
        <w:t>ě</w:t>
      </w:r>
      <w:r w:rsidRPr="003C260A">
        <w:rPr>
          <w:rFonts w:cs="Times New Roman"/>
        </w:rPr>
        <w:t xml:space="preserve"> č. 1 (8.4.1) Koncepce podpory malých a středních podnikatelů na období let 2014-2020 – Kultivace podnikatelského prostředí, rozvoj poradenských služeb a vzdělávání pro podnikání. Zejména v hospodářsky slabých regionech (např. </w:t>
      </w:r>
      <w:r>
        <w:rPr>
          <w:rFonts w:cs="Times New Roman"/>
        </w:rPr>
        <w:t xml:space="preserve">zejména </w:t>
      </w:r>
      <w:r w:rsidRPr="003C260A">
        <w:rPr>
          <w:rFonts w:cs="Times New Roman"/>
        </w:rPr>
        <w:t>v</w:t>
      </w:r>
      <w:r>
        <w:rPr>
          <w:rFonts w:cs="Times New Roman"/>
        </w:rPr>
        <w:t xml:space="preserve">e státem podporovaných </w:t>
      </w:r>
      <w:r w:rsidRPr="003C260A">
        <w:rPr>
          <w:rFonts w:cs="Times New Roman"/>
        </w:rPr>
        <w:t xml:space="preserve">regionech </w:t>
      </w:r>
      <w:r>
        <w:rPr>
          <w:rFonts w:cs="Times New Roman"/>
        </w:rPr>
        <w:t>dle Přílohy usnesení vlády č. 344/13</w:t>
      </w:r>
      <w:r w:rsidRPr="003C260A">
        <w:rPr>
          <w:rFonts w:cs="Times New Roman"/>
        </w:rPr>
        <w:t>) je nutné podporovat právě tuto skupinu podnikatelů, která se může rekrutovat i z řad dlouhodobě nezaměstnaných osob a osob ohrožených či postižených sociální exkluzí. Pro začínající podnikatele bude klíčová podpora prostřednictvím zvýhodněných úvěrů, záruk, kapitálových vstupů (venture kapitál) a také poradenství.</w:t>
      </w:r>
    </w:p>
    <w:p w:rsidR="000F4B16" w:rsidRPr="006A56DB" w:rsidRDefault="00A25670" w:rsidP="000F4B16">
      <w:pPr>
        <w:pStyle w:val="Standardntext"/>
        <w:shd w:val="clear" w:color="auto" w:fill="DBE5F1"/>
        <w:rPr>
          <w:rFonts w:cs="Times New Roman"/>
        </w:rPr>
      </w:pPr>
      <w:r w:rsidRPr="003C260A">
        <w:rPr>
          <w:rFonts w:cs="Times New Roman"/>
        </w:rPr>
        <w:t xml:space="preserve">V souvislosti s potřebou hlubší analýzy oblasti sociálního podnikání a jeho podpory byla v rámci projektu </w:t>
      </w:r>
      <w:proofErr w:type="spellStart"/>
      <w:r w:rsidRPr="003C260A">
        <w:rPr>
          <w:rFonts w:cs="Times New Roman"/>
        </w:rPr>
        <w:t>Global</w:t>
      </w:r>
      <w:proofErr w:type="spellEnd"/>
      <w:r w:rsidRPr="003C260A">
        <w:rPr>
          <w:rFonts w:cs="Times New Roman"/>
        </w:rPr>
        <w:t xml:space="preserve"> </w:t>
      </w:r>
      <w:proofErr w:type="spellStart"/>
      <w:r w:rsidRPr="003C260A">
        <w:rPr>
          <w:rFonts w:cs="Times New Roman"/>
        </w:rPr>
        <w:t>Entrepreneurship</w:t>
      </w:r>
      <w:proofErr w:type="spellEnd"/>
      <w:r w:rsidRPr="003C260A">
        <w:rPr>
          <w:rFonts w:cs="Times New Roman"/>
        </w:rPr>
        <w:t xml:space="preserve"> Monitor 2013 jedna část věnována analýze sociálního podnikání (dostupné pouze CZ na: http:/</w:t>
      </w:r>
      <w:r>
        <w:rPr>
          <w:rFonts w:cs="Times New Roman"/>
        </w:rPr>
        <w:t>/www.mpo.cz/dokument149362.html</w:t>
      </w:r>
      <w:r w:rsidRPr="003C260A">
        <w:rPr>
          <w:rFonts w:cs="Times New Roman"/>
        </w:rPr>
        <w:t xml:space="preserve">, str. 57-59). V souhrnu lze z analýzy konstatovat, že prioritou těchto sociálních podnikatelů je tvorba společenské hodnoty, ekonomická hodnota je až sekundární. Sociální podnikatelé se zájmem o veřejnou podporu se nejvíce zajímali o odborné poradenství a informační podporu, možnosti daňového zvýhodnění a dotaci na zaměstnání znevýhodněných osob. Menší, ale </w:t>
      </w:r>
      <w:r w:rsidRPr="003C260A">
        <w:rPr>
          <w:rFonts w:cs="Times New Roman"/>
        </w:rPr>
        <w:lastRenderedPageBreak/>
        <w:t>nezanedbatelný zájem projevili o záruku státu pro lepší přístup k úvěru či o zvýhodněný úvěr či půjčku. Souhrnně lze říci, že je veřejná podpora v této oblasti žádaná a je možné očekávat zájem o její různé formy.</w:t>
      </w:r>
    </w:p>
    <w:p w:rsidR="00132281" w:rsidRDefault="000F4B16" w:rsidP="00132281">
      <w:pPr>
        <w:pStyle w:val="Standardntext"/>
        <w:shd w:val="clear" w:color="auto" w:fill="DBE5F1"/>
        <w:rPr>
          <w:rFonts w:cs="Times New Roman"/>
        </w:rPr>
      </w:pPr>
      <w:r w:rsidRPr="006A56DB">
        <w:rPr>
          <w:rFonts w:cs="Times New Roman"/>
        </w:rPr>
        <w:t>Na základě zákona č. 435/2004 Sb., zákona o zaměstnanosti (</w:t>
      </w:r>
      <w:proofErr w:type="spellStart"/>
      <w:r w:rsidRPr="006A56DB">
        <w:rPr>
          <w:rFonts w:cs="Times New Roman"/>
        </w:rPr>
        <w:t>ZoZ</w:t>
      </w:r>
      <w:proofErr w:type="spellEnd"/>
      <w:r w:rsidRPr="006A56DB">
        <w:rPr>
          <w:rFonts w:cs="Times New Roman"/>
        </w:rPr>
        <w:t xml:space="preserve">), je poskytována Úřadem práce ČR podpora těm uchazečům o zaměstnání, kteří se rozhodnou zahájit samostatně výdělečnou činnost. Podpora spočívá v zajištění rekvalifikačních kurzů „základy podnikání“ s cílem poskytnout účastníkům (uchazečům o zaměstnání) nezbytné kompetence a dovednosti k výkonu samostatně výdělečné činnosti. Druhým pilířem podpory je následně poskytnutí finančních prostředků na nákup vybavení souvisejícího se zahájení výdělečné činnosti (§ 113, </w:t>
      </w:r>
      <w:proofErr w:type="spellStart"/>
      <w:r w:rsidRPr="006A56DB">
        <w:rPr>
          <w:rFonts w:cs="Times New Roman"/>
        </w:rPr>
        <w:t>ZoZ</w:t>
      </w:r>
      <w:proofErr w:type="spellEnd"/>
      <w:r w:rsidRPr="006A56DB">
        <w:rPr>
          <w:rFonts w:cs="Times New Roman"/>
        </w:rPr>
        <w:t xml:space="preserve">, nástroj SÚPM-SVČ), resp. na úhradu části provozních nákladů po zahájení podnikání (§ 114 </w:t>
      </w:r>
      <w:proofErr w:type="spellStart"/>
      <w:r w:rsidRPr="006A56DB">
        <w:rPr>
          <w:rFonts w:cs="Times New Roman"/>
        </w:rPr>
        <w:t>ZoZ</w:t>
      </w:r>
      <w:proofErr w:type="spellEnd"/>
      <w:r w:rsidRPr="006A56DB">
        <w:rPr>
          <w:rFonts w:cs="Times New Roman"/>
        </w:rPr>
        <w:t>, překlenovací příspěvek). Tento systém prošel na přelomu let 2013/2014 metodickou revizí s cílem soustředit se nikoliv na kvantitu poskytovaných podpor ale zejména na jejich kvalitu a udržitelnost.</w:t>
      </w:r>
    </w:p>
    <w:p w:rsidR="005F1DE0" w:rsidRPr="00132281" w:rsidRDefault="005F1DE0" w:rsidP="00132281">
      <w:pPr>
        <w:pStyle w:val="Standardntext"/>
        <w:shd w:val="clear" w:color="auto" w:fill="DBE5F1"/>
        <w:rPr>
          <w:rFonts w:cs="Times New Roman"/>
        </w:rPr>
      </w:pPr>
      <w:r w:rsidRPr="005F1DE0">
        <w:rPr>
          <w:bCs/>
        </w:rPr>
        <w:t>K vyšší efektivitě opatření přispěje poskytování poradenství i v době raných fází zahájení SVČ, s čímž počítá Strategie politiky zaměstnanosti do roku 2020. Nutnost následujícího poradenství po zahájení SVČ je dána nejenom snahou ukotvit (znevýhodněné) osoby v SVČ, ale rovněž možným multiplikačním efektem spočívajícím v genezi dalších pracovních míst, viz např. závěrečná zpráva Evaluace podpory sociálního a inkluzivního podnikání v OP LZZ (</w:t>
      </w:r>
      <w:hyperlink r:id="rId13" w:history="1">
        <w:r w:rsidRPr="00843D2B">
          <w:rPr>
            <w:rStyle w:val="Hypertextovodkaz"/>
            <w:bCs/>
          </w:rPr>
          <w:t>http://www.esfcr.cz/file/8938/</w:t>
        </w:r>
      </w:hyperlink>
      <w:r w:rsidRPr="005F1DE0">
        <w:rPr>
          <w:bCs/>
        </w:rPr>
        <w:t>)</w:t>
      </w:r>
      <w:r>
        <w:rPr>
          <w:bCs/>
        </w:rPr>
        <w:t xml:space="preserve">. </w:t>
      </w:r>
    </w:p>
    <w:p w:rsidR="000F4B16" w:rsidRPr="006A56DB" w:rsidRDefault="000F4B16" w:rsidP="000F4B16">
      <w:pPr>
        <w:pStyle w:val="Standardntext"/>
        <w:rPr>
          <w:b/>
        </w:rPr>
      </w:pPr>
    </w:p>
    <w:p w:rsidR="000F4B16" w:rsidRPr="00A8657F" w:rsidRDefault="000F4B16" w:rsidP="00307A39">
      <w:pPr>
        <w:pStyle w:val="Standardntext"/>
        <w:keepNext/>
        <w:keepLines/>
        <w:rPr>
          <w:b/>
        </w:rPr>
      </w:pPr>
      <w:r w:rsidRPr="006A56DB">
        <w:rPr>
          <w:b/>
        </w:rPr>
        <w:t>Doplnění tab. 26: Opatření, která je třeba přijmout, aby byly splněny tematické předběžné podmínky</w:t>
      </w:r>
    </w:p>
    <w:p w:rsidR="000F4B16" w:rsidRPr="00A8657F" w:rsidRDefault="000F4B16" w:rsidP="00307A39">
      <w:pPr>
        <w:pStyle w:val="Standardntext"/>
        <w:keepNext/>
        <w:keepLines/>
        <w:shd w:val="clear" w:color="auto" w:fill="95B3D7"/>
        <w:rPr>
          <w:b/>
        </w:rPr>
      </w:pPr>
      <w:r w:rsidRPr="00A8657F">
        <w:rPr>
          <w:b/>
        </w:rPr>
        <w:t xml:space="preserve">Tematická předběžná podmínka: </w:t>
      </w:r>
      <w:r w:rsidRPr="00A8657F">
        <w:rPr>
          <w:rFonts w:cs="Times New Roman"/>
        </w:rPr>
        <w:t xml:space="preserve">3.1. Byla provedena zvláštní opatření, o něž se opírá podpora podnikání, zohledňující </w:t>
      </w:r>
      <w:proofErr w:type="spellStart"/>
      <w:r w:rsidRPr="00A8657F">
        <w:rPr>
          <w:rFonts w:cs="Times New Roman"/>
        </w:rPr>
        <w:t>Small</w:t>
      </w:r>
      <w:proofErr w:type="spellEnd"/>
      <w:r w:rsidRPr="00A8657F">
        <w:rPr>
          <w:rFonts w:cs="Times New Roman"/>
        </w:rPr>
        <w:t xml:space="preserve"> Business </w:t>
      </w:r>
      <w:proofErr w:type="spellStart"/>
      <w:r w:rsidRPr="00A8657F">
        <w:rPr>
          <w:rFonts w:cs="Times New Roman"/>
        </w:rPr>
        <w:t>Act</w:t>
      </w:r>
      <w:proofErr w:type="spellEnd"/>
      <w:r w:rsidRPr="00A8657F">
        <w:rPr>
          <w:rFonts w:cs="Times New Roman"/>
        </w:rPr>
        <w:t xml:space="preserve"> (SBA).</w:t>
      </w:r>
    </w:p>
    <w:p w:rsidR="000F4B16" w:rsidRPr="00A8657F" w:rsidRDefault="000F4B16" w:rsidP="00307A39">
      <w:pPr>
        <w:pStyle w:val="Standardntext"/>
        <w:keepNext/>
        <w:keepLines/>
        <w:shd w:val="clear" w:color="auto" w:fill="B8CCE4"/>
        <w:rPr>
          <w:rFonts w:cs="Times New Roman"/>
          <w:color w:val="000000"/>
        </w:rPr>
      </w:pPr>
      <w:r w:rsidRPr="00A8657F">
        <w:rPr>
          <w:b/>
        </w:rPr>
        <w:t xml:space="preserve">Nesplněné kritérium: </w:t>
      </w:r>
      <w:r w:rsidRPr="00A8657F">
        <w:rPr>
          <w:rFonts w:cs="Times New Roman"/>
        </w:rPr>
        <w:t>Opatření zavedená s cílem zkrátit dobu potřebnou k založení firmy a snížit příslušné náklady, která zohledňují cíle SBA</w:t>
      </w:r>
    </w:p>
    <w:p w:rsidR="000F4B16" w:rsidRPr="00A8657F" w:rsidRDefault="000F4B16" w:rsidP="000F4B16">
      <w:pPr>
        <w:pStyle w:val="Standardntext"/>
        <w:shd w:val="clear" w:color="auto" w:fill="DBE5F1"/>
        <w:rPr>
          <w:rFonts w:cs="Times New Roman"/>
        </w:rPr>
      </w:pPr>
      <w:r w:rsidRPr="00A8657F">
        <w:rPr>
          <w:b/>
        </w:rPr>
        <w:t>Opatření, která je třeba přijmout:</w:t>
      </w:r>
      <w:r w:rsidRPr="00A8657F">
        <w:rPr>
          <w:rFonts w:cs="Times New Roman"/>
        </w:rPr>
        <w:t xml:space="preserve"> Současný právní řád dává rejstříkovým soudům povinnost provést zápis do obchodního rejstříku ve standardních případech do 5 dní od podání návrhu. Pokud rejstříkový soud do této doby zápis neprovede, považuje se zápis za provedený dnem následujícím po uplynutí této lhůty (fikce zápisu). Zákon o veřejných rejstřících právnických a fyzických osob umožňuje, aby obchodní společnosti a družstva zapisoval do veřejného rejstříku notář, pokud je podkladem pro zápis do veřejného rejstříku notářský zápis (§ 108 a násl. zákona). To může být i u </w:t>
      </w:r>
      <w:proofErr w:type="spellStart"/>
      <w:r w:rsidRPr="00A8657F">
        <w:rPr>
          <w:rFonts w:cs="Times New Roman"/>
        </w:rPr>
        <w:t>prvozápisů</w:t>
      </w:r>
      <w:proofErr w:type="spellEnd"/>
      <w:r w:rsidRPr="00A8657F">
        <w:rPr>
          <w:rFonts w:cs="Times New Roman"/>
        </w:rPr>
        <w:t>. Pokud bude mít notář k dispozici veškeré podklady pro zápis do obchodního rejstříku, bude schopen zápis provést během jediného dne. Mezi opatření ke snížení nákladů lze zahrnout zejména výrazné rozšíření kooperace jednotlivých systémů státní správy a vytvoření nového systému tzv. základních registrů zákonem ze dne 26. března 2009 č. 111/2009 Sb., o základních registrech, a jeho využívání při zakládání obchodních společností. Příkladem opatření může být odstranění povinnosti přikládat k návrhu na zápis osoby výpis z katastru nemovitostí k prokázání právního důvodu užívání prostor, v nichž je umístěno sídlo osoby, jíž se zápis týká. Dalším opatřením je také výše zmíněná možnost přímého zápisu notářů i nově stanovená výše min. vkladu do společnosti s ručením omezeným pouze ve výši 1 Kč. Ke snížení nákladů dojde i napojením základních registrů formou snížení nákladů na návrhy změn v registrech, nebo zjednodušením procesu likvidace společnosti v některých případech.</w:t>
      </w:r>
    </w:p>
    <w:p w:rsidR="000F4B16" w:rsidRPr="00A8657F" w:rsidRDefault="000F4B16" w:rsidP="000F4B16">
      <w:pPr>
        <w:pStyle w:val="Standardntext"/>
        <w:shd w:val="clear" w:color="auto" w:fill="DBE5F1"/>
        <w:rPr>
          <w:rFonts w:cs="Times New Roman"/>
          <w:u w:val="single"/>
        </w:rPr>
      </w:pPr>
      <w:r w:rsidRPr="00A8657F">
        <w:rPr>
          <w:rFonts w:cs="Times New Roman"/>
          <w:u w:val="single"/>
        </w:rPr>
        <w:t>Vyjádření za oblast působnosti MSp:</w:t>
      </w:r>
    </w:p>
    <w:p w:rsidR="000F4B16" w:rsidRPr="00A8657F" w:rsidRDefault="000F4B16" w:rsidP="000F4B16">
      <w:pPr>
        <w:pStyle w:val="Standardntext"/>
        <w:shd w:val="clear" w:color="auto" w:fill="DBE5F1"/>
        <w:rPr>
          <w:rFonts w:cs="Times New Roman"/>
        </w:rPr>
      </w:pPr>
      <w:r w:rsidRPr="00A8657F">
        <w:rPr>
          <w:rFonts w:cs="Times New Roman"/>
        </w:rPr>
        <w:t>K nákladům na založení podniku:</w:t>
      </w:r>
    </w:p>
    <w:p w:rsidR="000F4B16" w:rsidRPr="00A8657F" w:rsidRDefault="000F4B16" w:rsidP="000F4B16">
      <w:pPr>
        <w:pStyle w:val="Standardntext"/>
        <w:shd w:val="clear" w:color="auto" w:fill="DBE5F1"/>
        <w:rPr>
          <w:rFonts w:cs="Times New Roman"/>
          <w:b/>
          <w:bCs/>
        </w:rPr>
      </w:pPr>
      <w:r w:rsidRPr="00A8657F">
        <w:rPr>
          <w:rFonts w:cs="Times New Roman"/>
        </w:rPr>
        <w:lastRenderedPageBreak/>
        <w:t xml:space="preserve">Ministerstvem spravedlnosti je v současné době připravováno legislativní řešení, které </w:t>
      </w:r>
      <w:r w:rsidR="00500C59">
        <w:rPr>
          <w:rFonts w:cs="Times New Roman"/>
        </w:rPr>
        <w:t xml:space="preserve">umožní osvobození společností s ručením omezeným od soudních poplatků v případě, že splní zákonem stanovené podmínky, tj. </w:t>
      </w:r>
      <w:r w:rsidR="00500C59" w:rsidRPr="00926A66">
        <w:t>1) žadatel splní tzv. základní náležitosti zakladatelského právního jednání, které</w:t>
      </w:r>
      <w:r w:rsidR="00500C59">
        <w:t xml:space="preserve"> jsou</w:t>
      </w:r>
      <w:r w:rsidR="00500C59" w:rsidRPr="00926A66">
        <w:t xml:space="preserve"> uvedeny v občanském zákoníku a v zákoně o obchodních korporacích</w:t>
      </w:r>
      <w:r w:rsidR="00500C59">
        <w:t>,</w:t>
      </w:r>
      <w:r w:rsidR="00500C59" w:rsidRPr="00926A66">
        <w:t xml:space="preserve"> 2) vkladová povinnost je splacena v penězích a 3) zápis do veřejného rejstříku provedl notář</w:t>
      </w:r>
      <w:r w:rsidR="00500C59">
        <w:t xml:space="preserve">. </w:t>
      </w:r>
      <w:r w:rsidR="006D10BF">
        <w:t xml:space="preserve">Tímto bude docíleno toho, že náklady na založení takové společnosti s ručením omezeným se budou pohybovat v limitech nastavených Evropskou komisí. Návrh zákona </w:t>
      </w:r>
      <w:r w:rsidR="007B6CC1">
        <w:t xml:space="preserve">byl </w:t>
      </w:r>
      <w:r w:rsidR="006D10BF">
        <w:t xml:space="preserve">vládě předložen v prosinci 2014, účinnost se předpokládá v druhé polovině roku 2015. </w:t>
      </w:r>
      <w:r w:rsidRPr="00A8657F">
        <w:rPr>
          <w:rFonts w:cs="Times New Roman"/>
        </w:rPr>
        <w:t xml:space="preserve">Současně jsou činěna i další opatření, která fakticky snížila celkové náklady na založení podniku – například výrazné rozšíření kooperace jednotlivých systémů státní správy a vytvoření nového systému tzv. základních registrů zákonem ze dne 26. března 2009 č. 111/2009 Sb., o základních registrech, a jeho využívání při zakládání obchodních společností, dále také odstranění povinnosti přikládat k návrhu na zápis osoby výpis z katastru nemovitostí. předložit u každého společníka výpis z evidence Rejstříku trestů k prokázání jeho bezúhonnosti. S otázkou nákladnosti zakládání společnosti pak souvisí i skutečnost, že podle ustanovení § 142 zákona č. 90/2012 Sb., o obchodních společnostech a družstvech (zákon o obchodních korporacích), je od 1. ledna 2014 nově stanovena minimální výše vkladu do společnosti s ručením omezeným pouze ve výši 1 Kč. </w:t>
      </w:r>
      <w:r w:rsidRPr="00A8657F">
        <w:rPr>
          <w:rFonts w:cs="Times New Roman"/>
          <w:b/>
        </w:rPr>
        <w:t xml:space="preserve"> </w:t>
      </w:r>
      <w:r w:rsidRPr="00A8657F">
        <w:rPr>
          <w:rFonts w:cs="Times New Roman"/>
          <w:bCs/>
        </w:rPr>
        <w:t>Ve starém obchodním zákoníku byl požadavek na minimální výši základního kapitálu u společnosti s ručením omezeným 200 000,- Kč.</w:t>
      </w:r>
    </w:p>
    <w:p w:rsidR="000F4B16" w:rsidRPr="00A8657F" w:rsidRDefault="000F4B16" w:rsidP="000F4B16">
      <w:pPr>
        <w:pStyle w:val="Standardntext"/>
        <w:shd w:val="clear" w:color="auto" w:fill="DBE5F1"/>
        <w:rPr>
          <w:rFonts w:cs="Times New Roman"/>
        </w:rPr>
      </w:pPr>
      <w:r w:rsidRPr="00A8657F">
        <w:rPr>
          <w:rFonts w:cs="Times New Roman"/>
        </w:rPr>
        <w:t xml:space="preserve">Všechna tato opatření pak v komplexu přinášení snížení nákladů malých a středních podniků jak při jejich zakládání, tak i po dobu jejich existence. </w:t>
      </w:r>
    </w:p>
    <w:p w:rsidR="000F4B16" w:rsidRPr="00A8657F" w:rsidRDefault="000F4B16" w:rsidP="000F4B16">
      <w:pPr>
        <w:pStyle w:val="Standardntext"/>
        <w:shd w:val="clear" w:color="auto" w:fill="DBE5F1"/>
        <w:rPr>
          <w:rFonts w:cs="Times New Roman"/>
        </w:rPr>
      </w:pPr>
      <w:r w:rsidRPr="00A8657F">
        <w:rPr>
          <w:rFonts w:cs="Times New Roman"/>
        </w:rPr>
        <w:t>K rychlosti založení podniku:</w:t>
      </w:r>
    </w:p>
    <w:p w:rsidR="000F4B16" w:rsidRPr="00A8657F" w:rsidRDefault="000F4B16" w:rsidP="000F4B16">
      <w:pPr>
        <w:pStyle w:val="Standardntext"/>
        <w:shd w:val="clear" w:color="auto" w:fill="DBE5F1"/>
        <w:rPr>
          <w:rFonts w:cs="Times New Roman"/>
        </w:rPr>
      </w:pPr>
      <w:r w:rsidRPr="00A8657F">
        <w:rPr>
          <w:rFonts w:cs="Times New Roman"/>
        </w:rPr>
        <w:t xml:space="preserve">Ke zkrácení doby nutné k založení podniku dochází v souvislosti s možností provádět zápisy do veřejného rejstříku přímo notáři, pokud bude mít notář k dispozici všechny podklady (dle zákona a o veřejných rejstřících).  </w:t>
      </w:r>
    </w:p>
    <w:p w:rsidR="000F4B16" w:rsidRDefault="000F4B16" w:rsidP="000F4B16">
      <w:pPr>
        <w:pStyle w:val="Standardntext"/>
        <w:shd w:val="clear" w:color="auto" w:fill="DBE5F1"/>
        <w:rPr>
          <w:b/>
        </w:rPr>
      </w:pPr>
      <w:r w:rsidRPr="00A8657F">
        <w:rPr>
          <w:rFonts w:cs="Times New Roman"/>
        </w:rPr>
        <w:t>Současný právní řád dává rejstříkovým soudům povinnost provést zápis do obchodního rejstříku ve standardních případech do 5 dní od podání návrhu. Pokud rejstříkový soud do této doby zápis neprovede, považuje se zápis za provedený dnem následujícím po uplynutí této lhůty (fikce zápisu).</w:t>
      </w:r>
    </w:p>
    <w:p w:rsidR="00043052" w:rsidRDefault="00043052">
      <w:pPr>
        <w:overflowPunct/>
        <w:autoSpaceDE/>
        <w:autoSpaceDN/>
        <w:adjustRightInd/>
        <w:textAlignment w:val="auto"/>
      </w:pPr>
      <w:r>
        <w:br w:type="page"/>
      </w:r>
    </w:p>
    <w:p w:rsidR="00997B09" w:rsidRDefault="00043052" w:rsidP="00043052">
      <w:pPr>
        <w:pStyle w:val="Nadpis2"/>
        <w:numPr>
          <w:ilvl w:val="0"/>
          <w:numId w:val="0"/>
        </w:numPr>
      </w:pPr>
      <w:r>
        <w:lastRenderedPageBreak/>
        <w:t xml:space="preserve">Akční plány </w:t>
      </w:r>
      <w:r w:rsidR="00C94B34">
        <w:t>nesplněných</w:t>
      </w:r>
      <w:r>
        <w:t xml:space="preserve"> předběžných podmínek</w:t>
      </w:r>
    </w:p>
    <w:p w:rsidR="00C94B34" w:rsidRPr="00C94B34" w:rsidRDefault="00C94B34" w:rsidP="00C94B34">
      <w:pPr>
        <w:pStyle w:val="Standardntext"/>
      </w:pPr>
    </w:p>
    <w:p w:rsidR="004D4652" w:rsidRDefault="004D4652" w:rsidP="00E44916">
      <w:pPr>
        <w:pStyle w:val="Standardntext"/>
        <w:numPr>
          <w:ilvl w:val="0"/>
          <w:numId w:val="3"/>
        </w:numPr>
      </w:pPr>
      <w:r>
        <w:t>Akční plán pro obecnou předběžnou podmínku „</w:t>
      </w:r>
      <w:r w:rsidRPr="004D4652">
        <w:t>Existence opatření pro účinné uplatňování právních předpisů Unie pro oblast životního prostředí týkajících se EIA a SEA</w:t>
      </w:r>
      <w:r>
        <w:t>“</w:t>
      </w:r>
    </w:p>
    <w:p w:rsidR="00C94B34" w:rsidRDefault="00C94B34" w:rsidP="00E44916">
      <w:pPr>
        <w:pStyle w:val="Standardntext"/>
        <w:numPr>
          <w:ilvl w:val="0"/>
          <w:numId w:val="3"/>
        </w:numPr>
      </w:pPr>
      <w:r>
        <w:t xml:space="preserve">Akční plán pro </w:t>
      </w:r>
      <w:r w:rsidR="004D4652">
        <w:t xml:space="preserve">tematickou </w:t>
      </w:r>
      <w:r>
        <w:t>předběžnou podmínku 1.1</w:t>
      </w:r>
    </w:p>
    <w:p w:rsidR="00043052" w:rsidRDefault="00C94B34" w:rsidP="00E44916">
      <w:pPr>
        <w:pStyle w:val="Standardntext"/>
        <w:numPr>
          <w:ilvl w:val="0"/>
          <w:numId w:val="3"/>
        </w:numPr>
      </w:pPr>
      <w:r>
        <w:t xml:space="preserve">Akční plán pro </w:t>
      </w:r>
      <w:r w:rsidR="004D4652">
        <w:t xml:space="preserve">tematickou </w:t>
      </w:r>
      <w:r>
        <w:t>předběžnou podmínku 2.1</w:t>
      </w:r>
    </w:p>
    <w:p w:rsidR="00C94B34" w:rsidRDefault="00C94B34" w:rsidP="00E44916">
      <w:pPr>
        <w:pStyle w:val="Standardntext"/>
        <w:numPr>
          <w:ilvl w:val="0"/>
          <w:numId w:val="3"/>
        </w:numPr>
      </w:pPr>
      <w:r>
        <w:t xml:space="preserve">Akční plán pro </w:t>
      </w:r>
      <w:r w:rsidR="004D4652">
        <w:t xml:space="preserve">tematickou </w:t>
      </w:r>
      <w:r>
        <w:t>předběžnou podmínku 2.2</w:t>
      </w:r>
    </w:p>
    <w:p w:rsidR="00C94B34" w:rsidRDefault="00C94B34" w:rsidP="00E44916">
      <w:pPr>
        <w:pStyle w:val="Standardntext"/>
        <w:numPr>
          <w:ilvl w:val="0"/>
          <w:numId w:val="3"/>
        </w:numPr>
      </w:pPr>
      <w:r>
        <w:t>Akční plán pro</w:t>
      </w:r>
      <w:r w:rsidR="004D4652" w:rsidRPr="004D4652">
        <w:t xml:space="preserve"> </w:t>
      </w:r>
      <w:r w:rsidR="004D4652">
        <w:t>tematické</w:t>
      </w:r>
      <w:r>
        <w:t xml:space="preserve"> </w:t>
      </w:r>
      <w:r w:rsidR="003C1122" w:rsidRPr="003C1122">
        <w:t>předběžné podmínky 3.1 a 8.2</w:t>
      </w:r>
    </w:p>
    <w:p w:rsidR="00C94B34" w:rsidRDefault="00C94B34" w:rsidP="00E44916">
      <w:pPr>
        <w:pStyle w:val="Standardntext"/>
        <w:numPr>
          <w:ilvl w:val="0"/>
          <w:numId w:val="3"/>
        </w:numPr>
      </w:pPr>
      <w:r>
        <w:t xml:space="preserve">Akční plán pro </w:t>
      </w:r>
      <w:r w:rsidR="004D4652">
        <w:t xml:space="preserve">tematickou </w:t>
      </w:r>
      <w:r>
        <w:t>předběžnou podmínku 4.1</w:t>
      </w:r>
    </w:p>
    <w:p w:rsidR="005B3A61" w:rsidRDefault="005B3A61">
      <w:pPr>
        <w:overflowPunct/>
        <w:autoSpaceDE/>
        <w:autoSpaceDN/>
        <w:adjustRightInd/>
        <w:textAlignment w:val="auto"/>
        <w:rPr>
          <w:rFonts w:cs="Calibri"/>
          <w:sz w:val="24"/>
          <w:szCs w:val="24"/>
        </w:rPr>
      </w:pPr>
      <w:r>
        <w:br w:type="page"/>
      </w:r>
    </w:p>
    <w:p w:rsidR="00235340" w:rsidRPr="00F8551C" w:rsidRDefault="00235340" w:rsidP="00960B34">
      <w:pPr>
        <w:pStyle w:val="Nadpis1"/>
        <w:numPr>
          <w:ilvl w:val="0"/>
          <w:numId w:val="22"/>
        </w:numPr>
        <w:jc w:val="center"/>
        <w:rPr>
          <w:rFonts w:ascii="Cambria" w:hAnsi="Cambria"/>
          <w:u w:val="single"/>
        </w:rPr>
      </w:pPr>
      <w:r w:rsidRPr="00F8551C">
        <w:rPr>
          <w:rFonts w:ascii="Cambria" w:hAnsi="Cambria"/>
          <w:u w:val="single"/>
        </w:rPr>
        <w:lastRenderedPageBreak/>
        <w:t>Akční plán pro obecnou předběžnou podmínku v gesci MŽP</w:t>
      </w:r>
    </w:p>
    <w:p w:rsidR="00235340" w:rsidRPr="00F8551C" w:rsidRDefault="00235340" w:rsidP="00235340">
      <w:pPr>
        <w:pStyle w:val="Nadpis2"/>
        <w:numPr>
          <w:ilvl w:val="0"/>
          <w:numId w:val="0"/>
        </w:numPr>
        <w:spacing w:before="120" w:after="120" w:line="240" w:lineRule="auto"/>
        <w:jc w:val="center"/>
        <w:rPr>
          <w:rFonts w:ascii="Cambria" w:hAnsi="Cambria"/>
          <w:u w:color="000000"/>
        </w:rPr>
      </w:pPr>
      <w:r w:rsidRPr="00F8551C">
        <w:rPr>
          <w:rFonts w:ascii="Cambria" w:hAnsi="Cambria"/>
          <w:u w:color="000000"/>
        </w:rPr>
        <w:t>„Existence funkčního uspořádání, které zajišťuje účinné uplatňování právních předpisů EU souvisejících s EIA a SEA“</w:t>
      </w:r>
    </w:p>
    <w:p w:rsidR="00235340" w:rsidRPr="00F8551C" w:rsidRDefault="00235340" w:rsidP="00235340">
      <w:pPr>
        <w:pStyle w:val="Nadpis2"/>
        <w:numPr>
          <w:ilvl w:val="0"/>
          <w:numId w:val="0"/>
        </w:numPr>
        <w:spacing w:before="120" w:after="120" w:line="240" w:lineRule="auto"/>
        <w:jc w:val="center"/>
        <w:rPr>
          <w:rFonts w:ascii="Cambria" w:hAnsi="Cambria"/>
          <w:u w:color="000000"/>
        </w:rPr>
      </w:pPr>
      <w:r w:rsidRPr="00F8551C">
        <w:rPr>
          <w:rFonts w:ascii="Cambria" w:hAnsi="Cambria"/>
          <w:u w:color="000000"/>
        </w:rPr>
        <w:t>ke dni</w:t>
      </w:r>
      <w:r w:rsidR="007B32DF" w:rsidRPr="00F8551C">
        <w:rPr>
          <w:rFonts w:ascii="Cambria" w:hAnsi="Cambria"/>
          <w:u w:color="000000"/>
        </w:rPr>
        <w:t xml:space="preserve"> </w:t>
      </w:r>
      <w:r w:rsidR="00062F25" w:rsidRPr="00F8551C">
        <w:rPr>
          <w:rFonts w:ascii="Cambria" w:hAnsi="Cambria"/>
          <w:u w:color="000000"/>
        </w:rPr>
        <w:t>1.</w:t>
      </w:r>
      <w:r w:rsidR="00BD074C" w:rsidRPr="00F8551C">
        <w:rPr>
          <w:rFonts w:ascii="Cambria" w:hAnsi="Cambria"/>
          <w:u w:color="000000"/>
        </w:rPr>
        <w:t xml:space="preserve"> </w:t>
      </w:r>
      <w:r w:rsidR="00062F25" w:rsidRPr="00F8551C">
        <w:rPr>
          <w:rFonts w:ascii="Cambria" w:hAnsi="Cambria"/>
          <w:u w:color="000000"/>
        </w:rPr>
        <w:t>4.</w:t>
      </w:r>
      <w:r w:rsidR="00BD074C" w:rsidRPr="00F8551C">
        <w:rPr>
          <w:rFonts w:ascii="Cambria" w:hAnsi="Cambria"/>
          <w:u w:color="000000"/>
        </w:rPr>
        <w:t xml:space="preserve"> </w:t>
      </w:r>
      <w:r w:rsidR="00062F25" w:rsidRPr="00F8551C">
        <w:rPr>
          <w:rFonts w:ascii="Cambria" w:hAnsi="Cambria"/>
          <w:u w:color="000000"/>
        </w:rPr>
        <w:t>2015</w:t>
      </w:r>
    </w:p>
    <w:p w:rsidR="00235340" w:rsidRPr="00F8551C" w:rsidRDefault="00235340" w:rsidP="00235340">
      <w:pPr>
        <w:rPr>
          <w:rFonts w:ascii="Cambria" w:hAnsi="Cambria"/>
        </w:rPr>
      </w:pPr>
    </w:p>
    <w:p w:rsidR="00235340" w:rsidRPr="00F8551C" w:rsidRDefault="00235340" w:rsidP="00235340">
      <w:pPr>
        <w:rPr>
          <w:rFonts w:ascii="Cambria" w:hAnsi="Cambria"/>
        </w:rPr>
      </w:pPr>
    </w:p>
    <w:p w:rsidR="00235340" w:rsidRPr="00F8551C" w:rsidRDefault="00235340" w:rsidP="00E44916">
      <w:pPr>
        <w:pStyle w:val="Nadpis2"/>
        <w:keepLines/>
        <w:numPr>
          <w:ilvl w:val="0"/>
          <w:numId w:val="9"/>
        </w:numPr>
        <w:spacing w:before="200" w:after="0"/>
        <w:jc w:val="left"/>
        <w:rPr>
          <w:rFonts w:ascii="Cambria" w:hAnsi="Cambria"/>
        </w:rPr>
      </w:pPr>
      <w:r w:rsidRPr="00F8551C">
        <w:rPr>
          <w:rFonts w:ascii="Cambria" w:hAnsi="Cambria"/>
        </w:rPr>
        <w:t>Úvod</w:t>
      </w:r>
    </w:p>
    <w:p w:rsidR="00235340" w:rsidRPr="00F8551C" w:rsidRDefault="00235340" w:rsidP="00235340">
      <w:pPr>
        <w:rPr>
          <w:rFonts w:ascii="Cambria" w:hAnsi="Cambria"/>
        </w:rPr>
      </w:pPr>
    </w:p>
    <w:p w:rsidR="00235340" w:rsidRPr="00F8551C" w:rsidRDefault="00235340" w:rsidP="00235340">
      <w:pPr>
        <w:pStyle w:val="Styl2"/>
        <w:rPr>
          <w:rFonts w:ascii="Cambria" w:hAnsi="Cambria" w:cs="Calibri"/>
          <w:iCs/>
          <w:sz w:val="22"/>
          <w:szCs w:val="22"/>
          <w:u w:color="000000"/>
        </w:rPr>
      </w:pPr>
      <w:r w:rsidRPr="00F8551C">
        <w:rPr>
          <w:rFonts w:ascii="Cambria" w:hAnsi="Cambria" w:cs="Calibri"/>
          <w:iCs/>
          <w:sz w:val="22"/>
          <w:szCs w:val="22"/>
          <w:u w:color="000000"/>
        </w:rPr>
        <w:t xml:space="preserve">Navrhovaný Akční plán je zaměřen na jednu z obecných předběžných podmínek uvedených v příloze </w:t>
      </w:r>
      <w:r w:rsidRPr="00F8551C">
        <w:rPr>
          <w:rFonts w:ascii="Cambria" w:hAnsi="Cambria" w:cs="Helv"/>
          <w:color w:val="000000"/>
        </w:rPr>
        <w:t>Nařízení Evropského parlamentu a Rady (EU) č. 1303/2013</w:t>
      </w:r>
      <w:r w:rsidRPr="00F8551C">
        <w:rPr>
          <w:rFonts w:ascii="Cambria" w:hAnsi="Cambria" w:cs="Calibri"/>
          <w:iCs/>
          <w:sz w:val="22"/>
          <w:szCs w:val="22"/>
          <w:u w:color="000000"/>
        </w:rPr>
        <w:t xml:space="preserve">, jejíž plnění je v gesci Ministerstva životního prostředí. Touto předběžnou podmínkou je </w:t>
      </w:r>
      <w:r w:rsidRPr="00F8551C">
        <w:rPr>
          <w:rFonts w:ascii="Cambria" w:hAnsi="Cambria" w:cs="Calibri"/>
          <w:b/>
          <w:iCs/>
          <w:sz w:val="22"/>
          <w:szCs w:val="22"/>
          <w:u w:color="000000"/>
        </w:rPr>
        <w:t>„Existence funkčního uspořádání, které zajišťuje účinné uplatňování právních předpisů EU souvisejících s EIA a SEA“.</w:t>
      </w:r>
    </w:p>
    <w:p w:rsidR="00235340" w:rsidRPr="00F8551C" w:rsidRDefault="00235340" w:rsidP="00E44916">
      <w:pPr>
        <w:pStyle w:val="Nadpis2"/>
        <w:keepLines/>
        <w:numPr>
          <w:ilvl w:val="0"/>
          <w:numId w:val="9"/>
        </w:numPr>
        <w:spacing w:before="200" w:after="0"/>
        <w:jc w:val="left"/>
        <w:rPr>
          <w:rFonts w:ascii="Cambria" w:hAnsi="Cambria"/>
          <w:u w:color="000000"/>
        </w:rPr>
      </w:pPr>
      <w:r w:rsidRPr="00F8551C">
        <w:rPr>
          <w:rFonts w:ascii="Cambria" w:hAnsi="Cambria"/>
          <w:u w:color="000000"/>
        </w:rPr>
        <w:t xml:space="preserve">Metodické dokumenty Komise – </w:t>
      </w:r>
      <w:proofErr w:type="spellStart"/>
      <w:r w:rsidRPr="00F8551C">
        <w:rPr>
          <w:rFonts w:ascii="Cambria" w:hAnsi="Cambria"/>
          <w:u w:color="000000"/>
        </w:rPr>
        <w:t>guidances</w:t>
      </w:r>
      <w:proofErr w:type="spellEnd"/>
    </w:p>
    <w:p w:rsidR="00235340" w:rsidRPr="00F8551C" w:rsidRDefault="00235340" w:rsidP="00235340">
      <w:pPr>
        <w:rPr>
          <w:rFonts w:ascii="Cambria" w:hAnsi="Cambria"/>
        </w:rPr>
      </w:pPr>
    </w:p>
    <w:p w:rsidR="00235340" w:rsidRPr="00F8551C" w:rsidRDefault="00235340" w:rsidP="00235340">
      <w:pPr>
        <w:pStyle w:val="Styl2"/>
        <w:rPr>
          <w:rFonts w:ascii="Cambria" w:hAnsi="Cambria" w:cs="Calibri"/>
          <w:iCs/>
          <w:sz w:val="22"/>
          <w:szCs w:val="22"/>
          <w:u w:color="000000"/>
        </w:rPr>
      </w:pPr>
      <w:r w:rsidRPr="00F8551C">
        <w:rPr>
          <w:rFonts w:ascii="Cambria" w:hAnsi="Cambria" w:cs="Calibri"/>
          <w:iCs/>
          <w:sz w:val="22"/>
          <w:szCs w:val="22"/>
          <w:u w:color="000000"/>
        </w:rPr>
        <w:t xml:space="preserve">Metodickým dokumentem Komise pro předběžné podmínky k ESI fondům je </w:t>
      </w:r>
      <w:r w:rsidRPr="00F8551C">
        <w:rPr>
          <w:rFonts w:ascii="Cambria" w:hAnsi="Cambria" w:cs="Calibri"/>
          <w:b/>
          <w:bCs/>
          <w:iCs/>
          <w:sz w:val="22"/>
          <w:szCs w:val="22"/>
          <w:u w:color="000000"/>
        </w:rPr>
        <w:t xml:space="preserve">„Draft </w:t>
      </w:r>
      <w:proofErr w:type="spellStart"/>
      <w:r w:rsidRPr="00F8551C">
        <w:rPr>
          <w:rFonts w:ascii="Cambria" w:hAnsi="Cambria" w:cs="Calibri"/>
          <w:b/>
          <w:bCs/>
          <w:iCs/>
          <w:sz w:val="22"/>
          <w:szCs w:val="22"/>
          <w:u w:color="000000"/>
        </w:rPr>
        <w:t>Guidance</w:t>
      </w:r>
      <w:proofErr w:type="spellEnd"/>
      <w:r w:rsidRPr="00F8551C">
        <w:rPr>
          <w:rFonts w:ascii="Cambria" w:hAnsi="Cambria" w:cs="Calibri"/>
          <w:b/>
          <w:bCs/>
          <w:iCs/>
          <w:sz w:val="22"/>
          <w:szCs w:val="22"/>
          <w:u w:color="000000"/>
        </w:rPr>
        <w:t xml:space="preserve"> on ex ante </w:t>
      </w:r>
      <w:proofErr w:type="spellStart"/>
      <w:r w:rsidRPr="00F8551C">
        <w:rPr>
          <w:rFonts w:ascii="Cambria" w:hAnsi="Cambria" w:cs="Calibri"/>
          <w:b/>
          <w:bCs/>
          <w:iCs/>
          <w:sz w:val="22"/>
          <w:szCs w:val="22"/>
          <w:u w:color="000000"/>
        </w:rPr>
        <w:t>Conditionalities</w:t>
      </w:r>
      <w:proofErr w:type="spellEnd"/>
      <w:r w:rsidRPr="00F8551C">
        <w:rPr>
          <w:rFonts w:ascii="Cambria" w:hAnsi="Cambria" w:cs="Calibri"/>
          <w:b/>
          <w:bCs/>
          <w:iCs/>
          <w:sz w:val="22"/>
          <w:szCs w:val="22"/>
          <w:u w:color="000000"/>
        </w:rPr>
        <w:t>“</w:t>
      </w:r>
      <w:r w:rsidRPr="00F8551C">
        <w:rPr>
          <w:rFonts w:ascii="Cambria" w:hAnsi="Cambria" w:cs="Calibri"/>
          <w:iCs/>
          <w:sz w:val="22"/>
          <w:szCs w:val="22"/>
          <w:u w:color="000000"/>
        </w:rPr>
        <w:t xml:space="preserve"> (part I. a part II včetně tzv. „hodnotících tabulek). </w:t>
      </w:r>
      <w:proofErr w:type="spellStart"/>
      <w:r w:rsidRPr="00F8551C">
        <w:rPr>
          <w:rFonts w:ascii="Cambria" w:hAnsi="Cambria" w:cs="Calibri"/>
          <w:iCs/>
          <w:sz w:val="22"/>
          <w:szCs w:val="22"/>
          <w:u w:color="000000"/>
        </w:rPr>
        <w:t>Guidance</w:t>
      </w:r>
      <w:proofErr w:type="spellEnd"/>
      <w:r w:rsidRPr="00F8551C">
        <w:rPr>
          <w:rFonts w:ascii="Cambria" w:hAnsi="Cambria" w:cs="Calibri"/>
          <w:iCs/>
          <w:sz w:val="22"/>
          <w:szCs w:val="22"/>
          <w:u w:color="000000"/>
        </w:rPr>
        <w:t xml:space="preserve"> představuje další prostředek k upřesnění výkladu a způsobu plnění předběžných podmínek. V materiálu je blíže specifikována problematika hodnocení předběžných podmínek členským státem, a to jak z pohledu aplikovatelnosti předběžných podmínek na dané priority programů, tak i z hlediska relevantního posouzení jejich plnění. Dále pak materiál blíže specifikuje posuzování předběžných podmínek ze strany Evropské komise, včetně úpravy procedurálního postupu vedoucího k nespuštění případně pozastavení plateb ze strany Evropské komise. </w:t>
      </w:r>
    </w:p>
    <w:p w:rsidR="00235340" w:rsidRPr="00F8551C" w:rsidRDefault="00235340" w:rsidP="00E44916">
      <w:pPr>
        <w:pStyle w:val="Nadpis2"/>
        <w:keepLines/>
        <w:numPr>
          <w:ilvl w:val="0"/>
          <w:numId w:val="9"/>
        </w:numPr>
        <w:spacing w:before="200" w:after="0"/>
        <w:jc w:val="left"/>
        <w:rPr>
          <w:rFonts w:ascii="Cambria" w:hAnsi="Cambria"/>
          <w:u w:color="000000"/>
        </w:rPr>
      </w:pPr>
      <w:r w:rsidRPr="00F8551C">
        <w:rPr>
          <w:rFonts w:ascii="Cambria" w:hAnsi="Cambria"/>
          <w:u w:color="000000"/>
        </w:rPr>
        <w:t>Šablony EK k PP</w:t>
      </w:r>
    </w:p>
    <w:p w:rsidR="00235340" w:rsidRPr="00F8551C" w:rsidRDefault="00235340" w:rsidP="00235340">
      <w:pPr>
        <w:rPr>
          <w:rFonts w:ascii="Cambria" w:hAnsi="Cambria"/>
        </w:rPr>
        <w:sectPr w:rsidR="00235340" w:rsidRPr="00F8551C" w:rsidSect="006E6B3F">
          <w:footerReference w:type="default" r:id="rId14"/>
          <w:pgSz w:w="11906" w:h="16838"/>
          <w:pgMar w:top="1417" w:right="1417" w:bottom="1417" w:left="1417" w:header="708" w:footer="708" w:gutter="0"/>
          <w:pgBorders w:offsetFrom="page">
            <w:bottom w:val="single" w:sz="4" w:space="24" w:color="auto"/>
          </w:pgBorders>
          <w:cols w:space="708"/>
          <w:titlePg/>
          <w:docGrid w:linePitch="360"/>
        </w:sectPr>
      </w:pPr>
    </w:p>
    <w:p w:rsidR="00235340" w:rsidRPr="00F8551C" w:rsidRDefault="00235340" w:rsidP="00235340">
      <w:pPr>
        <w:rPr>
          <w:rFonts w:ascii="Cambria" w:hAnsi="Cambria"/>
        </w:rPr>
      </w:pPr>
    </w:p>
    <w:p w:rsidR="00235340" w:rsidRPr="00F8551C" w:rsidRDefault="00235340" w:rsidP="00235340">
      <w:pPr>
        <w:rPr>
          <w:rFonts w:ascii="Cambria" w:hAnsi="Cambria"/>
          <w:i/>
          <w:iCs/>
        </w:rPr>
      </w:pPr>
    </w:p>
    <w:p w:rsidR="00235340" w:rsidRPr="00F8551C" w:rsidRDefault="00235340" w:rsidP="00235340">
      <w:pPr>
        <w:rPr>
          <w:rFonts w:ascii="Cambria" w:hAnsi="Cambria"/>
          <w:i/>
          <w:iCs/>
        </w:rPr>
      </w:pPr>
    </w:p>
    <w:p w:rsidR="00235340" w:rsidRPr="00F8551C" w:rsidRDefault="00235340" w:rsidP="00235340">
      <w:pPr>
        <w:rPr>
          <w:rFonts w:ascii="Cambria" w:hAnsi="Cambria"/>
          <w:i/>
          <w:iCs/>
        </w:rPr>
        <w:sectPr w:rsidR="00235340" w:rsidRPr="00F8551C" w:rsidSect="00235340">
          <w:type w:val="continuous"/>
          <w:pgSz w:w="11906" w:h="16838"/>
          <w:pgMar w:top="1417" w:right="1417" w:bottom="1417" w:left="1417" w:header="708" w:footer="708" w:gutter="0"/>
          <w:pgBorders w:offsetFrom="page">
            <w:bottom w:val="single" w:sz="4" w:space="24" w:color="auto"/>
          </w:pgBorders>
          <w:cols w:space="708"/>
          <w:titlePg/>
          <w:docGrid w:linePitch="360"/>
        </w:sectPr>
      </w:pPr>
    </w:p>
    <w:tbl>
      <w:tblPr>
        <w:tblW w:w="1414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0A0" w:firstRow="1" w:lastRow="0" w:firstColumn="1" w:lastColumn="0" w:noHBand="0" w:noVBand="0"/>
      </w:tblPr>
      <w:tblGrid>
        <w:gridCol w:w="1728"/>
        <w:gridCol w:w="1080"/>
        <w:gridCol w:w="1128"/>
        <w:gridCol w:w="1643"/>
        <w:gridCol w:w="1050"/>
        <w:gridCol w:w="2126"/>
        <w:gridCol w:w="5393"/>
      </w:tblGrid>
      <w:tr w:rsidR="00235340" w:rsidRPr="00F8551C" w:rsidTr="006E6B3F">
        <w:trPr>
          <w:trHeight w:val="431"/>
        </w:trPr>
        <w:tc>
          <w:tcPr>
            <w:tcW w:w="1728" w:type="dxa"/>
            <w:shd w:val="clear" w:color="auto" w:fill="B8CCE4"/>
            <w:vAlign w:val="center"/>
          </w:tcPr>
          <w:p w:rsidR="00235340" w:rsidRPr="00F8551C" w:rsidRDefault="00235340" w:rsidP="006E6B3F">
            <w:pPr>
              <w:pStyle w:val="Default"/>
              <w:jc w:val="center"/>
              <w:rPr>
                <w:rFonts w:ascii="Cambria" w:hAnsi="Cambria"/>
                <w:sz w:val="20"/>
                <w:szCs w:val="20"/>
                <w:lang w:eastAsia="cs-CZ"/>
              </w:rPr>
            </w:pPr>
            <w:r w:rsidRPr="00F8551C">
              <w:rPr>
                <w:rFonts w:ascii="Cambria" w:hAnsi="Cambria"/>
                <w:b/>
                <w:bCs/>
                <w:sz w:val="20"/>
                <w:szCs w:val="20"/>
                <w:lang w:eastAsia="cs-CZ"/>
              </w:rPr>
              <w:lastRenderedPageBreak/>
              <w:t>Použitelná předběžná podmínka na národní úrovni</w:t>
            </w:r>
          </w:p>
        </w:tc>
        <w:tc>
          <w:tcPr>
            <w:tcW w:w="1080" w:type="dxa"/>
            <w:shd w:val="clear" w:color="auto" w:fill="B8CCE4"/>
            <w:vAlign w:val="center"/>
          </w:tcPr>
          <w:p w:rsidR="00235340" w:rsidRPr="00F8551C" w:rsidRDefault="00235340" w:rsidP="006E6B3F">
            <w:pPr>
              <w:pStyle w:val="Default"/>
              <w:jc w:val="center"/>
              <w:rPr>
                <w:rFonts w:ascii="Cambria" w:hAnsi="Cambria"/>
                <w:color w:val="FF0000"/>
                <w:sz w:val="20"/>
                <w:szCs w:val="20"/>
                <w:highlight w:val="yellow"/>
                <w:lang w:eastAsia="cs-CZ"/>
              </w:rPr>
            </w:pPr>
            <w:r w:rsidRPr="00F8551C">
              <w:rPr>
                <w:rFonts w:ascii="Cambria" w:hAnsi="Cambria"/>
                <w:b/>
                <w:bCs/>
                <w:color w:val="FF0000"/>
                <w:sz w:val="20"/>
                <w:szCs w:val="20"/>
                <w:lang w:eastAsia="cs-CZ"/>
              </w:rPr>
              <w:t>Prioritní osa nebo osy, ke kterým se podmínka vztahuje</w:t>
            </w:r>
          </w:p>
        </w:tc>
        <w:tc>
          <w:tcPr>
            <w:tcW w:w="1128" w:type="dxa"/>
            <w:shd w:val="clear" w:color="auto" w:fill="B8CCE4"/>
            <w:vAlign w:val="center"/>
          </w:tcPr>
          <w:p w:rsidR="00235340" w:rsidRPr="00F8551C" w:rsidRDefault="00235340" w:rsidP="006E6B3F">
            <w:pPr>
              <w:pStyle w:val="Default"/>
              <w:jc w:val="center"/>
              <w:rPr>
                <w:rFonts w:ascii="Cambria" w:hAnsi="Cambria"/>
                <w:sz w:val="20"/>
                <w:szCs w:val="20"/>
                <w:lang w:eastAsia="cs-CZ"/>
              </w:rPr>
            </w:pPr>
            <w:r w:rsidRPr="00F8551C">
              <w:rPr>
                <w:rFonts w:ascii="Cambria" w:hAnsi="Cambria"/>
                <w:b/>
                <w:bCs/>
                <w:sz w:val="20"/>
                <w:szCs w:val="20"/>
                <w:lang w:eastAsia="cs-CZ"/>
              </w:rPr>
              <w:t>Splnění předběžné podmínky (ano/ne)</w:t>
            </w:r>
          </w:p>
        </w:tc>
        <w:tc>
          <w:tcPr>
            <w:tcW w:w="1643" w:type="dxa"/>
            <w:shd w:val="clear" w:color="auto" w:fill="B8CCE4"/>
            <w:vAlign w:val="center"/>
          </w:tcPr>
          <w:p w:rsidR="00235340" w:rsidRPr="00F8551C" w:rsidRDefault="00235340" w:rsidP="006E6B3F">
            <w:pPr>
              <w:pStyle w:val="Default"/>
              <w:jc w:val="center"/>
              <w:rPr>
                <w:rFonts w:ascii="Cambria" w:hAnsi="Cambria"/>
                <w:sz w:val="20"/>
                <w:szCs w:val="20"/>
                <w:lang w:eastAsia="cs-CZ"/>
              </w:rPr>
            </w:pPr>
            <w:r w:rsidRPr="00F8551C">
              <w:rPr>
                <w:rFonts w:ascii="Cambria" w:hAnsi="Cambria"/>
                <w:b/>
                <w:bCs/>
                <w:sz w:val="20"/>
                <w:szCs w:val="20"/>
                <w:lang w:eastAsia="cs-CZ"/>
              </w:rPr>
              <w:t>Kritéria splnění</w:t>
            </w:r>
          </w:p>
        </w:tc>
        <w:tc>
          <w:tcPr>
            <w:tcW w:w="1050" w:type="dxa"/>
            <w:shd w:val="clear" w:color="auto" w:fill="B8CCE4"/>
            <w:vAlign w:val="center"/>
          </w:tcPr>
          <w:p w:rsidR="00235340" w:rsidRPr="00F8551C" w:rsidRDefault="00235340" w:rsidP="006E6B3F">
            <w:pPr>
              <w:pStyle w:val="DAVA"/>
              <w:spacing w:before="0"/>
              <w:jc w:val="center"/>
              <w:rPr>
                <w:rFonts w:ascii="Cambria" w:hAnsi="Cambria" w:cs="Calibri"/>
                <w:sz w:val="20"/>
              </w:rPr>
            </w:pPr>
            <w:r w:rsidRPr="00F8551C">
              <w:rPr>
                <w:rFonts w:ascii="Cambria" w:hAnsi="Cambria" w:cs="Calibri"/>
                <w:b/>
                <w:bCs/>
                <w:sz w:val="20"/>
              </w:rPr>
              <w:t>Splnění kritéria (ano / ne)</w:t>
            </w:r>
          </w:p>
        </w:tc>
        <w:tc>
          <w:tcPr>
            <w:tcW w:w="2126" w:type="dxa"/>
            <w:shd w:val="clear" w:color="auto" w:fill="B8CCE4"/>
            <w:vAlign w:val="center"/>
          </w:tcPr>
          <w:p w:rsidR="00235340" w:rsidRPr="00F8551C" w:rsidRDefault="00235340" w:rsidP="006E6B3F">
            <w:pPr>
              <w:pStyle w:val="Default"/>
              <w:jc w:val="center"/>
              <w:rPr>
                <w:rFonts w:ascii="Cambria" w:hAnsi="Cambria"/>
                <w:sz w:val="20"/>
                <w:szCs w:val="20"/>
                <w:lang w:eastAsia="cs-CZ"/>
              </w:rPr>
            </w:pPr>
            <w:r w:rsidRPr="00F8551C">
              <w:rPr>
                <w:rFonts w:ascii="Cambria" w:hAnsi="Cambria"/>
                <w:b/>
                <w:bCs/>
                <w:sz w:val="20"/>
                <w:szCs w:val="20"/>
                <w:lang w:eastAsia="cs-CZ"/>
              </w:rPr>
              <w:t xml:space="preserve">Odkazy (u splněných kritérií) </w:t>
            </w:r>
            <w:r w:rsidRPr="00F8551C">
              <w:rPr>
                <w:rStyle w:val="Znakapoznpodarou"/>
                <w:rFonts w:ascii="Cambria" w:hAnsi="Cambria"/>
                <w:b/>
                <w:bCs/>
                <w:sz w:val="20"/>
                <w:szCs w:val="20"/>
                <w:lang w:eastAsia="cs-CZ"/>
              </w:rPr>
              <w:footnoteReference w:id="1"/>
            </w:r>
          </w:p>
        </w:tc>
        <w:tc>
          <w:tcPr>
            <w:tcW w:w="5393" w:type="dxa"/>
            <w:shd w:val="clear" w:color="auto" w:fill="B8CCE4"/>
            <w:vAlign w:val="center"/>
          </w:tcPr>
          <w:p w:rsidR="00235340" w:rsidRPr="00F8551C" w:rsidRDefault="00235340" w:rsidP="006E6B3F">
            <w:pPr>
              <w:pStyle w:val="Default"/>
              <w:jc w:val="center"/>
              <w:rPr>
                <w:rFonts w:ascii="Cambria" w:hAnsi="Cambria"/>
                <w:sz w:val="20"/>
                <w:szCs w:val="20"/>
                <w:lang w:eastAsia="cs-CZ"/>
              </w:rPr>
            </w:pPr>
            <w:r w:rsidRPr="00F8551C">
              <w:rPr>
                <w:rFonts w:ascii="Cambria" w:hAnsi="Cambria"/>
                <w:b/>
                <w:bCs/>
                <w:sz w:val="20"/>
                <w:szCs w:val="20"/>
                <w:lang w:eastAsia="cs-CZ"/>
              </w:rPr>
              <w:t>Vysvětlení (tam, kde je to vhodné)</w:t>
            </w:r>
          </w:p>
        </w:tc>
      </w:tr>
      <w:tr w:rsidR="00235340" w:rsidRPr="00F8551C" w:rsidTr="006E6B3F">
        <w:trPr>
          <w:trHeight w:val="2470"/>
        </w:trPr>
        <w:tc>
          <w:tcPr>
            <w:tcW w:w="1728" w:type="dxa"/>
            <w:shd w:val="clear" w:color="auto" w:fill="F3F3F3"/>
            <w:vAlign w:val="center"/>
          </w:tcPr>
          <w:p w:rsidR="00235340" w:rsidRPr="00F8551C" w:rsidRDefault="00D75537" w:rsidP="00D75537">
            <w:pPr>
              <w:pStyle w:val="DAVA"/>
              <w:spacing w:before="0"/>
              <w:rPr>
                <w:rFonts w:ascii="Cambria" w:hAnsi="Cambria"/>
                <w:sz w:val="20"/>
              </w:rPr>
            </w:pPr>
            <w:r w:rsidRPr="00F8551C">
              <w:rPr>
                <w:rFonts w:ascii="Cambria" w:hAnsi="Cambria" w:cstheme="minorHAnsi"/>
                <w:color w:val="000000"/>
                <w:sz w:val="20"/>
              </w:rPr>
              <w:t>Existence opatření pro účinné uplatňování právních předpisů Unie pro oblast životního prostředí týkajících se EIA a SEA</w:t>
            </w:r>
            <w:r w:rsidRPr="00F8551C" w:rsidDel="00D716E6">
              <w:rPr>
                <w:rFonts w:ascii="Cambria" w:hAnsi="Cambria" w:cstheme="minorHAnsi"/>
                <w:sz w:val="20"/>
              </w:rPr>
              <w:t xml:space="preserve"> </w:t>
            </w:r>
          </w:p>
        </w:tc>
        <w:tc>
          <w:tcPr>
            <w:tcW w:w="1080" w:type="dxa"/>
            <w:shd w:val="clear" w:color="auto" w:fill="F3F3F3"/>
            <w:vAlign w:val="center"/>
          </w:tcPr>
          <w:p w:rsidR="00235340" w:rsidRPr="00F8551C" w:rsidRDefault="00235340" w:rsidP="006E6B3F">
            <w:pPr>
              <w:rPr>
                <w:rFonts w:ascii="Cambria" w:hAnsi="Cambria" w:cstheme="minorHAnsi"/>
              </w:rPr>
            </w:pPr>
            <w:r w:rsidRPr="00F8551C">
              <w:rPr>
                <w:rFonts w:ascii="Cambria" w:hAnsi="Cambria" w:cstheme="minorHAnsi"/>
              </w:rPr>
              <w:t>Všechny PO OPŽP 2014 – 2020 a ostatní operační programy (vyjma OPTP a OPZ)</w:t>
            </w:r>
          </w:p>
        </w:tc>
        <w:tc>
          <w:tcPr>
            <w:tcW w:w="1128" w:type="dxa"/>
            <w:shd w:val="clear" w:color="auto" w:fill="F3F3F3"/>
            <w:vAlign w:val="center"/>
          </w:tcPr>
          <w:p w:rsidR="00235340" w:rsidRPr="00F8551C" w:rsidRDefault="00235340" w:rsidP="006E6B3F">
            <w:pPr>
              <w:pStyle w:val="DAVA"/>
              <w:spacing w:before="0"/>
              <w:jc w:val="center"/>
              <w:rPr>
                <w:rFonts w:ascii="Cambria" w:hAnsi="Cambria"/>
                <w:sz w:val="20"/>
              </w:rPr>
            </w:pPr>
            <w:r w:rsidRPr="00F8551C">
              <w:rPr>
                <w:rFonts w:ascii="Cambria" w:hAnsi="Cambria"/>
                <w:sz w:val="20"/>
              </w:rPr>
              <w:t>Ano</w:t>
            </w:r>
          </w:p>
        </w:tc>
        <w:tc>
          <w:tcPr>
            <w:tcW w:w="1643" w:type="dxa"/>
            <w:shd w:val="clear" w:color="auto" w:fill="F3F3F3"/>
            <w:vAlign w:val="center"/>
          </w:tcPr>
          <w:p w:rsidR="00235340" w:rsidRPr="00F8551C" w:rsidRDefault="00235340" w:rsidP="006E6B3F">
            <w:pPr>
              <w:pStyle w:val="DAVA"/>
              <w:spacing w:before="0"/>
              <w:rPr>
                <w:rFonts w:ascii="Cambria" w:hAnsi="Cambria" w:cs="Calibri"/>
                <w:sz w:val="20"/>
              </w:rPr>
            </w:pPr>
            <w:r w:rsidRPr="00F8551C">
              <w:rPr>
                <w:rFonts w:ascii="Cambria" w:hAnsi="Cambria"/>
                <w:sz w:val="20"/>
              </w:rPr>
              <w:t xml:space="preserve">Opatření pro účinné uplatňování směrnice Evropského parlamentu a Rady 2011/92/EU (EIA) a </w:t>
            </w:r>
            <w:r w:rsidRPr="00F8551C">
              <w:rPr>
                <w:rFonts w:ascii="Cambria" w:hAnsi="Cambria"/>
                <w:b/>
                <w:sz w:val="20"/>
                <w:u w:val="single"/>
              </w:rPr>
              <w:t>směrnice Evropského parlamentu a Rady 2001/42/EC (SEA)</w:t>
            </w:r>
          </w:p>
        </w:tc>
        <w:tc>
          <w:tcPr>
            <w:tcW w:w="1050" w:type="dxa"/>
            <w:shd w:val="clear" w:color="auto" w:fill="F3F3F3"/>
            <w:vAlign w:val="center"/>
          </w:tcPr>
          <w:p w:rsidR="00235340" w:rsidRPr="00F8551C" w:rsidRDefault="00235340" w:rsidP="006E6B3F">
            <w:pPr>
              <w:pStyle w:val="DAVA"/>
              <w:spacing w:before="0"/>
              <w:jc w:val="center"/>
              <w:rPr>
                <w:rFonts w:ascii="Cambria" w:hAnsi="Cambria" w:cs="Calibri"/>
                <w:sz w:val="20"/>
              </w:rPr>
            </w:pPr>
            <w:r w:rsidRPr="00F8551C">
              <w:rPr>
                <w:rFonts w:ascii="Cambria" w:hAnsi="Cambria" w:cs="Calibri"/>
                <w:sz w:val="20"/>
              </w:rPr>
              <w:t>Ano</w:t>
            </w:r>
          </w:p>
        </w:tc>
        <w:tc>
          <w:tcPr>
            <w:tcW w:w="2126" w:type="dxa"/>
            <w:shd w:val="clear" w:color="auto" w:fill="F3F3F3"/>
            <w:vAlign w:val="center"/>
          </w:tcPr>
          <w:p w:rsidR="00235340" w:rsidRPr="00F8551C" w:rsidRDefault="00235340" w:rsidP="006E6B3F">
            <w:pPr>
              <w:pStyle w:val="DAVA"/>
              <w:spacing w:before="0"/>
              <w:rPr>
                <w:rFonts w:ascii="Cambria" w:hAnsi="Cambria" w:cs="Calibri"/>
                <w:sz w:val="20"/>
              </w:rPr>
            </w:pPr>
            <w:r w:rsidRPr="00F8551C">
              <w:rPr>
                <w:rFonts w:ascii="Cambria" w:hAnsi="Cambria" w:cs="Calibri"/>
                <w:sz w:val="20"/>
              </w:rPr>
              <w:t>Příslušná ustanovení zákona č. 100/2001 Sb., o posuzování vlivů na životní prostředí, týkající se posuzování vlivů koncepcí na životní prostředí.</w:t>
            </w:r>
          </w:p>
          <w:p w:rsidR="00235340" w:rsidRPr="00F8551C" w:rsidRDefault="00235340" w:rsidP="006E6B3F">
            <w:pPr>
              <w:pStyle w:val="DAVA"/>
              <w:spacing w:before="0"/>
              <w:rPr>
                <w:rFonts w:ascii="Cambria" w:hAnsi="Cambria" w:cs="Calibri"/>
                <w:sz w:val="20"/>
              </w:rPr>
            </w:pPr>
          </w:p>
          <w:p w:rsidR="00235340" w:rsidRPr="00F8551C" w:rsidRDefault="00400236" w:rsidP="006E6B3F">
            <w:pPr>
              <w:pStyle w:val="DAVA"/>
              <w:spacing w:before="0"/>
              <w:rPr>
                <w:rFonts w:ascii="Cambria" w:hAnsi="Cambria" w:cs="Calibri"/>
                <w:sz w:val="20"/>
              </w:rPr>
            </w:pPr>
            <w:hyperlink r:id="rId15" w:history="1">
              <w:r w:rsidR="00235340" w:rsidRPr="00F8551C">
                <w:rPr>
                  <w:rStyle w:val="Hypertextovodkaz"/>
                  <w:rFonts w:ascii="Cambria" w:hAnsi="Cambria" w:cs="Calibri"/>
                  <w:sz w:val="20"/>
                </w:rPr>
                <w:t>http://portal.cenia.cz/eiasea/static/sea_legislativa</w:t>
              </w:r>
            </w:hyperlink>
            <w:r w:rsidR="00235340" w:rsidRPr="00F8551C">
              <w:rPr>
                <w:rFonts w:ascii="Cambria" w:hAnsi="Cambria" w:cs="Calibri"/>
                <w:sz w:val="20"/>
              </w:rPr>
              <w:t xml:space="preserve"> </w:t>
            </w:r>
          </w:p>
        </w:tc>
        <w:tc>
          <w:tcPr>
            <w:tcW w:w="5393" w:type="dxa"/>
            <w:shd w:val="clear" w:color="auto" w:fill="F3F3F3"/>
            <w:vAlign w:val="center"/>
          </w:tcPr>
          <w:p w:rsidR="00235340" w:rsidRPr="00F8551C" w:rsidRDefault="00235340" w:rsidP="006E6B3F">
            <w:pPr>
              <w:pStyle w:val="DAVA"/>
              <w:spacing w:before="0"/>
              <w:rPr>
                <w:rFonts w:ascii="Cambria" w:hAnsi="Cambria" w:cs="Calibri"/>
                <w:sz w:val="20"/>
              </w:rPr>
            </w:pPr>
            <w:r w:rsidRPr="00F8551C">
              <w:rPr>
                <w:rFonts w:ascii="Cambria" w:hAnsi="Cambria" w:cs="Calibri"/>
                <w:sz w:val="20"/>
              </w:rPr>
              <w:t xml:space="preserve">Všechny požadavky směrnice SEA jsou v českém právním řádu plněny. </w:t>
            </w:r>
          </w:p>
        </w:tc>
      </w:tr>
      <w:tr w:rsidR="00235340" w:rsidRPr="00F8551C" w:rsidTr="006E6B3F">
        <w:trPr>
          <w:trHeight w:val="551"/>
        </w:trPr>
        <w:tc>
          <w:tcPr>
            <w:tcW w:w="1728" w:type="dxa"/>
            <w:shd w:val="clear" w:color="auto" w:fill="F3F3F3"/>
            <w:vAlign w:val="center"/>
          </w:tcPr>
          <w:p w:rsidR="00235340" w:rsidRPr="00F8551C" w:rsidRDefault="00D75537" w:rsidP="00D75537">
            <w:pPr>
              <w:pStyle w:val="DAVA"/>
              <w:spacing w:before="0"/>
              <w:rPr>
                <w:rFonts w:ascii="Cambria" w:hAnsi="Cambria"/>
                <w:sz w:val="20"/>
              </w:rPr>
            </w:pPr>
            <w:r w:rsidRPr="00F8551C">
              <w:rPr>
                <w:rFonts w:ascii="Cambria" w:hAnsi="Cambria" w:cstheme="minorHAnsi"/>
                <w:color w:val="000000"/>
                <w:sz w:val="20"/>
              </w:rPr>
              <w:t>Existence opatření pro účinné uplatňování právních předpisů Unie pro oblast životního prostředí týkajících se EIA a SEA</w:t>
            </w:r>
            <w:r w:rsidRPr="00F8551C" w:rsidDel="00D716E6">
              <w:rPr>
                <w:rFonts w:ascii="Cambria" w:hAnsi="Cambria"/>
                <w:sz w:val="20"/>
              </w:rPr>
              <w:t xml:space="preserve"> </w:t>
            </w:r>
          </w:p>
        </w:tc>
        <w:tc>
          <w:tcPr>
            <w:tcW w:w="1080" w:type="dxa"/>
            <w:shd w:val="clear" w:color="auto" w:fill="F3F3F3"/>
            <w:vAlign w:val="center"/>
          </w:tcPr>
          <w:p w:rsidR="00235340" w:rsidRPr="00F8551C" w:rsidRDefault="00235340" w:rsidP="006E6B3F">
            <w:pPr>
              <w:rPr>
                <w:rFonts w:ascii="Cambria" w:hAnsi="Cambria" w:cstheme="minorHAnsi"/>
              </w:rPr>
            </w:pPr>
            <w:r w:rsidRPr="00F8551C">
              <w:rPr>
                <w:rFonts w:ascii="Cambria" w:hAnsi="Cambria" w:cstheme="minorHAnsi"/>
              </w:rPr>
              <w:t>Všechny PO OPŽP 2014 – 2020 a ostatní operační programy (vyjma OPTP a OPZ)</w:t>
            </w:r>
          </w:p>
        </w:tc>
        <w:tc>
          <w:tcPr>
            <w:tcW w:w="1128" w:type="dxa"/>
            <w:shd w:val="clear" w:color="auto" w:fill="F3F3F3"/>
            <w:vAlign w:val="center"/>
          </w:tcPr>
          <w:p w:rsidR="00235340" w:rsidRPr="00F8551C" w:rsidRDefault="00062F25" w:rsidP="006E6B3F">
            <w:pPr>
              <w:pStyle w:val="DAVA"/>
              <w:spacing w:before="0"/>
              <w:jc w:val="center"/>
              <w:rPr>
                <w:rFonts w:ascii="Cambria" w:hAnsi="Cambria"/>
                <w:sz w:val="20"/>
              </w:rPr>
            </w:pPr>
            <w:r w:rsidRPr="00F8551C">
              <w:rPr>
                <w:rFonts w:ascii="Cambria" w:hAnsi="Cambria"/>
                <w:sz w:val="20"/>
                <w:lang w:val="cs-CZ"/>
              </w:rPr>
              <w:t>Ano</w:t>
            </w:r>
          </w:p>
        </w:tc>
        <w:tc>
          <w:tcPr>
            <w:tcW w:w="1643" w:type="dxa"/>
            <w:shd w:val="clear" w:color="auto" w:fill="F3F3F3"/>
            <w:vAlign w:val="center"/>
          </w:tcPr>
          <w:p w:rsidR="00235340" w:rsidRPr="00F8551C" w:rsidRDefault="00235340" w:rsidP="006E6B3F">
            <w:pPr>
              <w:pStyle w:val="DAVA"/>
              <w:spacing w:before="0"/>
              <w:rPr>
                <w:rFonts w:ascii="Cambria" w:hAnsi="Cambria" w:cs="Calibri"/>
                <w:sz w:val="20"/>
              </w:rPr>
            </w:pPr>
            <w:r w:rsidRPr="00F8551C">
              <w:rPr>
                <w:rFonts w:ascii="Cambria" w:hAnsi="Cambria"/>
                <w:sz w:val="20"/>
              </w:rPr>
              <w:t xml:space="preserve">Opatření pro účinné uplatňování </w:t>
            </w:r>
            <w:r w:rsidRPr="00F8551C">
              <w:rPr>
                <w:rFonts w:ascii="Cambria" w:hAnsi="Cambria"/>
                <w:b/>
                <w:sz w:val="20"/>
                <w:u w:val="single"/>
              </w:rPr>
              <w:t>směrnice Evropského parlamentu a Rady 2011/92/EU (EIA)</w:t>
            </w:r>
            <w:r w:rsidRPr="00F8551C">
              <w:rPr>
                <w:rFonts w:ascii="Cambria" w:hAnsi="Cambria"/>
                <w:sz w:val="20"/>
              </w:rPr>
              <w:t xml:space="preserve"> a směrnice Evropského parlamentu a </w:t>
            </w:r>
            <w:r w:rsidRPr="00F8551C">
              <w:rPr>
                <w:rFonts w:ascii="Cambria" w:hAnsi="Cambria"/>
                <w:sz w:val="20"/>
              </w:rPr>
              <w:lastRenderedPageBreak/>
              <w:t>Rady 2001/42/EC (SEA)</w:t>
            </w:r>
          </w:p>
        </w:tc>
        <w:tc>
          <w:tcPr>
            <w:tcW w:w="1050" w:type="dxa"/>
            <w:shd w:val="clear" w:color="auto" w:fill="F3F3F3"/>
            <w:vAlign w:val="center"/>
          </w:tcPr>
          <w:p w:rsidR="00235340" w:rsidRPr="00F8551C" w:rsidRDefault="00062F25" w:rsidP="00062F25">
            <w:pPr>
              <w:pStyle w:val="DAVA"/>
              <w:spacing w:before="0"/>
              <w:jc w:val="center"/>
              <w:rPr>
                <w:rFonts w:ascii="Cambria" w:hAnsi="Cambria" w:cs="Calibri"/>
                <w:sz w:val="20"/>
              </w:rPr>
            </w:pPr>
            <w:r w:rsidRPr="00F8551C">
              <w:rPr>
                <w:rFonts w:ascii="Cambria" w:hAnsi="Cambria" w:cs="Calibri"/>
                <w:sz w:val="20"/>
                <w:lang w:val="cs-CZ"/>
              </w:rPr>
              <w:lastRenderedPageBreak/>
              <w:t>Ano</w:t>
            </w:r>
          </w:p>
        </w:tc>
        <w:tc>
          <w:tcPr>
            <w:tcW w:w="2126" w:type="dxa"/>
            <w:shd w:val="clear" w:color="auto" w:fill="F3F3F3"/>
            <w:vAlign w:val="center"/>
          </w:tcPr>
          <w:p w:rsidR="00235340" w:rsidRPr="00F8551C" w:rsidRDefault="00235340" w:rsidP="006E6B3F">
            <w:pPr>
              <w:pStyle w:val="DAVA"/>
              <w:spacing w:before="0"/>
              <w:rPr>
                <w:rFonts w:ascii="Cambria" w:hAnsi="Cambria" w:cs="Calibri"/>
                <w:sz w:val="20"/>
              </w:rPr>
            </w:pPr>
            <w:r w:rsidRPr="00F8551C">
              <w:rPr>
                <w:rFonts w:ascii="Cambria" w:hAnsi="Cambria" w:cs="Calibri"/>
                <w:sz w:val="20"/>
              </w:rPr>
              <w:t>§19 zákona č. 100/2001 Sb., o posuzování vlivů na životní prostředí</w:t>
            </w:r>
          </w:p>
          <w:p w:rsidR="00235340" w:rsidRPr="00F8551C" w:rsidRDefault="00235340" w:rsidP="006E6B3F">
            <w:pPr>
              <w:pStyle w:val="DAVA"/>
              <w:spacing w:before="0"/>
              <w:rPr>
                <w:rFonts w:ascii="Cambria" w:hAnsi="Cambria" w:cs="Calibri"/>
                <w:sz w:val="20"/>
              </w:rPr>
            </w:pPr>
          </w:p>
          <w:p w:rsidR="00235340" w:rsidRPr="00F8551C" w:rsidRDefault="00400236" w:rsidP="006E6B3F">
            <w:pPr>
              <w:pStyle w:val="DAVA"/>
              <w:spacing w:before="0"/>
              <w:rPr>
                <w:rFonts w:ascii="Cambria" w:hAnsi="Cambria" w:cs="Calibri"/>
                <w:sz w:val="20"/>
              </w:rPr>
            </w:pPr>
            <w:hyperlink r:id="rId16" w:history="1">
              <w:r w:rsidR="00235340" w:rsidRPr="00F8551C">
                <w:rPr>
                  <w:rStyle w:val="Hypertextovodkaz"/>
                  <w:rFonts w:ascii="Cambria" w:hAnsi="Cambria" w:cs="Calibri"/>
                  <w:sz w:val="20"/>
                </w:rPr>
                <w:t>http://portal.cenia.cz/eiasea/static/eia_legislativa</w:t>
              </w:r>
            </w:hyperlink>
          </w:p>
        </w:tc>
        <w:tc>
          <w:tcPr>
            <w:tcW w:w="5393" w:type="dxa"/>
            <w:shd w:val="clear" w:color="auto" w:fill="F3F3F3"/>
            <w:vAlign w:val="center"/>
          </w:tcPr>
          <w:p w:rsidR="00235340" w:rsidRPr="00F8551C" w:rsidRDefault="00235340" w:rsidP="006E6B3F">
            <w:pPr>
              <w:spacing w:after="120"/>
              <w:jc w:val="both"/>
              <w:rPr>
                <w:rFonts w:ascii="Cambria" w:hAnsi="Cambria" w:cstheme="minorHAnsi"/>
                <w:color w:val="000000"/>
              </w:rPr>
            </w:pPr>
            <w:r w:rsidRPr="00F8551C">
              <w:rPr>
                <w:rFonts w:ascii="Cambria" w:hAnsi="Cambria" w:cstheme="minorHAnsi"/>
                <w:color w:val="000000"/>
              </w:rPr>
              <w:t xml:space="preserve">V rámci </w:t>
            </w:r>
            <w:proofErr w:type="spellStart"/>
            <w:r w:rsidRPr="00F8551C">
              <w:rPr>
                <w:rFonts w:ascii="Cambria" w:hAnsi="Cambria" w:cstheme="minorHAnsi"/>
                <w:color w:val="000000"/>
              </w:rPr>
              <w:t>infringementového</w:t>
            </w:r>
            <w:proofErr w:type="spellEnd"/>
            <w:r w:rsidRPr="00F8551C">
              <w:rPr>
                <w:rFonts w:ascii="Cambria" w:hAnsi="Cambria" w:cstheme="minorHAnsi"/>
                <w:color w:val="000000"/>
              </w:rPr>
              <w:t xml:space="preserve"> řízení ke směrnici EIA bylo s Evropskou komisí dohodnuto řešení spočívající v úpravě české legislativy, kterou budou v termínu do konce roku 2014 vyřešeny všechny výtky Evropské komise</w:t>
            </w:r>
            <w:r w:rsidR="00064922" w:rsidRPr="00F8551C">
              <w:rPr>
                <w:rFonts w:ascii="Cambria" w:hAnsi="Cambria" w:cs="Cambria"/>
                <w:color w:val="000000"/>
              </w:rPr>
              <w:t xml:space="preserve"> </w:t>
            </w:r>
            <w:r w:rsidR="00064922" w:rsidRPr="00F8551C">
              <w:rPr>
                <w:rFonts w:ascii="Cambria" w:hAnsi="Cambria" w:cstheme="minorHAnsi"/>
                <w:color w:val="000000"/>
              </w:rPr>
              <w:t>tak, aby novela nabyla účinnosti dne 1. 1. 2015</w:t>
            </w:r>
            <w:r w:rsidRPr="00F8551C">
              <w:rPr>
                <w:rFonts w:ascii="Cambria" w:hAnsi="Cambria" w:cstheme="minorHAnsi"/>
                <w:color w:val="000000"/>
              </w:rPr>
              <w:t xml:space="preserve">. Za účelem vypracování návrhu novelizace byla zřízena pracovní skupina, jež je v úzkém kontaktu s Evropskou komisí. Paragrafované znění novely zákona EIA, stavebního zákona a souvisejících právních předpisů bylo v březnu 2014 předloženo do mezirezortního připomínkového řízení, které bylo ukončeno na konci dubna 2014. Novela byla následně upravena na základě připomínek Evropské komise a dne 10. </w:t>
            </w:r>
            <w:r w:rsidRPr="00F8551C">
              <w:rPr>
                <w:rFonts w:ascii="Cambria" w:hAnsi="Cambria" w:cstheme="minorHAnsi"/>
                <w:color w:val="000000"/>
              </w:rPr>
              <w:lastRenderedPageBreak/>
              <w:t xml:space="preserve">6. 2014 odsouhlasena Evropskou komisí. V červnu 2014 bylo Komisí schválené znění novely předloženo do opakovaného mezirezortního připomínkového řízení. Po vypořádání obdržených připomínek byla novela v srpnu 2014 projednána Legislativní radou vlády a dne 3. 9. 2014 schválena Vládou ČR. Tentýž den byla novela postoupena Poslanecké sněmovně Parlamentu ČR. </w:t>
            </w:r>
            <w:r w:rsidR="00D75537" w:rsidRPr="00F8551C">
              <w:rPr>
                <w:rFonts w:ascii="Cambria" w:hAnsi="Cambria" w:cstheme="minorHAnsi"/>
                <w:color w:val="000000"/>
              </w:rPr>
              <w:t>Novela byla dne 12. 12. 2014 schválena Poslaneckou sněmovnou PČR ve 3. čtení a postoupena Senátu PČR. Dne 14. 1. 2015 byla novela projednána Senátem a vrácena Poslanecké sněmovně s pozměňovacími návrhy</w:t>
            </w:r>
            <w:r w:rsidR="00960B34" w:rsidRPr="00F8551C">
              <w:rPr>
                <w:rFonts w:ascii="Cambria" w:hAnsi="Cambria" w:cstheme="minorHAnsi"/>
                <w:color w:val="000000"/>
              </w:rPr>
              <w:t>.</w:t>
            </w:r>
            <w:r w:rsidR="00D75537" w:rsidRPr="00F8551C">
              <w:rPr>
                <w:rFonts w:ascii="Cambria" w:hAnsi="Cambria" w:cstheme="minorHAnsi"/>
                <w:color w:val="000000"/>
              </w:rPr>
              <w:t xml:space="preserve"> </w:t>
            </w:r>
            <w:r w:rsidR="00960B34" w:rsidRPr="00F8551C">
              <w:rPr>
                <w:rFonts w:ascii="Cambria" w:hAnsi="Cambria" w:cs="Cambria"/>
                <w:color w:val="000000"/>
              </w:rPr>
              <w:t xml:space="preserve"> </w:t>
            </w:r>
            <w:r w:rsidR="00960B34" w:rsidRPr="00F8551C">
              <w:rPr>
                <w:rFonts w:ascii="Cambria" w:hAnsi="Cambria" w:cstheme="minorHAnsi"/>
                <w:color w:val="000000"/>
              </w:rPr>
              <w:t xml:space="preserve">Poslanecká sněmovna schválila novelu ve znění pozměňovacích návrhů dne 10. 2. 2015. </w:t>
            </w:r>
            <w:r w:rsidR="00D75537" w:rsidRPr="00F8551C">
              <w:rPr>
                <w:rFonts w:ascii="Cambria" w:hAnsi="Cambria" w:cstheme="minorHAnsi"/>
                <w:color w:val="000000"/>
              </w:rPr>
              <w:t xml:space="preserve">Následně </w:t>
            </w:r>
            <w:r w:rsidR="00960B34" w:rsidRPr="00F8551C">
              <w:rPr>
                <w:rFonts w:ascii="Cambria" w:hAnsi="Cambria" w:cstheme="minorHAnsi"/>
                <w:color w:val="000000"/>
              </w:rPr>
              <w:t xml:space="preserve"> byla </w:t>
            </w:r>
            <w:r w:rsidR="00D75537" w:rsidRPr="00F8551C">
              <w:rPr>
                <w:rFonts w:ascii="Cambria" w:hAnsi="Cambria" w:cstheme="minorHAnsi"/>
                <w:color w:val="000000"/>
              </w:rPr>
              <w:t xml:space="preserve">novela </w:t>
            </w:r>
            <w:r w:rsidR="00960B34" w:rsidRPr="00F8551C">
              <w:rPr>
                <w:rFonts w:ascii="Cambria" w:hAnsi="Cambria" w:cstheme="minorHAnsi"/>
                <w:color w:val="000000"/>
              </w:rPr>
              <w:t xml:space="preserve">postoupena </w:t>
            </w:r>
            <w:r w:rsidR="00D75537" w:rsidRPr="00F8551C">
              <w:rPr>
                <w:rFonts w:ascii="Cambria" w:hAnsi="Cambria" w:cstheme="minorHAnsi"/>
                <w:color w:val="000000"/>
              </w:rPr>
              <w:t>prezidentu republiky</w:t>
            </w:r>
            <w:r w:rsidR="00960B34" w:rsidRPr="00F8551C">
              <w:rPr>
                <w:rFonts w:ascii="Cambria" w:hAnsi="Cambria" w:cstheme="minorHAnsi"/>
                <w:color w:val="000000"/>
              </w:rPr>
              <w:t>, který ji podepsal dne 24.2.2015</w:t>
            </w:r>
            <w:r w:rsidR="00D75537" w:rsidRPr="00F8551C">
              <w:rPr>
                <w:rFonts w:ascii="Cambria" w:hAnsi="Cambria" w:cstheme="minorHAnsi"/>
                <w:color w:val="000000"/>
              </w:rPr>
              <w:t xml:space="preserve">. </w:t>
            </w:r>
            <w:r w:rsidR="00064922" w:rsidRPr="00F8551C">
              <w:rPr>
                <w:rFonts w:ascii="Cambria" w:hAnsi="Cambria" w:cstheme="minorHAnsi"/>
                <w:color w:val="000000"/>
              </w:rPr>
              <w:t xml:space="preserve">Novela byla dne 6. 3. 2015 vyhlášena ve Sbírce zákonů v částce 19 jako zákon č. 39/2015 Sb., v důsledku čehož </w:t>
            </w:r>
            <w:r w:rsidR="00062F25" w:rsidRPr="00F8551C">
              <w:rPr>
                <w:rFonts w:ascii="Cambria" w:hAnsi="Cambria" w:cstheme="minorHAnsi"/>
                <w:color w:val="000000"/>
              </w:rPr>
              <w:t xml:space="preserve">nabyla </w:t>
            </w:r>
            <w:r w:rsidR="00064922" w:rsidRPr="00F8551C">
              <w:rPr>
                <w:rFonts w:ascii="Cambria" w:hAnsi="Cambria" w:cstheme="minorHAnsi"/>
                <w:color w:val="000000"/>
              </w:rPr>
              <w:t xml:space="preserve">účinnosti dne 1. 4. 2015. </w:t>
            </w:r>
            <w:r w:rsidR="00D75537" w:rsidRPr="00F8551C">
              <w:rPr>
                <w:rFonts w:ascii="Cambria" w:hAnsi="Cambria" w:cstheme="minorHAnsi"/>
                <w:color w:val="000000"/>
              </w:rPr>
              <w:t xml:space="preserve">Veškeré </w:t>
            </w:r>
            <w:r w:rsidRPr="00F8551C">
              <w:rPr>
                <w:rFonts w:ascii="Cambria" w:hAnsi="Cambria" w:cstheme="minorHAnsi"/>
                <w:color w:val="000000"/>
              </w:rPr>
              <w:t xml:space="preserve">změny novely, ke kterým </w:t>
            </w:r>
            <w:r w:rsidR="00D75537" w:rsidRPr="00F8551C">
              <w:rPr>
                <w:rFonts w:ascii="Cambria" w:hAnsi="Cambria" w:cstheme="minorHAnsi"/>
                <w:color w:val="000000"/>
              </w:rPr>
              <w:t xml:space="preserve">došlo </w:t>
            </w:r>
            <w:r w:rsidRPr="00F8551C">
              <w:rPr>
                <w:rFonts w:ascii="Cambria" w:hAnsi="Cambria" w:cstheme="minorHAnsi"/>
                <w:color w:val="000000"/>
              </w:rPr>
              <w:t xml:space="preserve">v rámci legislativního procesu, </w:t>
            </w:r>
            <w:r w:rsidR="00D75537" w:rsidRPr="00F8551C">
              <w:rPr>
                <w:rFonts w:ascii="Cambria" w:hAnsi="Cambria" w:cstheme="minorHAnsi"/>
                <w:color w:val="000000"/>
              </w:rPr>
              <w:t xml:space="preserve">byly průběžně </w:t>
            </w:r>
            <w:r w:rsidRPr="00F8551C">
              <w:rPr>
                <w:rFonts w:ascii="Cambria" w:hAnsi="Cambria" w:cstheme="minorHAnsi"/>
                <w:color w:val="000000"/>
              </w:rPr>
              <w:t xml:space="preserve">konzultovány s Evropskou komisí </w:t>
            </w:r>
            <w:r w:rsidR="00064922" w:rsidRPr="00F8551C">
              <w:rPr>
                <w:rFonts w:ascii="Cambria" w:hAnsi="Cambria" w:cstheme="minorHAnsi"/>
                <w:color w:val="000000"/>
              </w:rPr>
              <w:t>a její připomínky byly do  novely zapracovány. Evropská komise byla rovněž pravidelně informována o průběhu legislativního procesu a předpokládaném nabytí účinnosti novely.</w:t>
            </w:r>
            <w:r w:rsidR="00064922" w:rsidRPr="00F8551C" w:rsidDel="00064922">
              <w:rPr>
                <w:rFonts w:ascii="Cambria" w:hAnsi="Cambria" w:cstheme="minorHAnsi"/>
                <w:color w:val="000000"/>
              </w:rPr>
              <w:t xml:space="preserve"> </w:t>
            </w:r>
            <w:r w:rsidRPr="00F8551C">
              <w:rPr>
                <w:rFonts w:ascii="Cambria" w:hAnsi="Cambria" w:cstheme="minorHAnsi"/>
                <w:color w:val="000000"/>
              </w:rPr>
              <w:t xml:space="preserve"> </w:t>
            </w:r>
            <w:r w:rsidR="00064922" w:rsidRPr="00F8551C">
              <w:rPr>
                <w:rFonts w:ascii="Cambria" w:hAnsi="Cambria" w:cstheme="minorHAnsi"/>
                <w:color w:val="000000"/>
              </w:rPr>
              <w:t xml:space="preserve"> </w:t>
            </w:r>
            <w:r w:rsidRPr="00F8551C">
              <w:rPr>
                <w:rFonts w:ascii="Cambria" w:hAnsi="Cambria" w:cstheme="minorHAnsi"/>
                <w:color w:val="000000"/>
              </w:rPr>
              <w:t>Součástí novelizace je i oblast účasti veřejnosti a jejího přístupu k soudní ochraně. Na základě přechodných ustanovení novely bude novela aplikována i na již zahájená navazující řízení, čímž budou naplněny požadavky směrnice EIA u všech projektů, u kterých dosud nebyl ukončen povolovací proces, a rovněž bude prováděna kontrola souladu již vydaných stanovisek EIA se směrnicí EIA.</w:t>
            </w:r>
          </w:p>
          <w:p w:rsidR="00235340" w:rsidRPr="00F8551C" w:rsidRDefault="00235340" w:rsidP="007B32DF">
            <w:pPr>
              <w:pStyle w:val="DAVA"/>
              <w:spacing w:before="0"/>
              <w:jc w:val="both"/>
              <w:rPr>
                <w:rFonts w:ascii="Cambria" w:hAnsi="Cambria" w:cstheme="minorHAnsi"/>
                <w:bCs/>
                <w:color w:val="000000"/>
                <w:sz w:val="20"/>
              </w:rPr>
            </w:pPr>
            <w:r w:rsidRPr="00F8551C">
              <w:rPr>
                <w:rFonts w:ascii="Cambria" w:hAnsi="Cambria" w:cstheme="minorHAnsi"/>
                <w:color w:val="000000"/>
                <w:sz w:val="20"/>
              </w:rPr>
              <w:t>Nadto je na projekty, u kterých probíhá povolovací proces, již nyní příslušnými stavebními úřady aplikována metodická pomůcka, jejímž cílem je dosáhnout plnění požadavků směrnice EIA v povolovacích řízeních za použití stávajících právních předpisů. Metodická pomůcka byla vydána dne 20. 8. 2014 ve spolupráci MŽP a MMR a rozeslána stavebním úřadům dne 29. 8. 2014. V</w:t>
            </w:r>
            <w:r w:rsidR="00D75537" w:rsidRPr="00F8551C">
              <w:rPr>
                <w:rFonts w:ascii="Cambria" w:hAnsi="Cambria" w:cstheme="minorHAnsi"/>
                <w:color w:val="000000"/>
                <w:sz w:val="20"/>
              </w:rPr>
              <w:t> </w:t>
            </w:r>
            <w:r w:rsidR="00D75537" w:rsidRPr="00F8551C">
              <w:rPr>
                <w:rFonts w:ascii="Cambria" w:hAnsi="Cambria" w:cstheme="minorHAnsi"/>
                <w:color w:val="000000"/>
                <w:sz w:val="20"/>
                <w:lang w:val="cs-CZ"/>
              </w:rPr>
              <w:t>případě projektů</w:t>
            </w:r>
            <w:r w:rsidRPr="00F8551C">
              <w:rPr>
                <w:rFonts w:ascii="Cambria" w:hAnsi="Cambria" w:cstheme="minorHAnsi"/>
                <w:color w:val="000000"/>
                <w:sz w:val="20"/>
              </w:rPr>
              <w:t xml:space="preserve">, </w:t>
            </w:r>
            <w:r w:rsidR="00D75537" w:rsidRPr="00F8551C">
              <w:rPr>
                <w:rFonts w:ascii="Cambria" w:hAnsi="Cambria" w:cstheme="minorHAnsi"/>
                <w:color w:val="000000"/>
                <w:sz w:val="20"/>
                <w:lang w:val="cs-CZ"/>
              </w:rPr>
              <w:t>jejichž</w:t>
            </w:r>
            <w:r w:rsidRPr="00F8551C">
              <w:rPr>
                <w:rFonts w:ascii="Cambria" w:hAnsi="Cambria" w:cstheme="minorHAnsi"/>
                <w:color w:val="000000"/>
                <w:sz w:val="20"/>
              </w:rPr>
              <w:t xml:space="preserve"> povolovací proces </w:t>
            </w:r>
            <w:r w:rsidR="00D75537" w:rsidRPr="00F8551C">
              <w:rPr>
                <w:rFonts w:ascii="Cambria" w:hAnsi="Cambria" w:cstheme="minorHAnsi"/>
                <w:color w:val="000000"/>
                <w:sz w:val="20"/>
                <w:lang w:val="cs-CZ"/>
              </w:rPr>
              <w:t xml:space="preserve">bude </w:t>
            </w:r>
            <w:r w:rsidRPr="00F8551C">
              <w:rPr>
                <w:rFonts w:ascii="Cambria" w:hAnsi="Cambria" w:cstheme="minorHAnsi"/>
                <w:color w:val="000000"/>
                <w:sz w:val="20"/>
              </w:rPr>
              <w:t xml:space="preserve">ukončen dříve, než novela nabyde účinnosti, bude </w:t>
            </w:r>
            <w:r w:rsidR="00D75537" w:rsidRPr="00F8551C">
              <w:rPr>
                <w:rFonts w:ascii="Cambria" w:hAnsi="Cambria" w:cstheme="minorHAnsi"/>
                <w:color w:val="000000"/>
                <w:sz w:val="20"/>
              </w:rPr>
              <w:t xml:space="preserve">vyhodnocen soulad jejich povolovacího </w:t>
            </w:r>
            <w:r w:rsidR="00D75537" w:rsidRPr="00F8551C">
              <w:rPr>
                <w:rFonts w:ascii="Cambria" w:hAnsi="Cambria" w:cstheme="minorHAnsi"/>
                <w:color w:val="000000"/>
                <w:sz w:val="20"/>
              </w:rPr>
              <w:lastRenderedPageBreak/>
              <w:t>procesu s požadavky směrnice EIA.</w:t>
            </w:r>
            <w:r w:rsidR="006B580A" w:rsidRPr="00F8551C">
              <w:rPr>
                <w:rFonts w:ascii="Cambria" w:hAnsi="Cambria" w:cstheme="minorHAnsi"/>
                <w:color w:val="000000"/>
                <w:sz w:val="20"/>
                <w:lang w:val="cs-CZ"/>
              </w:rPr>
              <w:t xml:space="preserve"> Z</w:t>
            </w:r>
            <w:r w:rsidRPr="00F8551C">
              <w:rPr>
                <w:rFonts w:ascii="Cambria" w:hAnsi="Cambria" w:cstheme="minorHAnsi"/>
                <w:color w:val="000000"/>
                <w:sz w:val="20"/>
              </w:rPr>
              <w:t xml:space="preserve">a účelem </w:t>
            </w:r>
            <w:r w:rsidR="006B580A" w:rsidRPr="00F8551C">
              <w:rPr>
                <w:rFonts w:ascii="Cambria" w:hAnsi="Cambria" w:cstheme="minorHAnsi"/>
                <w:color w:val="000000"/>
                <w:sz w:val="20"/>
                <w:lang w:val="cs-CZ"/>
              </w:rPr>
              <w:t xml:space="preserve">této </w:t>
            </w:r>
            <w:r w:rsidRPr="00F8551C">
              <w:rPr>
                <w:rFonts w:ascii="Cambria" w:hAnsi="Cambria" w:cstheme="minorHAnsi"/>
                <w:color w:val="000000"/>
                <w:sz w:val="20"/>
              </w:rPr>
              <w:t xml:space="preserve">kontroly </w:t>
            </w:r>
            <w:r w:rsidR="00E65C72" w:rsidRPr="00F8551C">
              <w:rPr>
                <w:rFonts w:ascii="Cambria" w:hAnsi="Cambria" w:cstheme="minorHAnsi"/>
                <w:color w:val="000000"/>
                <w:sz w:val="20"/>
                <w:lang w:val="cs-CZ"/>
              </w:rPr>
              <w:t xml:space="preserve">byla </w:t>
            </w:r>
            <w:r w:rsidRPr="00F8551C">
              <w:rPr>
                <w:rFonts w:ascii="Cambria" w:hAnsi="Cambria" w:cstheme="minorHAnsi"/>
                <w:color w:val="000000"/>
                <w:sz w:val="20"/>
              </w:rPr>
              <w:t xml:space="preserve">usnesením vlády </w:t>
            </w:r>
            <w:r w:rsidR="00E65C72" w:rsidRPr="00F8551C">
              <w:rPr>
                <w:rFonts w:ascii="Cambria" w:hAnsi="Cambria" w:cstheme="minorHAnsi"/>
                <w:color w:val="000000"/>
                <w:sz w:val="20"/>
              </w:rPr>
              <w:t>č. 1078 ze dne 15. 12. 2014</w:t>
            </w:r>
            <w:r w:rsidR="00E65C72" w:rsidRPr="00F8551C">
              <w:rPr>
                <w:rFonts w:ascii="Cambria" w:hAnsi="Cambria" w:cstheme="minorHAnsi"/>
                <w:color w:val="000000"/>
                <w:sz w:val="20"/>
                <w:lang w:val="cs-CZ"/>
              </w:rPr>
              <w:t xml:space="preserve"> </w:t>
            </w:r>
            <w:r w:rsidRPr="00F8551C">
              <w:rPr>
                <w:rFonts w:ascii="Cambria" w:hAnsi="Cambria" w:cstheme="minorHAnsi"/>
                <w:color w:val="000000"/>
                <w:sz w:val="20"/>
              </w:rPr>
              <w:t>ustanovena speciální pracovní skupina složená ze zástupců dotčených rezortů (o záměru jejího vytvoření bylo DG ENV informováno dne 9. 10. 2014).</w:t>
            </w:r>
            <w:r w:rsidR="007B32DF" w:rsidRPr="00F8551C">
              <w:rPr>
                <w:rFonts w:ascii="Cambria" w:hAnsi="Cambria" w:cstheme="minorHAnsi"/>
                <w:color w:val="000000"/>
                <w:sz w:val="20"/>
                <w:lang w:val="cs-CZ"/>
              </w:rPr>
              <w:t xml:space="preserve"> </w:t>
            </w:r>
            <w:r w:rsidRPr="00F8551C">
              <w:rPr>
                <w:rFonts w:ascii="Cambria" w:hAnsi="Cambria" w:cstheme="minorHAnsi"/>
                <w:bCs/>
                <w:color w:val="000000"/>
                <w:sz w:val="20"/>
              </w:rPr>
              <w:t>Pokud jde o kontrolu kvality procesu EIA, MŽP již v současné době aplikuje systém autorizovaných osob zpracovávajících dokumentace EIA a oponentní posudky EIA, které jsou dalším nástrojem pro kontrolu kvality informací obsažených v dokumentaci EIA. Systém autorizovaných osob v ČR jde nad rámec směrnice EIA, neboť podmínkou pro vykonávání činností osoby autorizované ke zpracování dokumentace nebo posudku v procesu EIA je vykonání odborné zkoušky způsobilosti. Vysoké nároky na odbornost autorizovaných osob zajišťují kvalitu procesu EIA.</w:t>
            </w:r>
          </w:p>
        </w:tc>
      </w:tr>
      <w:tr w:rsidR="00235340" w:rsidRPr="00F8551C" w:rsidTr="00414C84">
        <w:trPr>
          <w:trHeight w:val="565"/>
        </w:trPr>
        <w:tc>
          <w:tcPr>
            <w:tcW w:w="1728" w:type="dxa"/>
            <w:shd w:val="clear" w:color="auto" w:fill="F3F3F3"/>
          </w:tcPr>
          <w:p w:rsidR="00235340" w:rsidRPr="00F8551C" w:rsidRDefault="00E65C72" w:rsidP="00E65C72">
            <w:pPr>
              <w:pStyle w:val="Textbubliny"/>
              <w:rPr>
                <w:rFonts w:ascii="Cambria" w:hAnsi="Cambria"/>
                <w:sz w:val="20"/>
                <w:szCs w:val="20"/>
              </w:rPr>
            </w:pPr>
            <w:r w:rsidRPr="00F8551C">
              <w:rPr>
                <w:rFonts w:ascii="Cambria" w:hAnsi="Cambria" w:cstheme="minorHAnsi"/>
                <w:color w:val="000000"/>
                <w:sz w:val="20"/>
                <w:szCs w:val="20"/>
              </w:rPr>
              <w:lastRenderedPageBreak/>
              <w:t>Existence opatření pro účinné uplatňování právních předpisů Unie pro oblast životního prostředí týkajících se EIA a SEA</w:t>
            </w:r>
            <w:r w:rsidRPr="00F8551C" w:rsidDel="00D716E6">
              <w:rPr>
                <w:rFonts w:ascii="Cambria" w:hAnsi="Cambria"/>
                <w:sz w:val="20"/>
                <w:szCs w:val="20"/>
              </w:rPr>
              <w:t xml:space="preserve"> </w:t>
            </w:r>
          </w:p>
        </w:tc>
        <w:tc>
          <w:tcPr>
            <w:tcW w:w="1080" w:type="dxa"/>
            <w:shd w:val="clear" w:color="auto" w:fill="F3F3F3"/>
            <w:vAlign w:val="center"/>
          </w:tcPr>
          <w:p w:rsidR="00235340" w:rsidRPr="00F8551C" w:rsidRDefault="00235340" w:rsidP="006E6B3F">
            <w:pPr>
              <w:rPr>
                <w:rFonts w:ascii="Cambria" w:hAnsi="Cambria" w:cstheme="minorHAnsi"/>
              </w:rPr>
            </w:pPr>
            <w:r w:rsidRPr="00F8551C">
              <w:rPr>
                <w:rFonts w:ascii="Cambria" w:hAnsi="Cambria" w:cstheme="minorHAnsi"/>
              </w:rPr>
              <w:t>Všechny PO OPŽP 2014 – 2020 a ostatní operační programy (vyjma OPTP a OPZ)</w:t>
            </w:r>
          </w:p>
        </w:tc>
        <w:tc>
          <w:tcPr>
            <w:tcW w:w="1128" w:type="dxa"/>
            <w:shd w:val="clear" w:color="auto" w:fill="F3F3F3"/>
            <w:vAlign w:val="center"/>
          </w:tcPr>
          <w:p w:rsidR="00235340" w:rsidRPr="00F8551C" w:rsidRDefault="00235340" w:rsidP="006E6B3F">
            <w:pPr>
              <w:pStyle w:val="Textbubliny"/>
              <w:jc w:val="center"/>
              <w:rPr>
                <w:rFonts w:ascii="Cambria" w:hAnsi="Cambria"/>
                <w:sz w:val="20"/>
                <w:szCs w:val="20"/>
              </w:rPr>
            </w:pPr>
            <w:r w:rsidRPr="00F8551C">
              <w:rPr>
                <w:rFonts w:ascii="Cambria" w:hAnsi="Cambria"/>
                <w:sz w:val="20"/>
                <w:szCs w:val="20"/>
              </w:rPr>
              <w:t>Ano</w:t>
            </w:r>
          </w:p>
        </w:tc>
        <w:tc>
          <w:tcPr>
            <w:tcW w:w="1643" w:type="dxa"/>
            <w:shd w:val="clear" w:color="auto" w:fill="F3F3F3"/>
            <w:vAlign w:val="center"/>
          </w:tcPr>
          <w:p w:rsidR="00235340" w:rsidRPr="00F8551C" w:rsidRDefault="00235340" w:rsidP="006E6B3F">
            <w:pPr>
              <w:pStyle w:val="Textbubliny"/>
              <w:rPr>
                <w:rFonts w:ascii="Cambria" w:hAnsi="Cambria" w:cs="Calibri"/>
                <w:sz w:val="20"/>
                <w:szCs w:val="20"/>
              </w:rPr>
            </w:pPr>
            <w:r w:rsidRPr="00F8551C">
              <w:rPr>
                <w:rFonts w:ascii="Cambria" w:hAnsi="Cambria"/>
                <w:sz w:val="20"/>
                <w:szCs w:val="20"/>
              </w:rPr>
              <w:t>Opatření pro odbornou přípravu a šíření informací pro zaměstnance podílející se na provádění směrnic týkajících se EIA a SEA</w:t>
            </w:r>
          </w:p>
        </w:tc>
        <w:tc>
          <w:tcPr>
            <w:tcW w:w="1050" w:type="dxa"/>
            <w:shd w:val="clear" w:color="auto" w:fill="F3F3F3"/>
            <w:vAlign w:val="center"/>
          </w:tcPr>
          <w:p w:rsidR="00235340" w:rsidRPr="00F8551C" w:rsidRDefault="00235340" w:rsidP="006E6B3F">
            <w:pPr>
              <w:pStyle w:val="Textbubliny"/>
              <w:jc w:val="center"/>
              <w:rPr>
                <w:rFonts w:ascii="Cambria" w:hAnsi="Cambria" w:cs="Calibri"/>
                <w:sz w:val="20"/>
                <w:szCs w:val="20"/>
              </w:rPr>
            </w:pPr>
            <w:r w:rsidRPr="00F8551C">
              <w:rPr>
                <w:rFonts w:ascii="Cambria" w:hAnsi="Cambria" w:cs="Calibri"/>
                <w:sz w:val="20"/>
                <w:szCs w:val="20"/>
              </w:rPr>
              <w:t>Ano</w:t>
            </w:r>
          </w:p>
        </w:tc>
        <w:tc>
          <w:tcPr>
            <w:tcW w:w="2126" w:type="dxa"/>
            <w:shd w:val="clear" w:color="auto" w:fill="F3F3F3"/>
            <w:vAlign w:val="center"/>
          </w:tcPr>
          <w:p w:rsidR="00235340" w:rsidRPr="00F8551C" w:rsidRDefault="00235340" w:rsidP="006E6B3F">
            <w:pPr>
              <w:pStyle w:val="Textbubliny"/>
              <w:rPr>
                <w:rFonts w:ascii="Cambria" w:hAnsi="Cambria"/>
                <w:color w:val="0000FF"/>
                <w:sz w:val="20"/>
                <w:szCs w:val="20"/>
                <w:u w:val="single"/>
              </w:rPr>
            </w:pPr>
            <w:r w:rsidRPr="00F8551C">
              <w:rPr>
                <w:rFonts w:ascii="Cambria" w:hAnsi="Cambria"/>
                <w:bCs/>
                <w:color w:val="000000"/>
                <w:sz w:val="20"/>
                <w:szCs w:val="20"/>
              </w:rPr>
              <w:t>§21 a 22 zákona č. 100/2001 Sb., o posuzování vlivů na životní prostředí</w:t>
            </w:r>
          </w:p>
          <w:p w:rsidR="00235340" w:rsidRPr="00F8551C" w:rsidRDefault="00235340" w:rsidP="006E6B3F">
            <w:pPr>
              <w:pStyle w:val="Textbubliny"/>
              <w:rPr>
                <w:rFonts w:ascii="Cambria" w:hAnsi="Cambria"/>
                <w:color w:val="0000FF"/>
                <w:sz w:val="20"/>
                <w:szCs w:val="20"/>
                <w:u w:val="single"/>
              </w:rPr>
            </w:pPr>
          </w:p>
          <w:p w:rsidR="00235340" w:rsidRPr="00F8551C" w:rsidRDefault="00235340" w:rsidP="006E6B3F">
            <w:pPr>
              <w:pStyle w:val="Textbubliny"/>
              <w:rPr>
                <w:rFonts w:ascii="Cambria" w:hAnsi="Cambria"/>
                <w:bCs/>
                <w:color w:val="000000"/>
                <w:sz w:val="20"/>
                <w:szCs w:val="20"/>
              </w:rPr>
            </w:pPr>
            <w:r w:rsidRPr="00F8551C">
              <w:rPr>
                <w:rFonts w:ascii="Cambria" w:hAnsi="Cambria"/>
                <w:bCs/>
                <w:color w:val="000000"/>
                <w:sz w:val="20"/>
                <w:szCs w:val="20"/>
              </w:rPr>
              <w:t>§21 zákona č. 312/2002 Sb., o úřednících územních samosprávných celků</w:t>
            </w:r>
          </w:p>
          <w:p w:rsidR="00235340" w:rsidRPr="00F8551C" w:rsidRDefault="00235340" w:rsidP="006E6B3F">
            <w:pPr>
              <w:pStyle w:val="Textbubliny"/>
              <w:rPr>
                <w:rFonts w:ascii="Cambria" w:hAnsi="Cambria"/>
                <w:bCs/>
                <w:color w:val="000000"/>
                <w:sz w:val="20"/>
                <w:szCs w:val="20"/>
              </w:rPr>
            </w:pPr>
          </w:p>
          <w:p w:rsidR="00235340" w:rsidRPr="00F8551C" w:rsidRDefault="00235340" w:rsidP="006E6B3F">
            <w:pPr>
              <w:pStyle w:val="Textbubliny"/>
              <w:rPr>
                <w:rFonts w:ascii="Cambria" w:hAnsi="Cambria"/>
                <w:color w:val="0000FF"/>
                <w:sz w:val="20"/>
                <w:szCs w:val="20"/>
                <w:u w:val="single"/>
              </w:rPr>
            </w:pPr>
            <w:r w:rsidRPr="00F8551C">
              <w:rPr>
                <w:rFonts w:ascii="Cambria" w:hAnsi="Cambria"/>
                <w:bCs/>
                <w:color w:val="000000"/>
                <w:sz w:val="20"/>
                <w:szCs w:val="20"/>
              </w:rPr>
              <w:t>Usnesení Vlády ČR ze dne 30. listopadu 2005 č. 1542</w:t>
            </w:r>
          </w:p>
          <w:p w:rsidR="00235340" w:rsidRPr="00F8551C" w:rsidRDefault="00235340" w:rsidP="006E6B3F">
            <w:pPr>
              <w:pStyle w:val="Textbubliny"/>
              <w:rPr>
                <w:rFonts w:ascii="Cambria" w:hAnsi="Cambria"/>
                <w:color w:val="0000FF"/>
                <w:sz w:val="20"/>
                <w:szCs w:val="20"/>
                <w:u w:val="single"/>
              </w:rPr>
            </w:pPr>
          </w:p>
          <w:p w:rsidR="00235340" w:rsidRPr="00F8551C" w:rsidRDefault="00400236" w:rsidP="006E6B3F">
            <w:pPr>
              <w:pStyle w:val="Textbubliny"/>
              <w:rPr>
                <w:rFonts w:ascii="Cambria" w:hAnsi="Cambria"/>
                <w:color w:val="0000FF"/>
                <w:sz w:val="20"/>
                <w:szCs w:val="20"/>
                <w:u w:val="single"/>
              </w:rPr>
            </w:pPr>
            <w:hyperlink r:id="rId17" w:history="1">
              <w:r w:rsidR="00235340" w:rsidRPr="00F8551C">
                <w:rPr>
                  <w:rFonts w:ascii="Cambria" w:hAnsi="Cambria" w:cs="Calibri"/>
                  <w:color w:val="0000FF"/>
                  <w:sz w:val="20"/>
                  <w:szCs w:val="20"/>
                  <w:u w:val="single"/>
                </w:rPr>
                <w:t>http://www.mzp.cz/cz/posuzovani_vlivu_zivotni_prostredi</w:t>
              </w:r>
            </w:hyperlink>
            <w:r w:rsidR="00235340" w:rsidRPr="00F8551C">
              <w:rPr>
                <w:rFonts w:ascii="Cambria" w:hAnsi="Cambria"/>
                <w:color w:val="0000FF"/>
                <w:sz w:val="20"/>
                <w:szCs w:val="20"/>
                <w:u w:val="single"/>
              </w:rPr>
              <w:t xml:space="preserve"> </w:t>
            </w:r>
          </w:p>
          <w:p w:rsidR="00235340" w:rsidRPr="00F8551C" w:rsidRDefault="00235340" w:rsidP="006E6B3F">
            <w:pPr>
              <w:pStyle w:val="Textbubliny"/>
              <w:rPr>
                <w:rFonts w:ascii="Cambria" w:hAnsi="Cambria"/>
                <w:sz w:val="20"/>
                <w:szCs w:val="20"/>
              </w:rPr>
            </w:pPr>
          </w:p>
          <w:p w:rsidR="00235340" w:rsidRPr="00F8551C" w:rsidRDefault="00400236" w:rsidP="006E6B3F">
            <w:pPr>
              <w:pStyle w:val="Textbubliny"/>
              <w:rPr>
                <w:rFonts w:ascii="Cambria" w:hAnsi="Cambria"/>
                <w:sz w:val="20"/>
                <w:szCs w:val="20"/>
              </w:rPr>
            </w:pPr>
            <w:hyperlink r:id="rId18" w:history="1">
              <w:r w:rsidR="00235340" w:rsidRPr="00F8551C">
                <w:rPr>
                  <w:rFonts w:ascii="Cambria" w:hAnsi="Cambria" w:cs="Calibri"/>
                  <w:color w:val="0000FF"/>
                  <w:sz w:val="20"/>
                  <w:szCs w:val="20"/>
                  <w:u w:val="single"/>
                </w:rPr>
                <w:t>http://portal.cenia.cz/eiasea/view/eia100_c</w:t>
              </w:r>
              <w:r w:rsidR="00235340" w:rsidRPr="00F8551C">
                <w:rPr>
                  <w:rFonts w:ascii="Cambria" w:hAnsi="Cambria" w:cs="Calibri"/>
                  <w:sz w:val="20"/>
                  <w:szCs w:val="20"/>
                  <w:u w:val="single"/>
                </w:rPr>
                <w:t>r</w:t>
              </w:r>
            </w:hyperlink>
            <w:r w:rsidR="00235340" w:rsidRPr="00F8551C">
              <w:rPr>
                <w:rFonts w:ascii="Cambria" w:hAnsi="Cambria"/>
                <w:sz w:val="20"/>
                <w:szCs w:val="20"/>
              </w:rPr>
              <w:t xml:space="preserve"> (+ záložka legislativa, pokyny a </w:t>
            </w:r>
            <w:r w:rsidR="00235340" w:rsidRPr="00F8551C">
              <w:rPr>
                <w:rFonts w:ascii="Cambria" w:hAnsi="Cambria"/>
                <w:sz w:val="20"/>
                <w:szCs w:val="20"/>
              </w:rPr>
              <w:lastRenderedPageBreak/>
              <w:t>sdělení atd.)</w:t>
            </w:r>
          </w:p>
          <w:p w:rsidR="00235340" w:rsidRPr="00F8551C" w:rsidRDefault="00235340" w:rsidP="006E6B3F">
            <w:pPr>
              <w:pStyle w:val="Textbubliny"/>
              <w:rPr>
                <w:rFonts w:ascii="Cambria" w:hAnsi="Cambria"/>
                <w:sz w:val="20"/>
                <w:szCs w:val="20"/>
              </w:rPr>
            </w:pPr>
          </w:p>
          <w:p w:rsidR="00235340" w:rsidRPr="00F8551C" w:rsidRDefault="00400236" w:rsidP="006E6B3F">
            <w:pPr>
              <w:pStyle w:val="Textbubliny"/>
              <w:rPr>
                <w:rFonts w:ascii="Cambria" w:hAnsi="Cambria"/>
                <w:sz w:val="20"/>
                <w:szCs w:val="20"/>
              </w:rPr>
            </w:pPr>
            <w:hyperlink r:id="rId19" w:history="1">
              <w:r w:rsidR="00235340" w:rsidRPr="00F8551C">
                <w:rPr>
                  <w:rFonts w:ascii="Cambria" w:hAnsi="Cambria" w:cs="Calibri"/>
                  <w:color w:val="0000FF"/>
                  <w:sz w:val="20"/>
                  <w:szCs w:val="20"/>
                  <w:u w:val="single"/>
                </w:rPr>
                <w:t>http://portal.cenia.cz/eiasea/view/SEA100_koncepce</w:t>
              </w:r>
            </w:hyperlink>
            <w:r w:rsidR="00235340" w:rsidRPr="00F8551C">
              <w:rPr>
                <w:rFonts w:ascii="Cambria" w:hAnsi="Cambria"/>
                <w:sz w:val="20"/>
                <w:szCs w:val="20"/>
              </w:rPr>
              <w:t xml:space="preserve"> (+ záložka legislativa, pokyny a sdělení atd.)</w:t>
            </w:r>
          </w:p>
        </w:tc>
        <w:tc>
          <w:tcPr>
            <w:tcW w:w="5393" w:type="dxa"/>
            <w:shd w:val="clear" w:color="auto" w:fill="F3F3F3"/>
            <w:vAlign w:val="center"/>
          </w:tcPr>
          <w:p w:rsidR="00235340" w:rsidRPr="00F8551C" w:rsidRDefault="00235340" w:rsidP="007B32DF">
            <w:pPr>
              <w:pStyle w:val="Textbubliny"/>
              <w:jc w:val="both"/>
              <w:rPr>
                <w:rFonts w:ascii="Cambria" w:hAnsi="Cambria"/>
                <w:bCs/>
                <w:color w:val="000000"/>
                <w:sz w:val="20"/>
                <w:szCs w:val="20"/>
              </w:rPr>
            </w:pPr>
            <w:r w:rsidRPr="00F8551C">
              <w:rPr>
                <w:rFonts w:ascii="Cambria" w:hAnsi="Cambria"/>
                <w:bCs/>
                <w:color w:val="000000"/>
                <w:sz w:val="20"/>
                <w:szCs w:val="20"/>
              </w:rPr>
              <w:lastRenderedPageBreak/>
              <w:t xml:space="preserve">1) </w:t>
            </w:r>
            <w:r w:rsidRPr="00F8551C">
              <w:rPr>
                <w:rFonts w:ascii="Cambria" w:hAnsi="Cambria"/>
                <w:bCs/>
                <w:color w:val="000000"/>
                <w:sz w:val="20"/>
                <w:szCs w:val="20"/>
                <w:u w:val="single"/>
              </w:rPr>
              <w:t>Působnost MŽP</w:t>
            </w:r>
            <w:r w:rsidRPr="00F8551C">
              <w:rPr>
                <w:rFonts w:ascii="Cambria" w:hAnsi="Cambria"/>
                <w:bCs/>
                <w:color w:val="000000"/>
                <w:sz w:val="20"/>
                <w:szCs w:val="20"/>
              </w:rPr>
              <w:t xml:space="preserve">: MŽP je ústředním správním úřadem v oblasti posuzování vlivů na životní prostředí dle § 21 písm. a) a vykonává vrchní státní dozor v oblasti posuzování vlivů na životní prostředí dle § 21 písm. b) zákona č. 100/2001 Sb., o posuzování vlivů na životní prostředí, ve znění pozdějších předpisů. Na základě této skutečnosti MŽP metodicky vede všechny pracovníky provádějící směrnice EIA a SEA. MŽP koná pro pracovníky EIA a SEA pravidelné porady. </w:t>
            </w:r>
            <w:r w:rsidRPr="00F8551C">
              <w:rPr>
                <w:rFonts w:ascii="Cambria" w:hAnsi="Cambria"/>
                <w:sz w:val="20"/>
                <w:szCs w:val="20"/>
              </w:rPr>
              <w:t>Dále v součinnosti s MMR-NOK realizuje školení pro pracovníky řídících orgánů jednotlivých ministerstev.</w:t>
            </w:r>
          </w:p>
          <w:p w:rsidR="00235340" w:rsidRPr="00F8551C" w:rsidRDefault="00235340" w:rsidP="007B32DF">
            <w:pPr>
              <w:pStyle w:val="DAVA"/>
              <w:jc w:val="both"/>
              <w:rPr>
                <w:rFonts w:ascii="Cambria" w:hAnsi="Cambria"/>
                <w:b/>
                <w:bCs/>
                <w:color w:val="000000"/>
                <w:sz w:val="20"/>
              </w:rPr>
            </w:pPr>
            <w:r w:rsidRPr="00F8551C">
              <w:rPr>
                <w:rFonts w:ascii="Cambria" w:hAnsi="Cambria"/>
                <w:bCs/>
                <w:color w:val="000000"/>
                <w:sz w:val="20"/>
              </w:rPr>
              <w:t xml:space="preserve">Informace z oblasti EIA a SEA jsou pro všechny pracovníky šířeny prostřednictvím informačního systému a vydáváním metodických pokynů. Krajští úředníci pravidelně využívají také možnosti individuální konzultace. Stejně tak MŽP kontaktuje pracovníky na krajských úřadech a konzultuje s nimi aktuální otázky v procesu EIA či SEA. </w:t>
            </w:r>
            <w:r w:rsidRPr="00F8551C">
              <w:rPr>
                <w:rFonts w:ascii="Cambria" w:hAnsi="Cambria"/>
                <w:b/>
                <w:bCs/>
                <w:color w:val="000000"/>
                <w:sz w:val="20"/>
              </w:rPr>
              <w:t xml:space="preserve"> </w:t>
            </w:r>
          </w:p>
          <w:p w:rsidR="00235340" w:rsidRPr="00F8551C" w:rsidRDefault="00235340" w:rsidP="007B32DF">
            <w:pPr>
              <w:pStyle w:val="DAVA"/>
              <w:jc w:val="both"/>
              <w:rPr>
                <w:rFonts w:ascii="Cambria" w:hAnsi="Cambria"/>
                <w:bCs/>
                <w:color w:val="000000"/>
                <w:sz w:val="20"/>
              </w:rPr>
            </w:pPr>
            <w:r w:rsidRPr="00F8551C">
              <w:rPr>
                <w:rFonts w:ascii="Cambria" w:hAnsi="Cambria"/>
                <w:bCs/>
                <w:color w:val="000000"/>
                <w:sz w:val="20"/>
              </w:rPr>
              <w:t xml:space="preserve">Všichni pracovníci provádějící směrnice EIA a SEA jsou kvalifikováni rovněž k provádění poradenství v oblasti EIA a SEA. Krajští úředníci vykonávající činnost příslušného úřadu ve smyslu § 22 písm. b) zákona č. 100/2001 Sb., o posuzování vlivů na životní prostředí, ve znění pozdějších předpisů, musí dle §21 zákona č. 312/2002 Sb., o úřednících </w:t>
            </w:r>
            <w:r w:rsidRPr="00F8551C">
              <w:rPr>
                <w:rFonts w:ascii="Cambria" w:hAnsi="Cambria"/>
                <w:bCs/>
                <w:color w:val="000000"/>
                <w:sz w:val="20"/>
              </w:rPr>
              <w:lastRenderedPageBreak/>
              <w:t xml:space="preserve">územních samosprávných celků, ve znění pozdějších předpisů, prokázat zvláštní odbornou způsobilost v oblasti posuzování vlivů na životní prostředí. Zvláštní odborná způsobilost se ověřuje zkouškou a prokazuje osvědčením. Pracovníci MŽP absolvují vstupní vzdělávání úvodní a vstupní vzdělávání následné dle Usnesení Vlády ČR ze dne 30. listopadu 2005 č. 1542. Dále jsou zaměstnanci MŽP průběžně vzděláváni po odborné stránce. </w:t>
            </w:r>
          </w:p>
          <w:p w:rsidR="00235340" w:rsidRPr="00F8551C" w:rsidRDefault="00235340" w:rsidP="005C4C5A">
            <w:pPr>
              <w:pStyle w:val="DAVA"/>
              <w:spacing w:after="240"/>
              <w:jc w:val="both"/>
              <w:rPr>
                <w:rFonts w:ascii="Cambria" w:hAnsi="Cambria" w:cstheme="minorHAnsi"/>
                <w:bCs/>
                <w:color w:val="000000"/>
                <w:sz w:val="20"/>
                <w:lang w:val="cs-CZ"/>
              </w:rPr>
            </w:pPr>
            <w:r w:rsidRPr="00F8551C">
              <w:rPr>
                <w:rFonts w:ascii="Cambria" w:hAnsi="Cambria"/>
                <w:bCs/>
                <w:color w:val="000000"/>
                <w:sz w:val="20"/>
              </w:rPr>
              <w:t xml:space="preserve">Součástí vzdělávání pracovníků podílejících se na implementaci směrnice EIA jsou rovněž informace o aktuálním stavu </w:t>
            </w:r>
            <w:proofErr w:type="spellStart"/>
            <w:r w:rsidRPr="00F8551C">
              <w:rPr>
                <w:rFonts w:ascii="Cambria" w:hAnsi="Cambria"/>
                <w:bCs/>
                <w:color w:val="000000"/>
                <w:sz w:val="20"/>
              </w:rPr>
              <w:t>infringementového</w:t>
            </w:r>
            <w:proofErr w:type="spellEnd"/>
            <w:r w:rsidRPr="00F8551C">
              <w:rPr>
                <w:rFonts w:ascii="Cambria" w:hAnsi="Cambria"/>
                <w:bCs/>
                <w:color w:val="000000"/>
                <w:sz w:val="20"/>
              </w:rPr>
              <w:t xml:space="preserve"> řízení a nové právní </w:t>
            </w:r>
            <w:r w:rsidR="00091D0B" w:rsidRPr="00F8551C">
              <w:rPr>
                <w:rFonts w:ascii="Cambria" w:hAnsi="Cambria"/>
                <w:bCs/>
                <w:color w:val="000000"/>
                <w:sz w:val="20"/>
                <w:lang w:val="cs-CZ"/>
              </w:rPr>
              <w:t xml:space="preserve">úpravě </w:t>
            </w:r>
            <w:r w:rsidRPr="00F8551C">
              <w:rPr>
                <w:rFonts w:ascii="Cambria" w:hAnsi="Cambria"/>
                <w:bCs/>
                <w:color w:val="000000"/>
                <w:sz w:val="20"/>
              </w:rPr>
              <w:t xml:space="preserve">v oblasti EIA, a to včetně konkrétních aspektů </w:t>
            </w:r>
            <w:r w:rsidR="00091D0B" w:rsidRPr="00F8551C">
              <w:rPr>
                <w:rFonts w:ascii="Cambria" w:hAnsi="Cambria"/>
                <w:bCs/>
                <w:color w:val="000000"/>
                <w:sz w:val="20"/>
                <w:lang w:val="cs-CZ"/>
              </w:rPr>
              <w:t xml:space="preserve"> p</w:t>
            </w:r>
            <w:proofErr w:type="spellStart"/>
            <w:r w:rsidR="00091D0B" w:rsidRPr="00F8551C">
              <w:rPr>
                <w:rFonts w:ascii="Cambria" w:hAnsi="Cambria" w:cstheme="minorHAnsi"/>
                <w:bCs/>
                <w:color w:val="000000"/>
                <w:sz w:val="20"/>
              </w:rPr>
              <w:t>řijaté</w:t>
            </w:r>
            <w:proofErr w:type="spellEnd"/>
            <w:r w:rsidR="00091D0B" w:rsidRPr="00F8551C">
              <w:rPr>
                <w:rFonts w:ascii="Cambria" w:hAnsi="Cambria" w:cstheme="minorHAnsi"/>
                <w:bCs/>
                <w:color w:val="000000"/>
                <w:sz w:val="20"/>
              </w:rPr>
              <w:t xml:space="preserve"> novely (zákon č. 39/2015 Sb.)</w:t>
            </w:r>
            <w:r w:rsidR="005C4C5A" w:rsidRPr="00F8551C">
              <w:rPr>
                <w:rFonts w:ascii="Cambria" w:hAnsi="Cambria" w:cstheme="minorHAnsi"/>
                <w:bCs/>
                <w:color w:val="000000"/>
                <w:sz w:val="20"/>
                <w:lang w:val="cs-CZ"/>
              </w:rPr>
              <w:t xml:space="preserve"> </w:t>
            </w:r>
            <w:r w:rsidRPr="00F8551C">
              <w:rPr>
                <w:rFonts w:ascii="Cambria" w:hAnsi="Cambria"/>
                <w:bCs/>
                <w:color w:val="000000"/>
                <w:sz w:val="20"/>
              </w:rPr>
              <w:t xml:space="preserve">a jejich uplatňování v praxi. </w:t>
            </w:r>
            <w:r w:rsidR="00091D0B" w:rsidRPr="00F8551C">
              <w:rPr>
                <w:rFonts w:ascii="Cambria" w:hAnsi="Cambria" w:cstheme="minorHAnsi"/>
                <w:bCs/>
                <w:color w:val="000000"/>
                <w:sz w:val="20"/>
              </w:rPr>
              <w:t xml:space="preserve">MŽP jakožto ústřední správní úřad v oblasti posuzování vlivů na životní prostředí v rámci metodického vedení všech pracovníků podílejících se na implementaci směrnice EIA průběžně realizuje jak školení pro své pracovníky, tak porady se zástupci krajských úřadů, jež zajišťují posuzování zákonem stanovených záměrů, za účelem bezchybné a uniformní aplikace nových ustanovení zákona č. 100/2001 Sb., </w:t>
            </w:r>
            <w:r w:rsidR="00091D0B" w:rsidRPr="00F8551C">
              <w:rPr>
                <w:rFonts w:ascii="Cambria" w:hAnsi="Cambria" w:cstheme="minorHAnsi"/>
                <w:sz w:val="20"/>
              </w:rPr>
              <w:t xml:space="preserve">o posuzování vlivů na životní prostředí. </w:t>
            </w:r>
          </w:p>
          <w:p w:rsidR="00235340" w:rsidRPr="00F8551C" w:rsidRDefault="00235340" w:rsidP="005C4C5A">
            <w:pPr>
              <w:pStyle w:val="DAVA"/>
              <w:spacing w:after="80"/>
              <w:jc w:val="both"/>
              <w:rPr>
                <w:rFonts w:ascii="Cambria" w:hAnsi="Cambria"/>
                <w:bCs/>
                <w:color w:val="000000"/>
                <w:sz w:val="20"/>
              </w:rPr>
            </w:pPr>
            <w:r w:rsidRPr="00F8551C">
              <w:rPr>
                <w:rFonts w:ascii="Cambria" w:hAnsi="Cambria"/>
                <w:bCs/>
                <w:color w:val="000000"/>
                <w:sz w:val="20"/>
              </w:rPr>
              <w:t xml:space="preserve">2) </w:t>
            </w:r>
            <w:r w:rsidRPr="00F8551C">
              <w:rPr>
                <w:rFonts w:ascii="Cambria" w:hAnsi="Cambria"/>
                <w:bCs/>
                <w:color w:val="000000"/>
                <w:sz w:val="20"/>
                <w:u w:val="single"/>
              </w:rPr>
              <w:t>Působnost MMR</w:t>
            </w:r>
            <w:r w:rsidRPr="00F8551C">
              <w:rPr>
                <w:rFonts w:ascii="Cambria" w:hAnsi="Cambria"/>
                <w:bCs/>
                <w:color w:val="000000"/>
                <w:sz w:val="20"/>
              </w:rPr>
              <w:t>: MMR-NOK zajišťuje na horizontální úrovni proškolení zaměstnanců implementujících fondy EU v rámci Systému vzdělávání, MŽP zajišťuje obsahovou náplň vzdělávání a lektorské zajištění.</w:t>
            </w:r>
          </w:p>
          <w:p w:rsidR="00235340" w:rsidRPr="00F8551C" w:rsidRDefault="00235340" w:rsidP="006E6B3F">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 xml:space="preserve">Oblast vzdělávání je součástí Metodického pokynu k rozvoji lidských zdrojů v programovém období 2014-2020 a v programovém období 2007-2013 </w:t>
            </w:r>
            <w:r w:rsidRPr="00F8551C">
              <w:rPr>
                <w:rFonts w:ascii="Cambria" w:hAnsi="Cambria" w:cs="Arial"/>
                <w:sz w:val="18"/>
                <w:szCs w:val="18"/>
                <w:lang w:val="cs-CZ" w:eastAsia="cs-CZ"/>
              </w:rPr>
              <w:t>(UV ČR ze dne 16. června 2014 č. 444)</w:t>
            </w:r>
            <w:r w:rsidRPr="00F8551C">
              <w:rPr>
                <w:rFonts w:ascii="Cambria" w:hAnsi="Cambria"/>
                <w:bCs/>
                <w:color w:val="000000"/>
                <w:sz w:val="20"/>
                <w:lang w:val="cs-CZ" w:eastAsia="cs-CZ"/>
              </w:rPr>
              <w:t xml:space="preserve">. </w:t>
            </w:r>
          </w:p>
          <w:p w:rsidR="00235340" w:rsidRPr="00F8551C" w:rsidRDefault="00235340" w:rsidP="006E6B3F">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Obecným cílem Metodického pokynu je nastavení jednotných požadavků na zajištění kvalitní administrativní kapacity podílející se na realizaci cílů Dohody o partnerství (</w:t>
            </w:r>
            <w:proofErr w:type="spellStart"/>
            <w:r w:rsidRPr="00F8551C">
              <w:rPr>
                <w:rFonts w:ascii="Cambria" w:hAnsi="Cambria"/>
                <w:bCs/>
                <w:color w:val="000000"/>
                <w:sz w:val="20"/>
                <w:lang w:val="cs-CZ" w:eastAsia="cs-CZ"/>
              </w:rPr>
              <w:t>DoP</w:t>
            </w:r>
            <w:proofErr w:type="spellEnd"/>
            <w:r w:rsidRPr="00F8551C">
              <w:rPr>
                <w:rFonts w:ascii="Cambria" w:hAnsi="Cambria"/>
                <w:bCs/>
                <w:color w:val="000000"/>
                <w:sz w:val="20"/>
                <w:lang w:val="cs-CZ" w:eastAsia="cs-CZ"/>
              </w:rPr>
              <w:t xml:space="preserve">) a jednotlivých činností při implementaci programů a jedním ze specifických cílů Metodického pokynu je vytvoření systému vzdělávání zaměstnanců, kteří se podílejí na </w:t>
            </w:r>
            <w:r w:rsidRPr="00F8551C">
              <w:rPr>
                <w:rFonts w:ascii="Cambria" w:hAnsi="Cambria"/>
                <w:bCs/>
                <w:color w:val="000000"/>
                <w:sz w:val="20"/>
                <w:lang w:val="cs-CZ" w:eastAsia="cs-CZ"/>
              </w:rPr>
              <w:lastRenderedPageBreak/>
              <w:t xml:space="preserve">implementaci fondů EU tak, aby odpovídal jejich potřebám na pracovních pozicích, popsaných v řídicích dokumentech programů, řízení a koordinace </w:t>
            </w:r>
            <w:proofErr w:type="spellStart"/>
            <w:r w:rsidRPr="00F8551C">
              <w:rPr>
                <w:rFonts w:ascii="Cambria" w:hAnsi="Cambria"/>
                <w:bCs/>
                <w:color w:val="000000"/>
                <w:sz w:val="20"/>
                <w:lang w:val="cs-CZ" w:eastAsia="cs-CZ"/>
              </w:rPr>
              <w:t>DoP</w:t>
            </w:r>
            <w:proofErr w:type="spellEnd"/>
            <w:r w:rsidRPr="00F8551C">
              <w:rPr>
                <w:rFonts w:ascii="Cambria" w:hAnsi="Cambria"/>
                <w:bCs/>
                <w:color w:val="000000"/>
                <w:sz w:val="20"/>
                <w:lang w:val="cs-CZ" w:eastAsia="cs-CZ"/>
              </w:rPr>
              <w:t xml:space="preserve">, a zajistil podmínky pro prosazování principu transparentnosti a protikorupčního jednání. Vzdělávání zajišťuje podmínky pro stabilizaci a motivaci zaměstnanců implementační struktury v návaznosti na potřeby jejich odborného růstu a zvyšování znalostí a dovedností. </w:t>
            </w:r>
          </w:p>
          <w:p w:rsidR="00235340" w:rsidRPr="00F8551C" w:rsidRDefault="00235340" w:rsidP="006E6B3F">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 xml:space="preserve">Nabídka vzdělávacích aktivit se odvíjí od cílů jednotlivých programů a individuálních vzdělávacích plánů vytvářených při hodnocení zaměstnanců. </w:t>
            </w:r>
          </w:p>
          <w:p w:rsidR="00235340" w:rsidRPr="00F8551C" w:rsidRDefault="00235340" w:rsidP="006E6B3F">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 xml:space="preserve">Termíny vzdělávacích akcí jsou zveřejněny na webu </w:t>
            </w:r>
            <w:r w:rsidRPr="00F8551C">
              <w:rPr>
                <w:rStyle w:val="Hypertextovodkaz"/>
                <w:rFonts w:ascii="Cambria" w:hAnsi="Cambria"/>
                <w:sz w:val="20"/>
              </w:rPr>
              <w:t>www.vzdelavaninsrr.cz</w:t>
            </w:r>
          </w:p>
          <w:p w:rsidR="00235340" w:rsidRPr="00F8551C" w:rsidRDefault="00235340" w:rsidP="005C4C5A">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Vzdělávací akce jsou průběžně vyhodnocovány na základě zpětné vazby účastníků získávané prostřednictvím hodnotících dotazníků (s cílem optimalizovat efektivitu). Prezentace ze vzdělávacích akcí jsou účastníkům dále k dispozici v e</w:t>
            </w:r>
            <w:r w:rsidRPr="00F8551C">
              <w:rPr>
                <w:rFonts w:ascii="Cambria" w:hAnsi="Cambria"/>
                <w:bCs/>
                <w:color w:val="000000"/>
                <w:sz w:val="20"/>
                <w:lang w:val="cs-CZ" w:eastAsia="cs-CZ"/>
              </w:rPr>
              <w:noBreakHyphen/>
              <w:t xml:space="preserve">knihovně na </w:t>
            </w:r>
            <w:hyperlink r:id="rId20" w:history="1">
              <w:r w:rsidRPr="00F8551C">
                <w:rPr>
                  <w:rFonts w:ascii="Cambria" w:hAnsi="Cambria"/>
                  <w:bCs/>
                  <w:color w:val="000000"/>
                  <w:sz w:val="20"/>
                </w:rPr>
                <w:t>http://www.vzdelavaninsrr.cz/e-knihovna/</w:t>
              </w:r>
            </w:hyperlink>
          </w:p>
          <w:p w:rsidR="00235340" w:rsidRPr="00F8551C" w:rsidRDefault="00235340" w:rsidP="005C4C5A">
            <w:pPr>
              <w:jc w:val="both"/>
              <w:rPr>
                <w:rFonts w:ascii="Cambria" w:hAnsi="Cambria" w:cstheme="minorHAnsi"/>
              </w:rPr>
            </w:pPr>
            <w:r w:rsidRPr="00F8551C">
              <w:rPr>
                <w:rFonts w:ascii="Cambria" w:hAnsi="Cambria" w:cstheme="minorHAnsi"/>
                <w:bCs/>
                <w:color w:val="000000"/>
              </w:rPr>
              <w:t>Realizace Systému vzdělávání probíhá na základě spolupráce MMR-NOK se zástupci (koordinátory vzdělávání) jednotlivých subjektů implementace, kteří 2x ročně zasílají MMR-NOK své požadavky na zajištění vzdělávacích akcí v rámci Systému vzdělávání. Veškeré záležitosti Systému vzdělávání pro programové období 2014-2020 budou projednávány na Pracovní skupině Administrativní kapacita (pro programové období 2007-2013 to byla PS Vzdělávání pro NSRR).</w:t>
            </w:r>
          </w:p>
        </w:tc>
      </w:tr>
      <w:tr w:rsidR="00235340" w:rsidRPr="00F8551C" w:rsidTr="005C4C5A">
        <w:trPr>
          <w:trHeight w:val="424"/>
        </w:trPr>
        <w:tc>
          <w:tcPr>
            <w:tcW w:w="1728" w:type="dxa"/>
            <w:shd w:val="clear" w:color="auto" w:fill="F3F3F3"/>
          </w:tcPr>
          <w:p w:rsidR="00235340" w:rsidRPr="00F8551C" w:rsidRDefault="00E65C72" w:rsidP="00E65C72">
            <w:pPr>
              <w:pStyle w:val="DAVA"/>
              <w:spacing w:before="0"/>
              <w:rPr>
                <w:rFonts w:ascii="Cambria" w:hAnsi="Cambria"/>
                <w:sz w:val="20"/>
              </w:rPr>
            </w:pPr>
            <w:r w:rsidRPr="00F8551C">
              <w:rPr>
                <w:rFonts w:ascii="Cambria" w:hAnsi="Cambria" w:cstheme="minorHAnsi"/>
                <w:color w:val="000000"/>
                <w:sz w:val="20"/>
              </w:rPr>
              <w:lastRenderedPageBreak/>
              <w:t xml:space="preserve">Existence opatření pro účinné uplatňování právních předpisů Unie pro oblast životního prostředí týkajících se EIA </w:t>
            </w:r>
            <w:r w:rsidRPr="00F8551C">
              <w:rPr>
                <w:rFonts w:ascii="Cambria" w:hAnsi="Cambria" w:cstheme="minorHAnsi"/>
                <w:color w:val="000000"/>
                <w:sz w:val="20"/>
              </w:rPr>
              <w:lastRenderedPageBreak/>
              <w:t>a SEA</w:t>
            </w:r>
            <w:r w:rsidRPr="00F8551C" w:rsidDel="00D716E6">
              <w:rPr>
                <w:rFonts w:ascii="Cambria" w:hAnsi="Cambria"/>
                <w:sz w:val="20"/>
              </w:rPr>
              <w:t xml:space="preserve"> </w:t>
            </w:r>
          </w:p>
        </w:tc>
        <w:tc>
          <w:tcPr>
            <w:tcW w:w="1080" w:type="dxa"/>
            <w:shd w:val="clear" w:color="auto" w:fill="F3F3F3"/>
            <w:vAlign w:val="center"/>
          </w:tcPr>
          <w:p w:rsidR="00235340" w:rsidRPr="00F8551C" w:rsidRDefault="00235340" w:rsidP="006E6B3F">
            <w:pPr>
              <w:rPr>
                <w:rFonts w:ascii="Cambria" w:hAnsi="Cambria" w:cstheme="minorHAnsi"/>
              </w:rPr>
            </w:pPr>
            <w:r w:rsidRPr="00F8551C">
              <w:rPr>
                <w:rFonts w:ascii="Cambria" w:hAnsi="Cambria" w:cstheme="minorHAnsi"/>
              </w:rPr>
              <w:lastRenderedPageBreak/>
              <w:t>Všechny PO OPŽP 2014 – 2020 a ostatní operační programy (vyjma OPTP a OPZ)</w:t>
            </w:r>
          </w:p>
        </w:tc>
        <w:tc>
          <w:tcPr>
            <w:tcW w:w="1128" w:type="dxa"/>
            <w:shd w:val="clear" w:color="auto" w:fill="F3F3F3"/>
            <w:vAlign w:val="center"/>
          </w:tcPr>
          <w:p w:rsidR="00235340" w:rsidRPr="00F8551C" w:rsidRDefault="00235340" w:rsidP="006E6B3F">
            <w:pPr>
              <w:pStyle w:val="DAVA"/>
              <w:spacing w:before="0"/>
              <w:jc w:val="center"/>
              <w:rPr>
                <w:rFonts w:ascii="Cambria" w:hAnsi="Cambria"/>
                <w:sz w:val="20"/>
              </w:rPr>
            </w:pPr>
            <w:r w:rsidRPr="00F8551C">
              <w:rPr>
                <w:rFonts w:ascii="Cambria" w:hAnsi="Cambria"/>
                <w:sz w:val="20"/>
              </w:rPr>
              <w:t>Ano</w:t>
            </w:r>
          </w:p>
        </w:tc>
        <w:tc>
          <w:tcPr>
            <w:tcW w:w="1643" w:type="dxa"/>
            <w:shd w:val="clear" w:color="auto" w:fill="F3F3F3"/>
            <w:vAlign w:val="center"/>
          </w:tcPr>
          <w:p w:rsidR="00235340" w:rsidRPr="00F8551C" w:rsidRDefault="00235340" w:rsidP="006E6B3F">
            <w:pPr>
              <w:pStyle w:val="DAVA"/>
              <w:spacing w:before="0"/>
              <w:rPr>
                <w:rFonts w:ascii="Cambria" w:hAnsi="Cambria" w:cs="Calibri"/>
                <w:sz w:val="20"/>
              </w:rPr>
            </w:pPr>
            <w:r w:rsidRPr="00F8551C">
              <w:rPr>
                <w:rFonts w:ascii="Cambria" w:hAnsi="Cambria"/>
                <w:sz w:val="20"/>
              </w:rPr>
              <w:t>Opatření k zajištění dostatečné správní kapacity</w:t>
            </w:r>
          </w:p>
        </w:tc>
        <w:tc>
          <w:tcPr>
            <w:tcW w:w="1050" w:type="dxa"/>
            <w:shd w:val="clear" w:color="auto" w:fill="F3F3F3"/>
            <w:vAlign w:val="center"/>
          </w:tcPr>
          <w:p w:rsidR="00235340" w:rsidRPr="00F8551C" w:rsidRDefault="00235340" w:rsidP="006E6B3F">
            <w:pPr>
              <w:pStyle w:val="DAVA"/>
              <w:spacing w:before="0"/>
              <w:jc w:val="center"/>
              <w:rPr>
                <w:rFonts w:ascii="Cambria" w:hAnsi="Cambria" w:cs="Calibri"/>
                <w:sz w:val="20"/>
              </w:rPr>
            </w:pPr>
            <w:r w:rsidRPr="00F8551C">
              <w:rPr>
                <w:rFonts w:ascii="Cambria" w:hAnsi="Cambria" w:cs="Calibri"/>
                <w:sz w:val="20"/>
              </w:rPr>
              <w:t>Ano</w:t>
            </w:r>
          </w:p>
        </w:tc>
        <w:tc>
          <w:tcPr>
            <w:tcW w:w="2126" w:type="dxa"/>
            <w:shd w:val="clear" w:color="auto" w:fill="F3F3F3"/>
            <w:vAlign w:val="center"/>
          </w:tcPr>
          <w:p w:rsidR="00235340" w:rsidRPr="00F8551C" w:rsidRDefault="00235340" w:rsidP="006E6B3F">
            <w:pPr>
              <w:pStyle w:val="Textbubliny"/>
              <w:rPr>
                <w:rFonts w:ascii="Cambria" w:hAnsi="Cambria"/>
                <w:color w:val="0000FF"/>
                <w:sz w:val="20"/>
                <w:szCs w:val="20"/>
                <w:u w:val="single"/>
              </w:rPr>
            </w:pPr>
            <w:r w:rsidRPr="00F8551C">
              <w:rPr>
                <w:rFonts w:ascii="Cambria" w:hAnsi="Cambria"/>
                <w:bCs/>
                <w:color w:val="000000"/>
                <w:sz w:val="20"/>
                <w:szCs w:val="20"/>
              </w:rPr>
              <w:t>§21 a 22 zákona č. 100/2001 Sb., o posuzování vlivů na životní prostředí</w:t>
            </w:r>
          </w:p>
          <w:p w:rsidR="00235340" w:rsidRPr="00F8551C" w:rsidRDefault="00235340" w:rsidP="006E6B3F">
            <w:pPr>
              <w:pStyle w:val="Textbubliny"/>
              <w:rPr>
                <w:rFonts w:ascii="Cambria" w:hAnsi="Cambria"/>
                <w:color w:val="0000FF"/>
                <w:sz w:val="20"/>
                <w:szCs w:val="20"/>
                <w:u w:val="single"/>
              </w:rPr>
            </w:pPr>
          </w:p>
          <w:p w:rsidR="00235340" w:rsidRPr="00F8551C" w:rsidRDefault="00235340" w:rsidP="006E6B3F">
            <w:pPr>
              <w:pStyle w:val="Textbubliny"/>
              <w:rPr>
                <w:rFonts w:ascii="Cambria" w:hAnsi="Cambria"/>
                <w:bCs/>
                <w:color w:val="000000"/>
                <w:sz w:val="20"/>
                <w:szCs w:val="20"/>
              </w:rPr>
            </w:pPr>
            <w:r w:rsidRPr="00F8551C">
              <w:rPr>
                <w:rFonts w:ascii="Cambria" w:hAnsi="Cambria"/>
                <w:bCs/>
                <w:color w:val="000000"/>
                <w:sz w:val="20"/>
                <w:szCs w:val="20"/>
              </w:rPr>
              <w:t>§21 zákona č. 312/2002 Sb., o úřednících územních samosprávných celků</w:t>
            </w:r>
          </w:p>
          <w:p w:rsidR="00235340" w:rsidRPr="00F8551C" w:rsidRDefault="00235340" w:rsidP="006E6B3F">
            <w:pPr>
              <w:pStyle w:val="Textbubliny"/>
              <w:rPr>
                <w:rFonts w:ascii="Cambria" w:hAnsi="Cambria"/>
                <w:bCs/>
                <w:color w:val="000000"/>
                <w:sz w:val="20"/>
                <w:szCs w:val="20"/>
              </w:rPr>
            </w:pPr>
          </w:p>
          <w:p w:rsidR="00235340" w:rsidRPr="00F8551C" w:rsidRDefault="00235340" w:rsidP="006E6B3F">
            <w:pPr>
              <w:pStyle w:val="Textbubliny"/>
              <w:rPr>
                <w:rFonts w:ascii="Cambria" w:hAnsi="Cambria"/>
                <w:color w:val="0000FF"/>
                <w:sz w:val="20"/>
                <w:szCs w:val="20"/>
                <w:u w:val="single"/>
              </w:rPr>
            </w:pPr>
            <w:r w:rsidRPr="00F8551C">
              <w:rPr>
                <w:rFonts w:ascii="Cambria" w:hAnsi="Cambria"/>
                <w:bCs/>
                <w:color w:val="000000"/>
                <w:sz w:val="20"/>
                <w:szCs w:val="20"/>
              </w:rPr>
              <w:t xml:space="preserve">Usnesení Vlády ČR č. 1542 ze dne 30. listopadu 2005 </w:t>
            </w:r>
          </w:p>
          <w:p w:rsidR="00235340" w:rsidRPr="00F8551C" w:rsidRDefault="00235340" w:rsidP="006E6B3F">
            <w:pPr>
              <w:pStyle w:val="DAVA"/>
              <w:spacing w:before="0"/>
              <w:rPr>
                <w:rFonts w:ascii="Cambria" w:hAnsi="Cambria"/>
                <w:sz w:val="20"/>
              </w:rPr>
            </w:pPr>
          </w:p>
          <w:p w:rsidR="00235340" w:rsidRPr="00F8551C" w:rsidRDefault="00235340" w:rsidP="006E6B3F">
            <w:pPr>
              <w:pStyle w:val="DAVA"/>
              <w:spacing w:before="0"/>
              <w:rPr>
                <w:rFonts w:ascii="Cambria" w:hAnsi="Cambria"/>
                <w:sz w:val="20"/>
              </w:rPr>
            </w:pPr>
            <w:r w:rsidRPr="00F8551C">
              <w:rPr>
                <w:rFonts w:ascii="Cambria" w:hAnsi="Cambria"/>
                <w:bCs/>
                <w:color w:val="000000"/>
                <w:sz w:val="20"/>
              </w:rPr>
              <w:t>Zákon č. 111/2009 Sb., o základních registrech</w:t>
            </w:r>
          </w:p>
          <w:p w:rsidR="00235340" w:rsidRPr="00F8551C" w:rsidRDefault="00235340" w:rsidP="006E6B3F">
            <w:pPr>
              <w:pStyle w:val="DAVA"/>
              <w:spacing w:before="0"/>
              <w:rPr>
                <w:rFonts w:ascii="Cambria" w:hAnsi="Cambria"/>
                <w:sz w:val="20"/>
              </w:rPr>
            </w:pPr>
          </w:p>
          <w:p w:rsidR="00235340" w:rsidRPr="00F8551C" w:rsidRDefault="00400236" w:rsidP="006E6B3F">
            <w:pPr>
              <w:pStyle w:val="DAVA"/>
              <w:spacing w:before="0"/>
              <w:rPr>
                <w:rFonts w:ascii="Cambria" w:hAnsi="Cambria"/>
                <w:sz w:val="20"/>
              </w:rPr>
            </w:pPr>
            <w:hyperlink r:id="rId21" w:history="1">
              <w:r w:rsidR="00235340" w:rsidRPr="00F8551C">
                <w:rPr>
                  <w:rStyle w:val="Hypertextovodkaz"/>
                  <w:rFonts w:ascii="Cambria" w:hAnsi="Cambria" w:cs="Calibri"/>
                  <w:sz w:val="20"/>
                </w:rPr>
                <w:t>http://www.mzp.cz/cz/posuzovani_vlivu_zivotni_prostredi</w:t>
              </w:r>
            </w:hyperlink>
            <w:r w:rsidR="00235340" w:rsidRPr="00F8551C">
              <w:rPr>
                <w:rFonts w:ascii="Cambria" w:hAnsi="Cambria"/>
                <w:sz w:val="20"/>
              </w:rPr>
              <w:t xml:space="preserve"> </w:t>
            </w:r>
          </w:p>
          <w:p w:rsidR="00235340" w:rsidRPr="00F8551C" w:rsidRDefault="00235340" w:rsidP="006E6B3F">
            <w:pPr>
              <w:pStyle w:val="DAVA"/>
              <w:spacing w:before="0"/>
              <w:rPr>
                <w:rFonts w:ascii="Cambria" w:hAnsi="Cambria"/>
                <w:sz w:val="20"/>
              </w:rPr>
            </w:pPr>
          </w:p>
          <w:p w:rsidR="00235340" w:rsidRPr="00F8551C" w:rsidRDefault="00400236" w:rsidP="006E6B3F">
            <w:pPr>
              <w:pStyle w:val="DAVA"/>
              <w:spacing w:before="0"/>
              <w:rPr>
                <w:rFonts w:ascii="Cambria" w:hAnsi="Cambria"/>
                <w:sz w:val="20"/>
              </w:rPr>
            </w:pPr>
            <w:hyperlink r:id="rId22" w:history="1">
              <w:r w:rsidR="00235340" w:rsidRPr="00F8551C">
                <w:rPr>
                  <w:rStyle w:val="Hypertextovodkaz"/>
                  <w:rFonts w:ascii="Cambria" w:hAnsi="Cambria" w:cs="Calibri"/>
                  <w:sz w:val="20"/>
                </w:rPr>
                <w:t>http://portal.cenia.cz/eiasea/view/eia100_cr</w:t>
              </w:r>
            </w:hyperlink>
            <w:r w:rsidR="00235340" w:rsidRPr="00F8551C">
              <w:rPr>
                <w:rFonts w:ascii="Cambria" w:hAnsi="Cambria"/>
                <w:sz w:val="20"/>
              </w:rPr>
              <w:t xml:space="preserve"> (+ záložka legislativa, pokyny a sdělení atd.)</w:t>
            </w:r>
          </w:p>
          <w:p w:rsidR="00235340" w:rsidRPr="00F8551C" w:rsidRDefault="00235340" w:rsidP="006E6B3F">
            <w:pPr>
              <w:pStyle w:val="DAVA"/>
              <w:spacing w:before="0"/>
              <w:rPr>
                <w:rFonts w:ascii="Cambria" w:hAnsi="Cambria"/>
                <w:sz w:val="20"/>
              </w:rPr>
            </w:pPr>
          </w:p>
          <w:p w:rsidR="00235340" w:rsidRPr="00F8551C" w:rsidRDefault="00400236" w:rsidP="006E6B3F">
            <w:pPr>
              <w:pStyle w:val="DAVA"/>
              <w:spacing w:before="0"/>
              <w:rPr>
                <w:rFonts w:ascii="Cambria" w:hAnsi="Cambria"/>
                <w:sz w:val="20"/>
              </w:rPr>
            </w:pPr>
            <w:hyperlink r:id="rId23" w:history="1">
              <w:r w:rsidR="00235340" w:rsidRPr="00F8551C">
                <w:rPr>
                  <w:rStyle w:val="Hypertextovodkaz"/>
                  <w:rFonts w:ascii="Cambria" w:hAnsi="Cambria" w:cs="Calibri"/>
                  <w:sz w:val="20"/>
                </w:rPr>
                <w:t>http://portal.cenia.cz/eiasea/view/SEA100_koncepce</w:t>
              </w:r>
            </w:hyperlink>
            <w:r w:rsidR="00235340" w:rsidRPr="00F8551C">
              <w:rPr>
                <w:rFonts w:ascii="Cambria" w:hAnsi="Cambria"/>
                <w:sz w:val="20"/>
              </w:rPr>
              <w:t xml:space="preserve"> (+ záložka legislativa, pokyny a sdělení atd.)</w:t>
            </w:r>
          </w:p>
          <w:p w:rsidR="00235340" w:rsidRPr="00F8551C" w:rsidRDefault="00235340" w:rsidP="006E6B3F">
            <w:pPr>
              <w:pStyle w:val="DAVA"/>
              <w:spacing w:before="0"/>
              <w:rPr>
                <w:rFonts w:ascii="Cambria" w:hAnsi="Cambria"/>
                <w:sz w:val="20"/>
              </w:rPr>
            </w:pPr>
          </w:p>
          <w:p w:rsidR="00235340" w:rsidRPr="00F8551C" w:rsidRDefault="00400236" w:rsidP="006E6B3F">
            <w:pPr>
              <w:pStyle w:val="DAVA"/>
              <w:spacing w:before="0"/>
              <w:rPr>
                <w:rFonts w:ascii="Cambria" w:hAnsi="Cambria"/>
                <w:sz w:val="20"/>
              </w:rPr>
            </w:pPr>
            <w:hyperlink r:id="rId24" w:history="1">
              <w:r w:rsidR="00235340" w:rsidRPr="00F8551C">
                <w:rPr>
                  <w:rStyle w:val="Hypertextovodkaz"/>
                  <w:rFonts w:ascii="Cambria" w:hAnsi="Cambria"/>
                  <w:bCs/>
                  <w:sz w:val="20"/>
                </w:rPr>
                <w:t>http://portal.cenia.cz/eiasea/osoby/osoby</w:t>
              </w:r>
            </w:hyperlink>
          </w:p>
        </w:tc>
        <w:tc>
          <w:tcPr>
            <w:tcW w:w="5393" w:type="dxa"/>
            <w:shd w:val="clear" w:color="auto" w:fill="F3F3F3"/>
          </w:tcPr>
          <w:p w:rsidR="00235340" w:rsidRPr="00F8551C" w:rsidRDefault="00235340" w:rsidP="005C4C5A">
            <w:pPr>
              <w:pStyle w:val="DAVA"/>
              <w:spacing w:before="0"/>
              <w:jc w:val="both"/>
              <w:rPr>
                <w:rFonts w:ascii="Cambria" w:hAnsi="Cambria"/>
                <w:bCs/>
                <w:color w:val="000000"/>
                <w:sz w:val="20"/>
              </w:rPr>
            </w:pPr>
            <w:r w:rsidRPr="00F8551C">
              <w:rPr>
                <w:rFonts w:ascii="Cambria" w:hAnsi="Cambria"/>
                <w:bCs/>
                <w:color w:val="000000"/>
                <w:sz w:val="20"/>
              </w:rPr>
              <w:lastRenderedPageBreak/>
              <w:t xml:space="preserve">Všichni úředníci zajišťující provádění směrnice EIA a SEA mají složenou zkoušku odborné způsobilosti či prošli vstupním vzděláním úvodním a vstupním vzděláním následným – viz přehled v předchozím bodě. </w:t>
            </w:r>
          </w:p>
          <w:p w:rsidR="00235340" w:rsidRPr="00F8551C" w:rsidRDefault="00235340" w:rsidP="005C4C5A">
            <w:pPr>
              <w:pStyle w:val="DAVA"/>
              <w:spacing w:before="0"/>
              <w:jc w:val="both"/>
              <w:rPr>
                <w:rFonts w:ascii="Cambria" w:hAnsi="Cambria"/>
                <w:bCs/>
                <w:color w:val="000000"/>
                <w:sz w:val="20"/>
              </w:rPr>
            </w:pPr>
            <w:r w:rsidRPr="00F8551C">
              <w:rPr>
                <w:rFonts w:ascii="Cambria" w:hAnsi="Cambria"/>
                <w:bCs/>
                <w:color w:val="000000"/>
                <w:sz w:val="20"/>
              </w:rPr>
              <w:t xml:space="preserve">Počet úředníků zajišťující provádění směrnice EIA a SEA na MŽP a krajských úřadech je vždy ustanoven na základě množství vykonávané agendy jednotlivými úřady tak, aby tato kapacita byla dostatečná. V souladu se zákonem č. 111/2009 Sb., o základních registrech, ve znění pozdějších předpisů, a dalšími souvisejícími právními předpisy </w:t>
            </w:r>
            <w:r w:rsidRPr="00F8551C">
              <w:rPr>
                <w:rFonts w:ascii="Cambria" w:hAnsi="Cambria"/>
                <w:bCs/>
                <w:color w:val="000000"/>
                <w:sz w:val="20"/>
              </w:rPr>
              <w:lastRenderedPageBreak/>
              <w:t xml:space="preserve">vztahujícími se k problematice základních registrů byl zahájen proces zefektivnění veřejné správy, na základě kterého jsou nyní průběžně stanovovány dostatečné počty pracovníků pro výkon státní správy, tedy i počet úředníků zajišťující provádění směrnice EIA a SEA. </w:t>
            </w:r>
          </w:p>
          <w:p w:rsidR="00235340" w:rsidRPr="00F8551C" w:rsidRDefault="00235340" w:rsidP="005C4C5A">
            <w:pPr>
              <w:pStyle w:val="DAVA"/>
              <w:jc w:val="both"/>
              <w:rPr>
                <w:rFonts w:ascii="Cambria" w:hAnsi="Cambria"/>
                <w:sz w:val="20"/>
              </w:rPr>
            </w:pPr>
            <w:r w:rsidRPr="00F8551C">
              <w:rPr>
                <w:rFonts w:ascii="Cambria" w:hAnsi="Cambria"/>
                <w:sz w:val="20"/>
              </w:rPr>
              <w:t>Počet úředníků zajišťujících provádění směrnice EIA a SEA odpovídá aktuálním požadavkům na správní kapacitu. Při změně podmínek je počet úředníků upraven tak, aby byla dostatečná správní kapacita vždy zajištěna. V případě, že v souvislosti s </w:t>
            </w:r>
            <w:proofErr w:type="spellStart"/>
            <w:r w:rsidRPr="00F8551C">
              <w:rPr>
                <w:rFonts w:ascii="Cambria" w:hAnsi="Cambria"/>
                <w:sz w:val="20"/>
              </w:rPr>
              <w:t>infringementovým</w:t>
            </w:r>
            <w:proofErr w:type="spellEnd"/>
            <w:r w:rsidRPr="00F8551C">
              <w:rPr>
                <w:rFonts w:ascii="Cambria" w:hAnsi="Cambria"/>
                <w:sz w:val="20"/>
              </w:rPr>
              <w:t xml:space="preserve"> řízením a s přijetím nové právní úpravy posuzování vlivů na životní prostředí dojde ke zvýšení vykonávané agendy, bude správní kapacita odpovídajícím způsobem navýšena.</w:t>
            </w:r>
          </w:p>
          <w:p w:rsidR="00235340" w:rsidRPr="00F8551C" w:rsidRDefault="00235340" w:rsidP="005C4C5A">
            <w:pPr>
              <w:pStyle w:val="DAVA"/>
              <w:jc w:val="both"/>
              <w:rPr>
                <w:rFonts w:ascii="Cambria" w:hAnsi="Cambria" w:cstheme="minorHAnsi"/>
                <w:bCs/>
                <w:color w:val="000000"/>
                <w:sz w:val="20"/>
              </w:rPr>
            </w:pPr>
            <w:r w:rsidRPr="00F8551C">
              <w:rPr>
                <w:rFonts w:ascii="Cambria" w:hAnsi="Cambria" w:cstheme="minorHAnsi"/>
                <w:bCs/>
                <w:color w:val="000000"/>
                <w:sz w:val="20"/>
              </w:rPr>
              <w:t>Zajištění dostatečné a kvalifikované administrativní správní kapacity je stěžejní v oblasti implementace směrnice EIA/SEA, kde je řídícím orgánem MŽP. U ostatních řídících orgánů je nutné zajistit v této oblasti informovanost, což je zajištěno vzděláváním pro pracovníky implementující fondy EU, viz výše.</w:t>
            </w:r>
          </w:p>
          <w:p w:rsidR="00235340" w:rsidRPr="00F8551C" w:rsidRDefault="00235340" w:rsidP="005C4C5A">
            <w:pPr>
              <w:keepNext/>
              <w:widowControl w:val="0"/>
              <w:spacing w:before="120" w:after="60"/>
              <w:jc w:val="both"/>
              <w:rPr>
                <w:rFonts w:ascii="Cambria" w:hAnsi="Cambria" w:cstheme="minorHAnsi"/>
                <w:bCs/>
                <w:color w:val="000000"/>
              </w:rPr>
            </w:pPr>
            <w:r w:rsidRPr="00F8551C">
              <w:rPr>
                <w:rFonts w:ascii="Cambria" w:hAnsi="Cambria" w:cstheme="minorHAnsi"/>
              </w:rPr>
              <w:t>Technická pomoc je pro všechny pracovníky provádějící směrnice EIA a SEA a fondy EU zajišťována prostřednictvím informačního systému, metodických pokynů a dále pomocí systému autorizovaných expertů, jejichž seznam je rovněž součástí informačního systému.</w:t>
            </w:r>
          </w:p>
        </w:tc>
      </w:tr>
    </w:tbl>
    <w:p w:rsidR="00235340" w:rsidRPr="00F8551C" w:rsidRDefault="00235340" w:rsidP="00235340">
      <w:pPr>
        <w:rPr>
          <w:rFonts w:ascii="Cambria" w:hAnsi="Cambria"/>
          <w:i/>
          <w:iC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2"/>
        <w:gridCol w:w="1085"/>
        <w:gridCol w:w="5301"/>
      </w:tblGrid>
      <w:tr w:rsidR="00235340" w:rsidRPr="00F8551C" w:rsidTr="006E6B3F">
        <w:trPr>
          <w:trHeight w:val="285"/>
        </w:trPr>
        <w:tc>
          <w:tcPr>
            <w:tcW w:w="8107" w:type="dxa"/>
            <w:vMerge w:val="restart"/>
            <w:shd w:val="clear" w:color="auto" w:fill="B8CCE4"/>
            <w:vAlign w:val="center"/>
          </w:tcPr>
          <w:p w:rsidR="00235340" w:rsidRPr="00F8551C" w:rsidRDefault="00235340" w:rsidP="006E6B3F">
            <w:pPr>
              <w:keepNext/>
              <w:widowControl w:val="0"/>
              <w:spacing w:before="60" w:after="60"/>
              <w:jc w:val="center"/>
              <w:rPr>
                <w:rFonts w:ascii="Cambria" w:hAnsi="Cambria"/>
                <w:b/>
                <w:bCs/>
                <w:color w:val="000000"/>
                <w:lang w:val="en-GB"/>
              </w:rPr>
            </w:pPr>
            <w:r w:rsidRPr="00F8551C">
              <w:rPr>
                <w:rFonts w:ascii="Cambria" w:hAnsi="Cambria"/>
                <w:b/>
                <w:bCs/>
                <w:color w:val="000000"/>
                <w:lang w:val="en-GB"/>
              </w:rPr>
              <w:lastRenderedPageBreak/>
              <w:t>KRITÉRIA</w:t>
            </w:r>
          </w:p>
        </w:tc>
        <w:tc>
          <w:tcPr>
            <w:tcW w:w="6111" w:type="dxa"/>
            <w:gridSpan w:val="2"/>
            <w:shd w:val="clear" w:color="auto" w:fill="B8CCE4"/>
            <w:vAlign w:val="center"/>
          </w:tcPr>
          <w:p w:rsidR="00235340" w:rsidRPr="00F8551C" w:rsidRDefault="00235340" w:rsidP="006E6B3F">
            <w:pPr>
              <w:keepNext/>
              <w:widowControl w:val="0"/>
              <w:spacing w:before="60" w:after="60"/>
              <w:jc w:val="center"/>
              <w:rPr>
                <w:rFonts w:ascii="Cambria" w:hAnsi="Cambria"/>
                <w:b/>
                <w:bCs/>
                <w:color w:val="000000"/>
              </w:rPr>
            </w:pPr>
            <w:r w:rsidRPr="00F8551C">
              <w:rPr>
                <w:rFonts w:ascii="Cambria" w:hAnsi="Cambria"/>
                <w:b/>
                <w:bCs/>
                <w:color w:val="000000"/>
              </w:rPr>
              <w:t>Plnění kritérií</w:t>
            </w:r>
          </w:p>
        </w:tc>
      </w:tr>
      <w:tr w:rsidR="00235340" w:rsidRPr="00F8551C" w:rsidTr="006E6B3F">
        <w:trPr>
          <w:trHeight w:val="285"/>
        </w:trPr>
        <w:tc>
          <w:tcPr>
            <w:tcW w:w="8107" w:type="dxa"/>
            <w:vMerge/>
            <w:shd w:val="clear" w:color="auto" w:fill="B8CCE4"/>
            <w:vAlign w:val="center"/>
          </w:tcPr>
          <w:p w:rsidR="00235340" w:rsidRPr="00F8551C" w:rsidRDefault="00235340" w:rsidP="006E6B3F">
            <w:pPr>
              <w:keepNext/>
              <w:widowControl w:val="0"/>
              <w:spacing w:before="60" w:after="60"/>
              <w:jc w:val="center"/>
              <w:rPr>
                <w:rFonts w:ascii="Cambria" w:hAnsi="Cambria"/>
                <w:b/>
                <w:bCs/>
                <w:color w:val="000000"/>
                <w:lang w:val="en-GB"/>
              </w:rPr>
            </w:pPr>
          </w:p>
        </w:tc>
        <w:tc>
          <w:tcPr>
            <w:tcW w:w="1111" w:type="dxa"/>
            <w:shd w:val="clear" w:color="auto" w:fill="B8CCE4"/>
            <w:vAlign w:val="center"/>
          </w:tcPr>
          <w:p w:rsidR="00235340" w:rsidRPr="00F8551C" w:rsidRDefault="00235340" w:rsidP="006E6B3F">
            <w:pPr>
              <w:keepNext/>
              <w:widowControl w:val="0"/>
              <w:spacing w:before="60" w:after="60"/>
              <w:jc w:val="center"/>
              <w:rPr>
                <w:rFonts w:ascii="Cambria" w:hAnsi="Cambria"/>
                <w:b/>
                <w:bCs/>
                <w:color w:val="000000"/>
                <w:lang w:val="en-GB"/>
              </w:rPr>
            </w:pPr>
            <w:r w:rsidRPr="00F8551C">
              <w:rPr>
                <w:rFonts w:ascii="Cambria" w:hAnsi="Cambria"/>
                <w:b/>
                <w:bCs/>
                <w:color w:val="000000"/>
                <w:lang w:val="en-GB"/>
              </w:rPr>
              <w:t>ANO /NE</w:t>
            </w:r>
          </w:p>
        </w:tc>
        <w:tc>
          <w:tcPr>
            <w:tcW w:w="5000" w:type="dxa"/>
            <w:shd w:val="clear" w:color="auto" w:fill="B8CCE4"/>
            <w:vAlign w:val="center"/>
          </w:tcPr>
          <w:p w:rsidR="00235340" w:rsidRPr="00F8551C" w:rsidRDefault="00235340" w:rsidP="006E6B3F">
            <w:pPr>
              <w:keepNext/>
              <w:widowControl w:val="0"/>
              <w:spacing w:before="60" w:after="60"/>
              <w:jc w:val="center"/>
              <w:rPr>
                <w:rFonts w:ascii="Cambria" w:hAnsi="Cambria"/>
                <w:b/>
                <w:bCs/>
                <w:color w:val="000000"/>
              </w:rPr>
            </w:pPr>
            <w:r w:rsidRPr="00F8551C">
              <w:rPr>
                <w:rFonts w:ascii="Cambria" w:hAnsi="Cambria"/>
                <w:b/>
                <w:bCs/>
                <w:color w:val="000000"/>
              </w:rPr>
              <w:t>Způsob plnění / Opatření, která je třeba přijmout</w:t>
            </w:r>
          </w:p>
        </w:tc>
      </w:tr>
      <w:tr w:rsidR="00235340" w:rsidRPr="00F8551C" w:rsidTr="006E6B3F">
        <w:trPr>
          <w:trHeight w:val="2159"/>
        </w:trPr>
        <w:tc>
          <w:tcPr>
            <w:tcW w:w="8107" w:type="dxa"/>
            <w:vMerge w:val="restart"/>
          </w:tcPr>
          <w:p w:rsidR="00235340" w:rsidRPr="00F8551C" w:rsidRDefault="00235340" w:rsidP="006E6B3F">
            <w:pPr>
              <w:keepNext/>
              <w:widowControl w:val="0"/>
              <w:tabs>
                <w:tab w:val="left" w:pos="0"/>
              </w:tabs>
              <w:spacing w:before="60" w:after="60"/>
              <w:rPr>
                <w:rFonts w:ascii="Cambria" w:hAnsi="Cambria"/>
                <w:i/>
                <w:iCs/>
              </w:rPr>
            </w:pPr>
            <w:r w:rsidRPr="00F8551C">
              <w:rPr>
                <w:rFonts w:ascii="Cambria" w:hAnsi="Cambria"/>
                <w:i/>
                <w:iCs/>
              </w:rPr>
              <w:t>Opatření pro účinné uplatňování směrnice Evropského parlamentu a Rady 2011/92/EU, o posuzování vlivů některých veřejných a soukromých záměrů na životní prostředí (směrnice EIA) a směrnice Evropského parlamentu a Rady 2001/42/ES, o posuzování vlivů některých plánů a programů na životní prostředí (směrnice SEA)</w:t>
            </w:r>
          </w:p>
          <w:p w:rsidR="00235340" w:rsidRPr="00F8551C" w:rsidRDefault="00235340" w:rsidP="006E6B3F">
            <w:pPr>
              <w:keepNext/>
              <w:widowControl w:val="0"/>
              <w:tabs>
                <w:tab w:val="left" w:pos="0"/>
              </w:tabs>
              <w:spacing w:before="60" w:after="60"/>
              <w:rPr>
                <w:rFonts w:ascii="Cambria" w:hAnsi="Cambria"/>
                <w:i/>
                <w:iCs/>
                <w:noProof/>
              </w:rPr>
            </w:pPr>
          </w:p>
          <w:p w:rsidR="00235340" w:rsidRPr="00F8551C" w:rsidRDefault="00235340" w:rsidP="00E44916">
            <w:pPr>
              <w:keepNext/>
              <w:widowControl w:val="0"/>
              <w:numPr>
                <w:ilvl w:val="0"/>
                <w:numId w:val="10"/>
              </w:numPr>
              <w:tabs>
                <w:tab w:val="left" w:pos="142"/>
              </w:tabs>
              <w:overflowPunct/>
              <w:autoSpaceDE/>
              <w:autoSpaceDN/>
              <w:adjustRightInd/>
              <w:spacing w:before="60" w:after="60"/>
              <w:ind w:left="709" w:hanging="207"/>
              <w:textAlignment w:val="auto"/>
              <w:rPr>
                <w:rFonts w:ascii="Cambria" w:hAnsi="Cambria"/>
              </w:rPr>
            </w:pPr>
            <w:r w:rsidRPr="00F8551C">
              <w:rPr>
                <w:rFonts w:ascii="Cambria" w:hAnsi="Cambria"/>
                <w:bCs/>
              </w:rPr>
              <w:t xml:space="preserve">Přítomnost </w:t>
            </w:r>
            <w:proofErr w:type="spellStart"/>
            <w:r w:rsidRPr="00F8551C">
              <w:rPr>
                <w:rFonts w:ascii="Cambria" w:hAnsi="Cambria"/>
                <w:bCs/>
              </w:rPr>
              <w:t>infringementového</w:t>
            </w:r>
            <w:proofErr w:type="spellEnd"/>
            <w:r w:rsidRPr="00F8551C">
              <w:rPr>
                <w:rFonts w:ascii="Cambria" w:hAnsi="Cambria"/>
                <w:bCs/>
              </w:rPr>
              <w:t xml:space="preserve"> řízení (nesprávná /neúplná transpozice směrnice EIA/SEA) nevede automaticky k nesplnění této podmínky. Případ od případu je třeba ověřit, zda </w:t>
            </w:r>
            <w:proofErr w:type="spellStart"/>
            <w:r w:rsidRPr="00F8551C">
              <w:rPr>
                <w:rFonts w:ascii="Cambria" w:hAnsi="Cambria"/>
                <w:bCs/>
              </w:rPr>
              <w:t>infringementové</w:t>
            </w:r>
            <w:proofErr w:type="spellEnd"/>
            <w:r w:rsidRPr="00F8551C">
              <w:rPr>
                <w:rFonts w:ascii="Cambria" w:hAnsi="Cambria"/>
                <w:bCs/>
              </w:rPr>
              <w:t xml:space="preserve"> řízení má vliv na implementaci Evropských strukturálních a investičních (ESI) fondů.</w:t>
            </w: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6E6B3F">
            <w:pPr>
              <w:keepNext/>
              <w:widowControl w:val="0"/>
              <w:tabs>
                <w:tab w:val="left" w:pos="142"/>
              </w:tabs>
              <w:spacing w:before="60" w:after="60"/>
              <w:ind w:left="502"/>
              <w:rPr>
                <w:rFonts w:ascii="Cambria" w:hAnsi="Cambria"/>
              </w:rPr>
            </w:pPr>
          </w:p>
          <w:p w:rsidR="00235340" w:rsidRPr="00F8551C" w:rsidRDefault="00235340" w:rsidP="00E44916">
            <w:pPr>
              <w:keepNext/>
              <w:widowControl w:val="0"/>
              <w:numPr>
                <w:ilvl w:val="0"/>
                <w:numId w:val="10"/>
              </w:numPr>
              <w:tabs>
                <w:tab w:val="left" w:pos="142"/>
              </w:tabs>
              <w:overflowPunct/>
              <w:autoSpaceDE/>
              <w:autoSpaceDN/>
              <w:adjustRightInd/>
              <w:spacing w:before="60" w:after="60"/>
              <w:textAlignment w:val="auto"/>
              <w:rPr>
                <w:rFonts w:ascii="Cambria" w:hAnsi="Cambria"/>
              </w:rPr>
            </w:pPr>
            <w:r w:rsidRPr="00F8551C">
              <w:rPr>
                <w:rFonts w:ascii="Cambria" w:hAnsi="Cambria"/>
                <w:bCs/>
              </w:rPr>
              <w:t>Opatření k zajištění kvalitních informací v procesu EIA</w:t>
            </w:r>
            <w:r w:rsidRPr="00F8551C">
              <w:rPr>
                <w:rFonts w:ascii="Cambria" w:hAnsi="Cambria"/>
              </w:rPr>
              <w:t xml:space="preserve">: </w:t>
            </w:r>
          </w:p>
          <w:p w:rsidR="00235340" w:rsidRPr="00F8551C" w:rsidRDefault="00235340" w:rsidP="006E6B3F">
            <w:pPr>
              <w:keepNext/>
              <w:widowControl w:val="0"/>
              <w:tabs>
                <w:tab w:val="left" w:pos="142"/>
              </w:tabs>
              <w:spacing w:before="60" w:after="60"/>
              <w:ind w:left="862"/>
              <w:rPr>
                <w:rFonts w:ascii="Cambria" w:hAnsi="Cambria"/>
              </w:rPr>
            </w:pPr>
          </w:p>
          <w:p w:rsidR="00235340" w:rsidRPr="00F8551C" w:rsidRDefault="00235340" w:rsidP="00E44916">
            <w:pPr>
              <w:keepNext/>
              <w:widowControl w:val="0"/>
              <w:numPr>
                <w:ilvl w:val="0"/>
                <w:numId w:val="13"/>
              </w:numPr>
              <w:tabs>
                <w:tab w:val="left" w:pos="142"/>
              </w:tabs>
              <w:overflowPunct/>
              <w:autoSpaceDE/>
              <w:autoSpaceDN/>
              <w:adjustRightInd/>
              <w:spacing w:before="60" w:after="60"/>
              <w:textAlignment w:val="auto"/>
              <w:rPr>
                <w:rFonts w:ascii="Cambria" w:hAnsi="Cambria"/>
              </w:rPr>
            </w:pPr>
            <w:r w:rsidRPr="00F8551C">
              <w:rPr>
                <w:rFonts w:ascii="Cambria" w:hAnsi="Cambria"/>
                <w:bCs/>
              </w:rPr>
              <w:t>např. pomocí subjektů ověřujících dokumentaci EIA,</w:t>
            </w:r>
            <w:r w:rsidRPr="00F8551C">
              <w:rPr>
                <w:rFonts w:ascii="Cambria" w:hAnsi="Cambria"/>
              </w:rPr>
              <w:t xml:space="preserve"> </w:t>
            </w:r>
            <w:r w:rsidRPr="00F8551C">
              <w:rPr>
                <w:rFonts w:ascii="Cambria" w:hAnsi="Cambria"/>
                <w:bCs/>
              </w:rPr>
              <w:t>existence specializovaných orgánů, akreditovaných / technicky kvalifikovaných odborníků zpracovávajících dokumentaci EIA</w:t>
            </w:r>
            <w:r w:rsidRPr="00F8551C">
              <w:rPr>
                <w:rFonts w:ascii="Cambria" w:hAnsi="Cambria"/>
              </w:rPr>
              <w:t>, technické know-how, atd.</w:t>
            </w:r>
          </w:p>
          <w:p w:rsidR="00235340" w:rsidRPr="00F8551C" w:rsidRDefault="00235340" w:rsidP="006E6B3F">
            <w:pPr>
              <w:keepNext/>
              <w:widowControl w:val="0"/>
              <w:tabs>
                <w:tab w:val="left" w:pos="142"/>
              </w:tabs>
              <w:spacing w:before="60" w:after="60"/>
              <w:rPr>
                <w:rFonts w:ascii="Cambria" w:hAnsi="Cambria"/>
              </w:rPr>
            </w:pPr>
          </w:p>
          <w:p w:rsidR="00235340" w:rsidRPr="00F8551C" w:rsidRDefault="00235340" w:rsidP="006E6B3F">
            <w:pPr>
              <w:keepNext/>
              <w:widowControl w:val="0"/>
              <w:tabs>
                <w:tab w:val="left" w:pos="142"/>
              </w:tabs>
              <w:spacing w:before="60" w:after="60"/>
              <w:rPr>
                <w:rFonts w:ascii="Cambria" w:hAnsi="Cambria"/>
              </w:rPr>
            </w:pPr>
          </w:p>
          <w:p w:rsidR="00235340" w:rsidRPr="00F8551C" w:rsidRDefault="00235340" w:rsidP="006E6B3F">
            <w:pPr>
              <w:keepNext/>
              <w:widowControl w:val="0"/>
              <w:tabs>
                <w:tab w:val="left" w:pos="142"/>
              </w:tabs>
              <w:spacing w:before="60" w:after="60"/>
              <w:rPr>
                <w:rFonts w:ascii="Cambria" w:hAnsi="Cambria"/>
              </w:rPr>
            </w:pPr>
          </w:p>
          <w:p w:rsidR="00235340" w:rsidRPr="00F8551C" w:rsidRDefault="00235340" w:rsidP="006E6B3F">
            <w:pPr>
              <w:keepNext/>
              <w:widowControl w:val="0"/>
              <w:tabs>
                <w:tab w:val="left" w:pos="142"/>
              </w:tabs>
              <w:spacing w:before="60" w:after="60"/>
              <w:rPr>
                <w:rFonts w:ascii="Cambria" w:hAnsi="Cambria"/>
              </w:rPr>
            </w:pPr>
          </w:p>
          <w:p w:rsidR="00235340" w:rsidRPr="00F8551C" w:rsidRDefault="00235340" w:rsidP="006E6B3F">
            <w:pPr>
              <w:keepNext/>
              <w:widowControl w:val="0"/>
              <w:tabs>
                <w:tab w:val="left" w:pos="142"/>
              </w:tabs>
              <w:spacing w:before="60" w:after="60"/>
              <w:rPr>
                <w:rFonts w:ascii="Cambria" w:hAnsi="Cambria"/>
              </w:rPr>
            </w:pPr>
          </w:p>
          <w:p w:rsidR="00235340" w:rsidRPr="00F8551C" w:rsidRDefault="00235340" w:rsidP="006E6B3F">
            <w:pPr>
              <w:keepNext/>
              <w:widowControl w:val="0"/>
              <w:tabs>
                <w:tab w:val="left" w:pos="142"/>
              </w:tabs>
              <w:spacing w:before="60" w:after="60"/>
              <w:ind w:left="1222"/>
              <w:rPr>
                <w:rFonts w:ascii="Cambria" w:hAnsi="Cambria"/>
              </w:rPr>
            </w:pPr>
          </w:p>
          <w:p w:rsidR="00235340" w:rsidRPr="00F8551C" w:rsidRDefault="00235340" w:rsidP="00E44916">
            <w:pPr>
              <w:keepNext/>
              <w:widowControl w:val="0"/>
              <w:numPr>
                <w:ilvl w:val="0"/>
                <w:numId w:val="13"/>
              </w:numPr>
              <w:tabs>
                <w:tab w:val="left" w:pos="142"/>
              </w:tabs>
              <w:overflowPunct/>
              <w:autoSpaceDE/>
              <w:autoSpaceDN/>
              <w:adjustRightInd/>
              <w:spacing w:before="360" w:after="60"/>
              <w:textAlignment w:val="auto"/>
              <w:rPr>
                <w:rFonts w:ascii="Cambria" w:hAnsi="Cambria"/>
              </w:rPr>
            </w:pPr>
            <w:r w:rsidRPr="00F8551C">
              <w:rPr>
                <w:rFonts w:ascii="Cambria" w:hAnsi="Cambria"/>
                <w:bCs/>
              </w:rPr>
              <w:t>Včasná a efektivní účast veřejnosti v procesu EIA, resp. povolujících řízeních</w:t>
            </w:r>
            <w:r w:rsidRPr="00F8551C">
              <w:rPr>
                <w:rFonts w:ascii="Cambria" w:hAnsi="Cambria"/>
              </w:rPr>
              <w:t>.</w:t>
            </w:r>
          </w:p>
          <w:p w:rsidR="00235340" w:rsidRPr="00F8551C" w:rsidRDefault="00235340" w:rsidP="006E6B3F">
            <w:pPr>
              <w:keepNext/>
              <w:widowControl w:val="0"/>
              <w:tabs>
                <w:tab w:val="left" w:pos="142"/>
              </w:tabs>
              <w:spacing w:before="60" w:after="60"/>
              <w:ind w:left="862"/>
              <w:rPr>
                <w:rFonts w:ascii="Cambria" w:hAnsi="Cambria"/>
              </w:rPr>
            </w:pPr>
          </w:p>
          <w:p w:rsidR="00235340" w:rsidRPr="00F8551C" w:rsidRDefault="00235340" w:rsidP="00E44916">
            <w:pPr>
              <w:keepNext/>
              <w:widowControl w:val="0"/>
              <w:numPr>
                <w:ilvl w:val="0"/>
                <w:numId w:val="11"/>
              </w:numPr>
              <w:tabs>
                <w:tab w:val="left" w:pos="365"/>
              </w:tabs>
              <w:overflowPunct/>
              <w:autoSpaceDE/>
              <w:autoSpaceDN/>
              <w:adjustRightInd/>
              <w:spacing w:before="60" w:after="240"/>
              <w:textAlignment w:val="auto"/>
              <w:rPr>
                <w:rFonts w:ascii="Cambria" w:hAnsi="Cambria"/>
                <w:b/>
                <w:bCs/>
                <w:noProof/>
              </w:rPr>
            </w:pPr>
            <w:r w:rsidRPr="00F8551C">
              <w:rPr>
                <w:rFonts w:ascii="Cambria" w:hAnsi="Cambria"/>
                <w:bCs/>
              </w:rPr>
              <w:lastRenderedPageBreak/>
              <w:t>Fungující opatření pro přístup dotčené veřejnosti k soudní ochraně, včetně nevládních organizací</w:t>
            </w:r>
            <w:r w:rsidRPr="00F8551C">
              <w:rPr>
                <w:rFonts w:ascii="Cambria" w:hAnsi="Cambria"/>
              </w:rPr>
              <w:t>.</w:t>
            </w:r>
          </w:p>
        </w:tc>
        <w:tc>
          <w:tcPr>
            <w:tcW w:w="1111" w:type="dxa"/>
            <w:vAlign w:val="center"/>
          </w:tcPr>
          <w:p w:rsidR="00235340" w:rsidRPr="00F8551C" w:rsidRDefault="00FA3E19" w:rsidP="00FA3E19">
            <w:pPr>
              <w:keepNext/>
              <w:widowControl w:val="0"/>
              <w:spacing w:before="60" w:after="60"/>
              <w:jc w:val="center"/>
              <w:rPr>
                <w:rFonts w:ascii="Cambria" w:hAnsi="Cambria"/>
                <w:color w:val="000000"/>
                <w:lang w:val="en-GB"/>
              </w:rPr>
            </w:pPr>
            <w:r w:rsidRPr="00F8551C">
              <w:rPr>
                <w:rFonts w:ascii="Cambria" w:hAnsi="Cambria"/>
                <w:color w:val="000000"/>
                <w:lang w:val="en-GB"/>
              </w:rPr>
              <w:lastRenderedPageBreak/>
              <w:t>ANO</w:t>
            </w:r>
          </w:p>
        </w:tc>
        <w:tc>
          <w:tcPr>
            <w:tcW w:w="5000" w:type="dxa"/>
            <w:vAlign w:val="center"/>
          </w:tcPr>
          <w:p w:rsidR="00235340" w:rsidRPr="00F8551C" w:rsidRDefault="00235340" w:rsidP="006E6B3F">
            <w:pPr>
              <w:spacing w:after="120"/>
              <w:jc w:val="both"/>
              <w:rPr>
                <w:rFonts w:ascii="Cambria" w:hAnsi="Cambria" w:cs="Cambria"/>
                <w:color w:val="000000"/>
              </w:rPr>
            </w:pPr>
            <w:r w:rsidRPr="00F8551C">
              <w:rPr>
                <w:rFonts w:ascii="Cambria" w:hAnsi="Cambria" w:cs="Cambria"/>
                <w:color w:val="000000"/>
              </w:rPr>
              <w:t xml:space="preserve">V rámci </w:t>
            </w:r>
            <w:proofErr w:type="spellStart"/>
            <w:r w:rsidRPr="00F8551C">
              <w:rPr>
                <w:rFonts w:ascii="Cambria" w:hAnsi="Cambria" w:cs="Cambria"/>
                <w:color w:val="000000"/>
              </w:rPr>
              <w:t>infringementového</w:t>
            </w:r>
            <w:proofErr w:type="spellEnd"/>
            <w:r w:rsidRPr="00F8551C">
              <w:rPr>
                <w:rFonts w:ascii="Cambria" w:hAnsi="Cambria" w:cs="Cambria"/>
                <w:color w:val="000000"/>
              </w:rPr>
              <w:t xml:space="preserve"> řízení ke směrnici EIA bylo s Evropskou komisí dohodnuto řešení spočívající v úpravě české legislativy, kterou budou v termínu do konce roku 2014 vyřešeny všechny výtky Evropské komise</w:t>
            </w:r>
            <w:r w:rsidR="00627098" w:rsidRPr="00F8551C">
              <w:rPr>
                <w:rFonts w:ascii="Cambria" w:hAnsi="Cambria"/>
                <w:color w:val="000000"/>
              </w:rPr>
              <w:t xml:space="preserve"> tak, aby novela nabyla účinnosti dne 1. 1. 2015</w:t>
            </w:r>
            <w:r w:rsidRPr="00F8551C">
              <w:rPr>
                <w:rFonts w:ascii="Cambria" w:hAnsi="Cambria" w:cs="Cambria"/>
                <w:color w:val="000000"/>
              </w:rPr>
              <w:t xml:space="preserve">. Za účelem vypracování návrhu novelizace byla zřízena pracovní skupina, jež je v úzkém kontaktu s Evropskou komisí. Paragrafované znění novely zákona EIA, stavebního zákona a souvisejících právních předpisů bylo v březnu 2014 předloženo do mezirezortního připomínkového řízení, které bylo ukončeno na konci dubna 2014. Novela byla následně upravena na základě připomínek Evropské komise a dne 10. 6. 2014 odsouhlasena Evropskou komisí. V červnu 2014 bylo Komisí schválené znění novely předloženo do opakovaného mezirezortního připomínkového řízení. Po vypořádání obdržených připomínek byla novela v srpnu 2014 projednána Legislativní radou vlády a dne 3. 9. 2014 schválena Vládou ČR. Tentýž den byla novela postoupena Poslanecké sněmovně Parlamentu ČR. </w:t>
            </w:r>
            <w:r w:rsidR="00374195" w:rsidRPr="00F8551C">
              <w:rPr>
                <w:rFonts w:ascii="Cambria" w:hAnsi="Cambria"/>
                <w:color w:val="000000"/>
              </w:rPr>
              <w:t xml:space="preserve">Novela byla dne 12. 12. 2014 schválena Poslaneckou sněmovnou PČR ve 3. čtení a postoupena Senátu PČR. Dne 14. 1. 2015 byla novela projednána Senátem a vrácena Poslanecké sněmovně s pozměňovacími návrhy k opětovnému hlasování,. </w:t>
            </w:r>
            <w:r w:rsidR="00960B34" w:rsidRPr="00F8551C">
              <w:rPr>
                <w:rFonts w:ascii="Cambria" w:hAnsi="Cambria" w:cs="Cambria"/>
                <w:color w:val="000000"/>
              </w:rPr>
              <w:t xml:space="preserve">Poslanecká sněmovna schválila novelu ve znění pozměňovacích návrhů dne 10. 2. 2015. </w:t>
            </w:r>
            <w:r w:rsidR="00374195" w:rsidRPr="00F8551C">
              <w:rPr>
                <w:rFonts w:ascii="Cambria" w:hAnsi="Cambria"/>
                <w:color w:val="000000"/>
              </w:rPr>
              <w:t xml:space="preserve">Následně </w:t>
            </w:r>
            <w:r w:rsidR="00960B34" w:rsidRPr="00F8551C">
              <w:rPr>
                <w:rFonts w:ascii="Cambria" w:hAnsi="Cambria"/>
                <w:color w:val="000000"/>
              </w:rPr>
              <w:t xml:space="preserve">byla </w:t>
            </w:r>
            <w:r w:rsidR="00374195" w:rsidRPr="00F8551C">
              <w:rPr>
                <w:rFonts w:ascii="Cambria" w:hAnsi="Cambria"/>
                <w:color w:val="000000"/>
              </w:rPr>
              <w:t xml:space="preserve">novela </w:t>
            </w:r>
            <w:r w:rsidR="00960B34" w:rsidRPr="00F8551C">
              <w:rPr>
                <w:rFonts w:ascii="Cambria" w:hAnsi="Cambria"/>
                <w:color w:val="000000"/>
              </w:rPr>
              <w:t xml:space="preserve">postoupena </w:t>
            </w:r>
            <w:r w:rsidR="00374195" w:rsidRPr="00F8551C">
              <w:rPr>
                <w:rFonts w:ascii="Cambria" w:hAnsi="Cambria"/>
                <w:color w:val="000000"/>
              </w:rPr>
              <w:t xml:space="preserve">prezidentu </w:t>
            </w:r>
            <w:proofErr w:type="spellStart"/>
            <w:r w:rsidR="00374195" w:rsidRPr="00F8551C">
              <w:rPr>
                <w:rFonts w:ascii="Cambria" w:hAnsi="Cambria"/>
                <w:color w:val="000000"/>
              </w:rPr>
              <w:t>republiky</w:t>
            </w:r>
            <w:r w:rsidR="00960B34" w:rsidRPr="00F8551C">
              <w:rPr>
                <w:rFonts w:ascii="Cambria" w:hAnsi="Cambria"/>
                <w:color w:val="000000"/>
              </w:rPr>
              <w:t>,který</w:t>
            </w:r>
            <w:proofErr w:type="spellEnd"/>
            <w:r w:rsidR="00960B34" w:rsidRPr="00F8551C">
              <w:rPr>
                <w:rFonts w:ascii="Cambria" w:hAnsi="Cambria"/>
                <w:color w:val="000000"/>
              </w:rPr>
              <w:t xml:space="preserve"> ji podepsal dne 24.2.2015</w:t>
            </w:r>
            <w:r w:rsidR="00374195" w:rsidRPr="00F8551C">
              <w:rPr>
                <w:rFonts w:ascii="Cambria" w:hAnsi="Cambria"/>
                <w:color w:val="000000"/>
              </w:rPr>
              <w:t xml:space="preserve">.  </w:t>
            </w:r>
            <w:r w:rsidR="00627098" w:rsidRPr="00F8551C">
              <w:rPr>
                <w:rFonts w:ascii="Cambria" w:hAnsi="Cambria"/>
                <w:color w:val="000000"/>
              </w:rPr>
              <w:t xml:space="preserve">Novela byla dne 6. 3. 2015 vyhlášena ve Sbírce zákonů v částce 19 jako zákon č. 39/2015 Sb., v důsledku čehož </w:t>
            </w:r>
            <w:r w:rsidR="00FA3E19" w:rsidRPr="00F8551C">
              <w:rPr>
                <w:rFonts w:ascii="Cambria" w:hAnsi="Cambria"/>
                <w:color w:val="000000"/>
              </w:rPr>
              <w:t xml:space="preserve">nabyla </w:t>
            </w:r>
            <w:r w:rsidR="00627098" w:rsidRPr="00F8551C">
              <w:rPr>
                <w:rFonts w:ascii="Cambria" w:hAnsi="Cambria"/>
                <w:color w:val="000000"/>
              </w:rPr>
              <w:t xml:space="preserve">účinnosti dne 1. 4. 2015. </w:t>
            </w:r>
            <w:r w:rsidR="00374195" w:rsidRPr="00F8551C">
              <w:rPr>
                <w:rFonts w:ascii="Cambria" w:hAnsi="Cambria" w:cs="Cambria"/>
                <w:color w:val="000000"/>
              </w:rPr>
              <w:t xml:space="preserve">Veškeré </w:t>
            </w:r>
            <w:r w:rsidRPr="00F8551C">
              <w:rPr>
                <w:rFonts w:ascii="Cambria" w:hAnsi="Cambria" w:cs="Cambria"/>
                <w:color w:val="000000"/>
              </w:rPr>
              <w:t xml:space="preserve">změny novely, ke kterým </w:t>
            </w:r>
            <w:r w:rsidR="00374195" w:rsidRPr="00F8551C">
              <w:rPr>
                <w:rFonts w:ascii="Cambria" w:hAnsi="Cambria" w:cs="Cambria"/>
                <w:color w:val="000000"/>
              </w:rPr>
              <w:t xml:space="preserve">došlo </w:t>
            </w:r>
            <w:r w:rsidRPr="00F8551C">
              <w:rPr>
                <w:rFonts w:ascii="Cambria" w:hAnsi="Cambria" w:cs="Cambria"/>
                <w:color w:val="000000"/>
              </w:rPr>
              <w:t xml:space="preserve">v rámci legislativního procesu, </w:t>
            </w:r>
            <w:r w:rsidR="00374195" w:rsidRPr="00F8551C">
              <w:rPr>
                <w:rFonts w:ascii="Cambria" w:hAnsi="Cambria" w:cs="Cambria"/>
                <w:color w:val="000000"/>
              </w:rPr>
              <w:t xml:space="preserve">byly průběžně </w:t>
            </w:r>
            <w:r w:rsidRPr="00F8551C">
              <w:rPr>
                <w:rFonts w:ascii="Cambria" w:hAnsi="Cambria" w:cs="Cambria"/>
                <w:color w:val="000000"/>
              </w:rPr>
              <w:t xml:space="preserve">konzultovány s Evropskou komisí a </w:t>
            </w:r>
            <w:r w:rsidR="00627098" w:rsidRPr="00F8551C">
              <w:rPr>
                <w:rFonts w:ascii="Cambria" w:hAnsi="Cambria"/>
                <w:color w:val="000000"/>
              </w:rPr>
              <w:t xml:space="preserve"> její připomínky byly do  novely zapracovány. Evropská komise byla rovněž pravidelně informována o průběhu legislativního procesu a</w:t>
            </w:r>
            <w:r w:rsidR="00627098" w:rsidRPr="00F8551C">
              <w:rPr>
                <w:rFonts w:ascii="Cambria" w:hAnsi="Cambria"/>
              </w:rPr>
              <w:t> </w:t>
            </w:r>
            <w:r w:rsidR="00627098" w:rsidRPr="00F8551C">
              <w:rPr>
                <w:rFonts w:ascii="Cambria" w:hAnsi="Cambria"/>
                <w:color w:val="000000"/>
              </w:rPr>
              <w:t xml:space="preserve">předpokládaném nabytí účinnosti </w:t>
            </w:r>
            <w:r w:rsidR="00627098" w:rsidRPr="00F8551C">
              <w:rPr>
                <w:rFonts w:ascii="Cambria" w:hAnsi="Cambria"/>
                <w:color w:val="000000"/>
              </w:rPr>
              <w:lastRenderedPageBreak/>
              <w:t>novely</w:t>
            </w:r>
            <w:r w:rsidR="00627098" w:rsidRPr="00F8551C" w:rsidDel="00374195">
              <w:rPr>
                <w:rFonts w:ascii="Cambria" w:hAnsi="Cambria" w:cs="Cambria"/>
                <w:color w:val="000000"/>
              </w:rPr>
              <w:t xml:space="preserve"> </w:t>
            </w:r>
            <w:r w:rsidR="00627098" w:rsidRPr="00F8551C">
              <w:rPr>
                <w:rFonts w:ascii="Cambria" w:hAnsi="Cambria"/>
                <w:color w:val="000000"/>
              </w:rPr>
              <w:t xml:space="preserve"> </w:t>
            </w:r>
            <w:r w:rsidRPr="00F8551C">
              <w:rPr>
                <w:rFonts w:ascii="Cambria" w:hAnsi="Cambria" w:cs="Cambria"/>
                <w:color w:val="000000"/>
              </w:rPr>
              <w:t>Součástí novelizace je i  oblast účasti veřejnosti a jejího přístupu k  soudní ochraně. Na základě přechodných ustanovení novely bude novela aplikována i na již zahájená navazující řízení, čímž budou naplněny požadavky směrnice EIA u všech projektů, u kterých dosud nebyl ukončen povolovací proces, a rovněž bude prováděna kontrola souladu již vydaných stanovisek EIA se směrnicí EIA.</w:t>
            </w:r>
          </w:p>
          <w:p w:rsidR="00235340" w:rsidRPr="00F8551C" w:rsidRDefault="00235340" w:rsidP="00374195">
            <w:pPr>
              <w:spacing w:after="120"/>
              <w:jc w:val="both"/>
              <w:rPr>
                <w:rFonts w:ascii="Cambria" w:hAnsi="Cambria"/>
                <w:color w:val="000000"/>
              </w:rPr>
            </w:pPr>
            <w:r w:rsidRPr="00F8551C">
              <w:rPr>
                <w:rFonts w:ascii="Cambria" w:hAnsi="Cambria"/>
                <w:color w:val="000000"/>
              </w:rPr>
              <w:t>Nadto je na projekty, u kterých probíhá povolovací proces, již nyní příslušnými stavebními úřady aplikována metodická pomůcka, jejímž cílem je dosáhnout plnění požadavků směrnice EIA v povolovacích řízeních za použití stávajících právních předpisů. Metodická pomůcka byla vydána dne 20. 8. 2014 ve spolupráci MŽP a MMR a rozeslána stavebním úřadům dne 29. 8. 2014. V</w:t>
            </w:r>
            <w:r w:rsidR="00374195" w:rsidRPr="00F8551C">
              <w:rPr>
                <w:rFonts w:ascii="Cambria" w:hAnsi="Cambria"/>
                <w:color w:val="000000"/>
              </w:rPr>
              <w:t> případě projektů</w:t>
            </w:r>
            <w:r w:rsidRPr="00F8551C">
              <w:rPr>
                <w:rFonts w:ascii="Cambria" w:hAnsi="Cambria"/>
                <w:color w:val="000000"/>
              </w:rPr>
              <w:t>,</w:t>
            </w:r>
            <w:r w:rsidR="00374195" w:rsidRPr="00F8551C">
              <w:rPr>
                <w:rFonts w:ascii="Cambria" w:hAnsi="Cambria"/>
                <w:color w:val="000000"/>
              </w:rPr>
              <w:t xml:space="preserve"> jejichž</w:t>
            </w:r>
            <w:r w:rsidRPr="00F8551C">
              <w:rPr>
                <w:rFonts w:ascii="Cambria" w:hAnsi="Cambria"/>
                <w:color w:val="000000"/>
              </w:rPr>
              <w:t xml:space="preserve"> povolovací proces </w:t>
            </w:r>
            <w:r w:rsidR="00374195" w:rsidRPr="00F8551C">
              <w:rPr>
                <w:rFonts w:ascii="Cambria" w:hAnsi="Cambria"/>
                <w:color w:val="000000"/>
              </w:rPr>
              <w:t xml:space="preserve">bude </w:t>
            </w:r>
            <w:r w:rsidRPr="00F8551C">
              <w:rPr>
                <w:rFonts w:ascii="Cambria" w:hAnsi="Cambria"/>
                <w:color w:val="000000"/>
              </w:rPr>
              <w:t xml:space="preserve">ukončen dříve, než novela nabyde účinnosti, bude </w:t>
            </w:r>
            <w:r w:rsidR="00374195" w:rsidRPr="00F8551C">
              <w:rPr>
                <w:rFonts w:ascii="Cambria" w:hAnsi="Cambria"/>
                <w:color w:val="000000"/>
              </w:rPr>
              <w:t>vyhodnocen soulad jejich povolovacího procesu s požadavky směrnice EIA. Z</w:t>
            </w:r>
            <w:r w:rsidRPr="00F8551C">
              <w:rPr>
                <w:rFonts w:ascii="Cambria" w:hAnsi="Cambria"/>
                <w:color w:val="000000"/>
              </w:rPr>
              <w:t xml:space="preserve">a účelem </w:t>
            </w:r>
            <w:r w:rsidR="00374195" w:rsidRPr="00F8551C">
              <w:rPr>
                <w:rFonts w:ascii="Cambria" w:hAnsi="Cambria"/>
                <w:color w:val="000000"/>
              </w:rPr>
              <w:t xml:space="preserve">této </w:t>
            </w:r>
            <w:r w:rsidRPr="00F8551C">
              <w:rPr>
                <w:rFonts w:ascii="Cambria" w:hAnsi="Cambria"/>
                <w:color w:val="000000"/>
              </w:rPr>
              <w:t xml:space="preserve">kontroly </w:t>
            </w:r>
            <w:r w:rsidR="00374195" w:rsidRPr="00F8551C">
              <w:rPr>
                <w:rFonts w:ascii="Cambria" w:hAnsi="Cambria"/>
                <w:color w:val="000000"/>
              </w:rPr>
              <w:t xml:space="preserve"> byla </w:t>
            </w:r>
            <w:r w:rsidRPr="00F8551C">
              <w:rPr>
                <w:rFonts w:ascii="Cambria" w:hAnsi="Cambria"/>
                <w:color w:val="000000"/>
              </w:rPr>
              <w:t xml:space="preserve">usnesením vlády </w:t>
            </w:r>
            <w:r w:rsidR="00374195" w:rsidRPr="00F8551C">
              <w:rPr>
                <w:rFonts w:ascii="Cambria" w:hAnsi="Cambria"/>
                <w:color w:val="000000"/>
              </w:rPr>
              <w:t xml:space="preserve">č. 1078 ze dne 15. 12. 2014 </w:t>
            </w:r>
            <w:r w:rsidRPr="00F8551C">
              <w:rPr>
                <w:rFonts w:ascii="Cambria" w:hAnsi="Cambria"/>
                <w:color w:val="000000"/>
              </w:rPr>
              <w:t>ustanovena speciální pracovní skupina složená ze zástupců dotčených rezortů (o záměru jejího vytvoření bylo DG ENV informováno dne 9. 10. 2014).</w:t>
            </w:r>
          </w:p>
        </w:tc>
      </w:tr>
      <w:tr w:rsidR="00235340" w:rsidRPr="00F8551C" w:rsidTr="006E6B3F">
        <w:trPr>
          <w:trHeight w:val="559"/>
        </w:trPr>
        <w:tc>
          <w:tcPr>
            <w:tcW w:w="8107" w:type="dxa"/>
            <w:vMerge/>
            <w:vAlign w:val="center"/>
          </w:tcPr>
          <w:p w:rsidR="00235340" w:rsidRPr="00F8551C" w:rsidRDefault="00235340" w:rsidP="006E6B3F">
            <w:pPr>
              <w:keepNext/>
              <w:widowControl w:val="0"/>
              <w:tabs>
                <w:tab w:val="left" w:pos="365"/>
              </w:tabs>
              <w:spacing w:before="60" w:after="60"/>
              <w:rPr>
                <w:rFonts w:ascii="Cambria" w:hAnsi="Cambria"/>
                <w:i/>
                <w:iCs/>
              </w:rPr>
            </w:pPr>
          </w:p>
        </w:tc>
        <w:tc>
          <w:tcPr>
            <w:tcW w:w="1111" w:type="dxa"/>
            <w:vAlign w:val="center"/>
          </w:tcPr>
          <w:p w:rsidR="00235340" w:rsidRPr="00F8551C" w:rsidRDefault="00235340" w:rsidP="006E6B3F">
            <w:pPr>
              <w:keepNext/>
              <w:widowControl w:val="0"/>
              <w:spacing w:before="60" w:after="60"/>
              <w:jc w:val="center"/>
              <w:rPr>
                <w:rFonts w:ascii="Cambria" w:hAnsi="Cambria"/>
                <w:color w:val="000000"/>
              </w:rPr>
            </w:pPr>
            <w:r w:rsidRPr="00F8551C">
              <w:rPr>
                <w:rFonts w:ascii="Cambria" w:hAnsi="Cambria"/>
                <w:color w:val="000000"/>
              </w:rPr>
              <w:t>ANO</w:t>
            </w:r>
          </w:p>
        </w:tc>
        <w:tc>
          <w:tcPr>
            <w:tcW w:w="5000" w:type="dxa"/>
            <w:vAlign w:val="center"/>
          </w:tcPr>
          <w:p w:rsidR="00235340" w:rsidRPr="00F8551C" w:rsidRDefault="00235340" w:rsidP="006E6B3F">
            <w:pPr>
              <w:keepNext/>
              <w:widowControl w:val="0"/>
              <w:spacing w:before="60" w:after="60"/>
              <w:jc w:val="center"/>
              <w:rPr>
                <w:rFonts w:ascii="Cambria" w:hAnsi="Cambria"/>
                <w:color w:val="000000"/>
              </w:rPr>
            </w:pPr>
            <w:r w:rsidRPr="00F8551C">
              <w:rPr>
                <w:rFonts w:ascii="Cambria" w:hAnsi="Cambria"/>
                <w:color w:val="000000"/>
              </w:rPr>
              <w:t>Viz komentář dále.</w:t>
            </w:r>
          </w:p>
        </w:tc>
      </w:tr>
      <w:tr w:rsidR="00235340" w:rsidRPr="00F8551C" w:rsidTr="006E6B3F">
        <w:trPr>
          <w:trHeight w:val="851"/>
        </w:trPr>
        <w:tc>
          <w:tcPr>
            <w:tcW w:w="8107" w:type="dxa"/>
            <w:vMerge/>
            <w:vAlign w:val="center"/>
          </w:tcPr>
          <w:p w:rsidR="00235340" w:rsidRPr="00F8551C" w:rsidRDefault="00235340" w:rsidP="006E6B3F">
            <w:pPr>
              <w:keepNext/>
              <w:widowControl w:val="0"/>
              <w:tabs>
                <w:tab w:val="left" w:pos="365"/>
              </w:tabs>
              <w:spacing w:before="60" w:after="60"/>
              <w:rPr>
                <w:rFonts w:ascii="Cambria" w:hAnsi="Cambria"/>
                <w:i/>
                <w:iCs/>
              </w:rPr>
            </w:pPr>
          </w:p>
        </w:tc>
        <w:tc>
          <w:tcPr>
            <w:tcW w:w="1111" w:type="dxa"/>
            <w:vAlign w:val="center"/>
          </w:tcPr>
          <w:p w:rsidR="00235340" w:rsidRPr="00F8551C" w:rsidRDefault="00235340" w:rsidP="006E6B3F">
            <w:pPr>
              <w:keepNext/>
              <w:widowControl w:val="0"/>
              <w:spacing w:before="60" w:after="60"/>
              <w:jc w:val="center"/>
              <w:rPr>
                <w:rFonts w:ascii="Cambria" w:hAnsi="Cambria"/>
                <w:color w:val="000000"/>
              </w:rPr>
            </w:pPr>
            <w:r w:rsidRPr="00F8551C">
              <w:rPr>
                <w:rFonts w:ascii="Cambria" w:hAnsi="Cambria"/>
                <w:color w:val="000000"/>
              </w:rPr>
              <w:t>ANO</w:t>
            </w:r>
          </w:p>
        </w:tc>
        <w:tc>
          <w:tcPr>
            <w:tcW w:w="5000" w:type="dxa"/>
            <w:vAlign w:val="center"/>
          </w:tcPr>
          <w:p w:rsidR="00235340" w:rsidRPr="00F8551C" w:rsidRDefault="00235340" w:rsidP="006E6B3F">
            <w:pPr>
              <w:pStyle w:val="DAVA"/>
              <w:spacing w:before="0"/>
              <w:rPr>
                <w:rFonts w:ascii="Cambria" w:hAnsi="Cambria" w:cs="Calibri"/>
                <w:sz w:val="20"/>
              </w:rPr>
            </w:pPr>
            <w:r w:rsidRPr="00F8551C">
              <w:rPr>
                <w:rFonts w:ascii="Cambria" w:hAnsi="Cambria" w:cs="Calibri"/>
                <w:color w:val="000000"/>
                <w:sz w:val="20"/>
              </w:rPr>
              <w:t>MŽP již v současné době aplikuje systém autorizovaných (akreditovaných) osob zpracovávajících dokumentace EIA a oponentní posudky EIA, které jsou dalším nástrojem pro kontrolu kvality informací obsažených v dokumentaci EIA.</w:t>
            </w:r>
            <w:r w:rsidRPr="00F8551C">
              <w:rPr>
                <w:rFonts w:ascii="Cambria" w:hAnsi="Cambria"/>
                <w:bCs/>
                <w:color w:val="000000"/>
                <w:sz w:val="20"/>
              </w:rPr>
              <w:t xml:space="preserve"> Systém autorizovaných osob v ČR jde nad rámec směrnice EIA, neboť podmínkou pro vykonávání činností osoby autorizované ke zpracování dokumentace nebo posudku v procesu EIA je vykonání odborné zkoušky způsobilosti. Vysoké nároky na odbornost autorizovaných osob zajišťují kvalitu procesu EIA.</w:t>
            </w:r>
            <w:r w:rsidRPr="00F8551C">
              <w:rPr>
                <w:rFonts w:ascii="Cambria" w:hAnsi="Cambria" w:cs="Calibri"/>
                <w:color w:val="000000"/>
                <w:sz w:val="20"/>
              </w:rPr>
              <w:t xml:space="preserve"> Autorizace je expertům udělena na základě zkoušky odborné způsobilosti. Viz </w:t>
            </w:r>
            <w:r w:rsidRPr="00F8551C">
              <w:rPr>
                <w:rFonts w:ascii="Cambria" w:hAnsi="Cambria" w:cs="Calibri"/>
                <w:sz w:val="20"/>
              </w:rPr>
              <w:t>§ 19 zákona č. 100/2001 Sb., o posuzování vlivů na životní prostředí:</w:t>
            </w:r>
          </w:p>
          <w:p w:rsidR="00235340" w:rsidRPr="00F8551C" w:rsidRDefault="00400236" w:rsidP="006E6B3F">
            <w:pPr>
              <w:keepNext/>
              <w:widowControl w:val="0"/>
              <w:spacing w:before="60" w:after="60"/>
              <w:rPr>
                <w:rFonts w:ascii="Cambria" w:hAnsi="Cambria"/>
                <w:color w:val="000000"/>
              </w:rPr>
            </w:pPr>
            <w:hyperlink r:id="rId25" w:history="1">
              <w:r w:rsidR="00235340" w:rsidRPr="00F8551C">
                <w:rPr>
                  <w:rStyle w:val="Hypertextovodkaz"/>
                  <w:rFonts w:ascii="Cambria" w:hAnsi="Cambria" w:cs="Calibri"/>
                </w:rPr>
                <w:t>http://portal.cenia.cz/eiasea/static/eia_legislativa</w:t>
              </w:r>
            </w:hyperlink>
          </w:p>
        </w:tc>
      </w:tr>
      <w:tr w:rsidR="00235340" w:rsidRPr="00F8551C" w:rsidTr="006E6B3F">
        <w:trPr>
          <w:trHeight w:val="552"/>
        </w:trPr>
        <w:tc>
          <w:tcPr>
            <w:tcW w:w="8107" w:type="dxa"/>
            <w:vMerge/>
            <w:vAlign w:val="center"/>
          </w:tcPr>
          <w:p w:rsidR="00235340" w:rsidRPr="00F8551C" w:rsidRDefault="00235340" w:rsidP="006E6B3F">
            <w:pPr>
              <w:keepNext/>
              <w:widowControl w:val="0"/>
              <w:tabs>
                <w:tab w:val="left" w:pos="365"/>
              </w:tabs>
              <w:spacing w:before="60" w:after="60"/>
              <w:rPr>
                <w:rFonts w:ascii="Cambria" w:hAnsi="Cambria"/>
                <w:i/>
                <w:iCs/>
              </w:rPr>
            </w:pPr>
          </w:p>
        </w:tc>
        <w:tc>
          <w:tcPr>
            <w:tcW w:w="1111" w:type="dxa"/>
            <w:vAlign w:val="center"/>
          </w:tcPr>
          <w:p w:rsidR="00235340" w:rsidRPr="00F8551C" w:rsidRDefault="00FA3E19" w:rsidP="00FA3E19">
            <w:pPr>
              <w:keepNext/>
              <w:widowControl w:val="0"/>
              <w:spacing w:before="60" w:after="60"/>
              <w:jc w:val="center"/>
              <w:rPr>
                <w:rFonts w:ascii="Cambria" w:hAnsi="Cambria"/>
                <w:color w:val="000000"/>
              </w:rPr>
            </w:pPr>
            <w:r w:rsidRPr="00F8551C">
              <w:rPr>
                <w:rFonts w:ascii="Cambria" w:hAnsi="Cambria"/>
                <w:color w:val="000000"/>
              </w:rPr>
              <w:t>ANO</w:t>
            </w:r>
          </w:p>
        </w:tc>
        <w:tc>
          <w:tcPr>
            <w:tcW w:w="5000" w:type="dxa"/>
            <w:vAlign w:val="center"/>
          </w:tcPr>
          <w:p w:rsidR="00235340" w:rsidRPr="00F8551C" w:rsidRDefault="00235340" w:rsidP="006E6B3F">
            <w:pPr>
              <w:keepNext/>
              <w:widowControl w:val="0"/>
              <w:spacing w:before="60" w:after="60"/>
              <w:jc w:val="both"/>
              <w:rPr>
                <w:rFonts w:ascii="Cambria" w:hAnsi="Cambria"/>
                <w:color w:val="000000"/>
              </w:rPr>
            </w:pPr>
            <w:r w:rsidRPr="00F8551C">
              <w:rPr>
                <w:rFonts w:ascii="Cambria" w:hAnsi="Cambria"/>
                <w:color w:val="000000"/>
              </w:rPr>
              <w:t>Oblast účasti veřejnosti bude vyřešena v rámci změny právní úpravy do konce roku 2014.</w:t>
            </w:r>
          </w:p>
        </w:tc>
      </w:tr>
      <w:tr w:rsidR="00235340" w:rsidRPr="00F8551C" w:rsidTr="006E6B3F">
        <w:trPr>
          <w:trHeight w:val="546"/>
        </w:trPr>
        <w:tc>
          <w:tcPr>
            <w:tcW w:w="8107" w:type="dxa"/>
            <w:vMerge/>
            <w:vAlign w:val="center"/>
          </w:tcPr>
          <w:p w:rsidR="00235340" w:rsidRPr="00F8551C" w:rsidRDefault="00235340" w:rsidP="006E6B3F">
            <w:pPr>
              <w:keepNext/>
              <w:widowControl w:val="0"/>
              <w:tabs>
                <w:tab w:val="left" w:pos="365"/>
              </w:tabs>
              <w:spacing w:before="60" w:after="60"/>
              <w:rPr>
                <w:rFonts w:ascii="Cambria" w:hAnsi="Cambria"/>
                <w:i/>
                <w:iCs/>
              </w:rPr>
            </w:pPr>
          </w:p>
        </w:tc>
        <w:tc>
          <w:tcPr>
            <w:tcW w:w="1111" w:type="dxa"/>
            <w:vAlign w:val="center"/>
          </w:tcPr>
          <w:p w:rsidR="00235340" w:rsidRPr="00F8551C" w:rsidRDefault="00FA3E19" w:rsidP="00FA3E19">
            <w:pPr>
              <w:keepNext/>
              <w:widowControl w:val="0"/>
              <w:spacing w:before="60" w:after="60"/>
              <w:jc w:val="center"/>
              <w:rPr>
                <w:rFonts w:ascii="Cambria" w:hAnsi="Cambria"/>
                <w:color w:val="000000"/>
              </w:rPr>
            </w:pPr>
            <w:r w:rsidRPr="00F8551C">
              <w:rPr>
                <w:rFonts w:ascii="Cambria" w:hAnsi="Cambria"/>
                <w:color w:val="000000"/>
              </w:rPr>
              <w:t>ANO</w:t>
            </w:r>
          </w:p>
        </w:tc>
        <w:tc>
          <w:tcPr>
            <w:tcW w:w="5000" w:type="dxa"/>
            <w:vAlign w:val="center"/>
          </w:tcPr>
          <w:p w:rsidR="00235340" w:rsidRPr="00F8551C" w:rsidRDefault="00235340" w:rsidP="006E6B3F">
            <w:pPr>
              <w:keepNext/>
              <w:widowControl w:val="0"/>
              <w:spacing w:before="60" w:after="60"/>
              <w:jc w:val="both"/>
              <w:rPr>
                <w:rFonts w:ascii="Cambria" w:hAnsi="Cambria"/>
                <w:color w:val="000000"/>
              </w:rPr>
            </w:pPr>
            <w:r w:rsidRPr="00F8551C">
              <w:rPr>
                <w:rFonts w:ascii="Cambria" w:hAnsi="Cambria"/>
                <w:color w:val="000000"/>
              </w:rPr>
              <w:t>Oblast soudní ochrany bude vyřešena v rámci změny právní úpravy do konce roku 2014.</w:t>
            </w:r>
          </w:p>
        </w:tc>
      </w:tr>
      <w:tr w:rsidR="00235340" w:rsidRPr="00F8551C" w:rsidTr="006E6B3F">
        <w:trPr>
          <w:trHeight w:val="1274"/>
        </w:trPr>
        <w:tc>
          <w:tcPr>
            <w:tcW w:w="8107" w:type="dxa"/>
            <w:vMerge w:val="restart"/>
          </w:tcPr>
          <w:p w:rsidR="00235340" w:rsidRPr="00F8551C" w:rsidRDefault="00235340" w:rsidP="006E6B3F">
            <w:pPr>
              <w:keepNext/>
              <w:widowControl w:val="0"/>
              <w:tabs>
                <w:tab w:val="left" w:pos="365"/>
              </w:tabs>
              <w:spacing w:before="60" w:after="60"/>
              <w:rPr>
                <w:rFonts w:ascii="Cambria" w:hAnsi="Cambria"/>
                <w:i/>
                <w:iCs/>
              </w:rPr>
            </w:pPr>
            <w:r w:rsidRPr="00F8551C">
              <w:rPr>
                <w:rFonts w:ascii="Cambria" w:hAnsi="Cambria"/>
                <w:i/>
                <w:iCs/>
              </w:rPr>
              <w:t>Opatření pro odbornou přípravu a šíření informací pro zaměstnance podílející se na provádění směrnic týkajících se EIA a SEA</w:t>
            </w: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6E6B3F">
            <w:pPr>
              <w:keepNext/>
              <w:widowControl w:val="0"/>
              <w:tabs>
                <w:tab w:val="left" w:pos="365"/>
              </w:tabs>
              <w:spacing w:before="60" w:after="60"/>
              <w:rPr>
                <w:rFonts w:ascii="Cambria" w:hAnsi="Cambria"/>
                <w:i/>
                <w:iCs/>
              </w:rPr>
            </w:pPr>
          </w:p>
          <w:p w:rsidR="00235340" w:rsidRPr="00F8551C" w:rsidRDefault="00235340" w:rsidP="00E44916">
            <w:pPr>
              <w:keepNext/>
              <w:widowControl w:val="0"/>
              <w:numPr>
                <w:ilvl w:val="0"/>
                <w:numId w:val="11"/>
              </w:numPr>
              <w:tabs>
                <w:tab w:val="left" w:pos="365"/>
              </w:tabs>
              <w:overflowPunct/>
              <w:autoSpaceDE/>
              <w:autoSpaceDN/>
              <w:adjustRightInd/>
              <w:spacing w:before="60" w:after="60"/>
              <w:textAlignment w:val="auto"/>
              <w:rPr>
                <w:rFonts w:ascii="Cambria" w:hAnsi="Cambria"/>
              </w:rPr>
            </w:pPr>
            <w:r w:rsidRPr="00F8551C">
              <w:rPr>
                <w:rFonts w:ascii="Cambria" w:hAnsi="Cambria" w:cs="Arial"/>
              </w:rPr>
              <w:t>Realizace a plánování odpovídajících školení pro všechny pracovníky podílející se na implementaci směrnic EIA/SEA na všech úrovních</w:t>
            </w:r>
            <w:r w:rsidRPr="00F8551C">
              <w:rPr>
                <w:rFonts w:ascii="Cambria" w:hAnsi="Cambria"/>
              </w:rPr>
              <w:t>. Vytvoření účinné strategie vzdělávání (školení, kurzy online apod.) zahrnující, kde je to možné, kvantitativní údaje</w:t>
            </w: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6E6B3F">
            <w:pPr>
              <w:keepNext/>
              <w:widowControl w:val="0"/>
              <w:tabs>
                <w:tab w:val="left" w:pos="365"/>
              </w:tabs>
              <w:spacing w:before="60" w:after="60"/>
              <w:ind w:left="360"/>
              <w:rPr>
                <w:rFonts w:ascii="Cambria" w:hAnsi="Cambria"/>
              </w:rPr>
            </w:pPr>
          </w:p>
          <w:p w:rsidR="00235340" w:rsidRPr="00F8551C" w:rsidRDefault="00235340" w:rsidP="00E44916">
            <w:pPr>
              <w:keepNext/>
              <w:widowControl w:val="0"/>
              <w:numPr>
                <w:ilvl w:val="0"/>
                <w:numId w:val="14"/>
              </w:numPr>
              <w:tabs>
                <w:tab w:val="left" w:pos="365"/>
              </w:tabs>
              <w:overflowPunct/>
              <w:autoSpaceDE/>
              <w:autoSpaceDN/>
              <w:adjustRightInd/>
              <w:spacing w:before="60" w:after="60"/>
              <w:ind w:left="709"/>
              <w:textAlignment w:val="auto"/>
              <w:rPr>
                <w:rFonts w:ascii="Cambria" w:hAnsi="Cambria"/>
              </w:rPr>
            </w:pPr>
            <w:r w:rsidRPr="00F8551C">
              <w:rPr>
                <w:rStyle w:val="hps"/>
                <w:rFonts w:ascii="Cambria" w:hAnsi="Cambria" w:cs="Arial"/>
                <w:bCs/>
              </w:rPr>
              <w:t>Systém</w:t>
            </w:r>
            <w:r w:rsidRPr="00F8551C">
              <w:rPr>
                <w:rFonts w:ascii="Cambria" w:hAnsi="Cambria" w:cs="Arial"/>
                <w:bCs/>
              </w:rPr>
              <w:t xml:space="preserve"> </w:t>
            </w:r>
            <w:r w:rsidRPr="00F8551C">
              <w:rPr>
                <w:rStyle w:val="hps"/>
                <w:rFonts w:ascii="Cambria" w:hAnsi="Cambria" w:cs="Arial"/>
                <w:bCs/>
              </w:rPr>
              <w:t>šíření</w:t>
            </w:r>
            <w:r w:rsidRPr="00F8551C">
              <w:rPr>
                <w:rFonts w:ascii="Cambria" w:hAnsi="Cambria" w:cs="Arial"/>
                <w:bCs/>
              </w:rPr>
              <w:t xml:space="preserve"> </w:t>
            </w:r>
            <w:r w:rsidRPr="00F8551C">
              <w:rPr>
                <w:rStyle w:val="hps"/>
                <w:rFonts w:ascii="Cambria" w:hAnsi="Cambria" w:cs="Arial"/>
                <w:bCs/>
              </w:rPr>
              <w:t>a výměny informací</w:t>
            </w:r>
            <w:r w:rsidRPr="00F8551C">
              <w:rPr>
                <w:rFonts w:ascii="Cambria" w:hAnsi="Cambria" w:cs="Arial"/>
                <w:bCs/>
              </w:rPr>
              <w:t xml:space="preserve"> </w:t>
            </w:r>
            <w:r w:rsidRPr="00F8551C">
              <w:rPr>
                <w:rStyle w:val="hps"/>
                <w:rFonts w:ascii="Cambria" w:hAnsi="Cambria" w:cs="Arial"/>
                <w:bCs/>
              </w:rPr>
              <w:t>pro všechny</w:t>
            </w:r>
            <w:r w:rsidRPr="00F8551C">
              <w:rPr>
                <w:rFonts w:ascii="Cambria" w:hAnsi="Cambria" w:cs="Arial"/>
                <w:bCs/>
              </w:rPr>
              <w:t xml:space="preserve"> </w:t>
            </w:r>
            <w:r w:rsidRPr="00F8551C">
              <w:rPr>
                <w:rStyle w:val="hps"/>
                <w:rFonts w:ascii="Cambria" w:hAnsi="Cambria" w:cs="Arial"/>
                <w:bCs/>
              </w:rPr>
              <w:t>zaměstnance podílející se na</w:t>
            </w:r>
            <w:r w:rsidRPr="00F8551C">
              <w:rPr>
                <w:rFonts w:ascii="Cambria" w:hAnsi="Cambria" w:cs="Arial"/>
                <w:bCs/>
              </w:rPr>
              <w:t xml:space="preserve"> </w:t>
            </w:r>
            <w:r w:rsidRPr="00F8551C">
              <w:rPr>
                <w:rStyle w:val="hps"/>
                <w:rFonts w:ascii="Cambria" w:hAnsi="Cambria" w:cs="Arial"/>
                <w:bCs/>
              </w:rPr>
              <w:t>provádění</w:t>
            </w:r>
            <w:r w:rsidRPr="00F8551C">
              <w:rPr>
                <w:rFonts w:ascii="Cambria" w:hAnsi="Cambria" w:cs="Arial"/>
                <w:bCs/>
              </w:rPr>
              <w:t xml:space="preserve"> </w:t>
            </w:r>
            <w:r w:rsidRPr="00F8551C">
              <w:rPr>
                <w:rStyle w:val="hps"/>
                <w:rFonts w:ascii="Cambria" w:hAnsi="Cambria" w:cs="Arial"/>
                <w:bCs/>
              </w:rPr>
              <w:t>směrnic EIA/SEA</w:t>
            </w:r>
            <w:r w:rsidRPr="00F8551C">
              <w:rPr>
                <w:rFonts w:ascii="Cambria" w:hAnsi="Cambria" w:cs="Arial"/>
                <w:bCs/>
              </w:rPr>
              <w:t xml:space="preserve"> </w:t>
            </w:r>
            <w:r w:rsidRPr="00F8551C">
              <w:rPr>
                <w:rStyle w:val="hps"/>
                <w:rFonts w:ascii="Cambria" w:hAnsi="Cambria" w:cs="Arial"/>
                <w:bCs/>
              </w:rPr>
              <w:t>pro provádění</w:t>
            </w:r>
            <w:r w:rsidRPr="00F8551C">
              <w:rPr>
                <w:rFonts w:ascii="Cambria" w:hAnsi="Cambria" w:cs="Arial"/>
                <w:bCs/>
              </w:rPr>
              <w:t xml:space="preserve"> </w:t>
            </w:r>
            <w:r w:rsidRPr="00F8551C">
              <w:rPr>
                <w:rStyle w:val="hps"/>
                <w:rFonts w:ascii="Cambria" w:hAnsi="Cambria" w:cs="Arial"/>
                <w:bCs/>
              </w:rPr>
              <w:t>ESI</w:t>
            </w:r>
            <w:r w:rsidRPr="00F8551C">
              <w:rPr>
                <w:rFonts w:ascii="Cambria" w:hAnsi="Cambria" w:cs="Arial"/>
                <w:bCs/>
              </w:rPr>
              <w:t xml:space="preserve"> </w:t>
            </w:r>
            <w:r w:rsidRPr="00F8551C">
              <w:rPr>
                <w:rStyle w:val="hps"/>
                <w:rFonts w:ascii="Cambria" w:hAnsi="Cambria" w:cs="Arial"/>
                <w:bCs/>
              </w:rPr>
              <w:t>fondů</w:t>
            </w:r>
            <w:r w:rsidRPr="00F8551C">
              <w:rPr>
                <w:rFonts w:ascii="Cambria" w:hAnsi="Cambria" w:cs="Arial"/>
                <w:bCs/>
              </w:rPr>
              <w:t xml:space="preserve"> </w:t>
            </w:r>
            <w:r w:rsidRPr="00F8551C">
              <w:rPr>
                <w:rStyle w:val="hps"/>
                <w:rFonts w:ascii="Cambria" w:hAnsi="Cambria" w:cs="Arial"/>
                <w:bCs/>
              </w:rPr>
              <w:t>na všech</w:t>
            </w:r>
            <w:r w:rsidRPr="00F8551C">
              <w:rPr>
                <w:rFonts w:ascii="Cambria" w:hAnsi="Cambria" w:cs="Arial"/>
                <w:bCs/>
              </w:rPr>
              <w:t xml:space="preserve"> </w:t>
            </w:r>
            <w:r w:rsidRPr="00F8551C">
              <w:rPr>
                <w:rStyle w:val="hps"/>
                <w:rFonts w:ascii="Cambria" w:hAnsi="Cambria" w:cs="Arial"/>
                <w:bCs/>
              </w:rPr>
              <w:t>příslušných úrovních (např. vytvoření sítí všech zaměstnanců příslušných vnitrostátních/regionálních orgánů podílejících se na implementaci směrnic EIA/SEA za účelem výměny zkušeností a zajištění souladu při implementaci pravidel, webových stránek, informačních bulletinů, atd</w:t>
            </w:r>
            <w:r w:rsidRPr="00F8551C">
              <w:rPr>
                <w:rFonts w:ascii="Cambria" w:hAnsi="Cambria"/>
              </w:rPr>
              <w:t>.)</w:t>
            </w:r>
          </w:p>
          <w:p w:rsidR="00235340" w:rsidRPr="00F8551C" w:rsidRDefault="00235340" w:rsidP="006E6B3F">
            <w:pPr>
              <w:spacing w:before="60" w:after="60"/>
              <w:rPr>
                <w:rFonts w:ascii="Cambria" w:hAnsi="Cambria"/>
                <w:b/>
                <w:bCs/>
              </w:rPr>
            </w:pPr>
          </w:p>
        </w:tc>
        <w:tc>
          <w:tcPr>
            <w:tcW w:w="1111" w:type="dxa"/>
            <w:vAlign w:val="center"/>
          </w:tcPr>
          <w:p w:rsidR="00235340" w:rsidRPr="00F8551C" w:rsidRDefault="00235340" w:rsidP="006E6B3F">
            <w:pPr>
              <w:keepNext/>
              <w:widowControl w:val="0"/>
              <w:spacing w:before="60" w:after="60"/>
              <w:jc w:val="center"/>
              <w:rPr>
                <w:rFonts w:ascii="Cambria" w:hAnsi="Cambria"/>
                <w:color w:val="000000"/>
                <w:lang w:val="en-GB"/>
              </w:rPr>
            </w:pPr>
            <w:r w:rsidRPr="00F8551C">
              <w:rPr>
                <w:rFonts w:ascii="Cambria" w:hAnsi="Cambria"/>
                <w:color w:val="000000"/>
                <w:lang w:val="en-GB"/>
              </w:rPr>
              <w:lastRenderedPageBreak/>
              <w:t>ANO</w:t>
            </w:r>
          </w:p>
        </w:tc>
        <w:tc>
          <w:tcPr>
            <w:tcW w:w="5000" w:type="dxa"/>
            <w:vAlign w:val="center"/>
          </w:tcPr>
          <w:p w:rsidR="00235340" w:rsidRPr="00F8551C" w:rsidRDefault="00235340" w:rsidP="00405449">
            <w:pPr>
              <w:keepNext/>
              <w:widowControl w:val="0"/>
              <w:spacing w:before="60" w:after="60"/>
              <w:jc w:val="both"/>
              <w:rPr>
                <w:rFonts w:ascii="Cambria" w:hAnsi="Cambria"/>
              </w:rPr>
            </w:pPr>
            <w:r w:rsidRPr="00F8551C">
              <w:rPr>
                <w:rFonts w:ascii="Cambria" w:hAnsi="Cambria"/>
              </w:rPr>
              <w:t xml:space="preserve">1) </w:t>
            </w:r>
            <w:r w:rsidRPr="00F8551C">
              <w:rPr>
                <w:rFonts w:ascii="Cambria" w:hAnsi="Cambria"/>
                <w:u w:val="single"/>
              </w:rPr>
              <w:t>Působnost MŽP</w:t>
            </w:r>
            <w:r w:rsidRPr="00F8551C">
              <w:rPr>
                <w:rFonts w:ascii="Cambria" w:hAnsi="Cambria"/>
              </w:rPr>
              <w:t>: MŽP je ústředním správním úřadem v oblasti posuzování vlivů na životní prostředí dle § 21 písm. a) a vykonává vrchní státní dozor v oblasti posuzování vlivů na životní prostředí dle § 21 písm. b) zákona č. 100/2001 Sb., o posuzování vlivů na životní prostředí, ve znění pozdějších předpisů. Na základě této skutečnosti MŽP metodicky vede všechny pracovníky provádějící směrnice EIA a SEA. MŽP koná pro pracovníky EIA a SEA pravidelné porady. Dále v součinnosti s MMR-NOK realizuje školení pro pracovníky řídících orgánů jednotlivých ministerstev.</w:t>
            </w:r>
          </w:p>
          <w:p w:rsidR="00235340" w:rsidRPr="00F8551C" w:rsidRDefault="00235340" w:rsidP="00405449">
            <w:pPr>
              <w:keepNext/>
              <w:widowControl w:val="0"/>
              <w:spacing w:before="60" w:after="60"/>
              <w:jc w:val="both"/>
              <w:rPr>
                <w:rFonts w:ascii="Cambria" w:hAnsi="Cambria"/>
              </w:rPr>
            </w:pPr>
            <w:r w:rsidRPr="00F8551C">
              <w:rPr>
                <w:rFonts w:ascii="Cambria" w:hAnsi="Cambria"/>
              </w:rPr>
              <w:t xml:space="preserve">Všichni pracovníci provádějící směrnice EIA a SEA jsou kvalifikováni rovněž k provádění poradenství v oblasti EIA a SEA. Krajští úředníci vykonávající činnost příslušného úřadu ve smyslu § 22 písm. b) zákona č. 100/2001 Sb., o posuzování vlivů na životní prostředí, ve znění pozdějších předpisů, musí dle §21 zákona č. 312/2002 Sb., o úřednících územních samosprávných celků, ve znění pozdějších předpisů, prokázat zvláštní odbornou způsobilost v oblasti posuzování vlivů na životní prostředí. Zvláštní odborná způsobilost se ověřuje zkouškou a prokazuje osvědčením. Pracovníci MŽP absolvují vstupní vzdělávání úvodní a vstupní vzdělávání následné dle Usnesení Vlády ČR ze dne 30. listopadu 2005 č. 1542. Dále jsou zaměstnanci MŽP průběžně vzděláváni po odborné stránce.  </w:t>
            </w:r>
          </w:p>
          <w:p w:rsidR="00235340" w:rsidRPr="00F8551C" w:rsidRDefault="00235340" w:rsidP="00405449">
            <w:pPr>
              <w:pStyle w:val="DAVA"/>
              <w:jc w:val="both"/>
              <w:rPr>
                <w:rFonts w:ascii="Cambria" w:hAnsi="Cambria"/>
                <w:bCs/>
                <w:color w:val="000000"/>
                <w:sz w:val="20"/>
                <w:lang w:val="cs-CZ"/>
              </w:rPr>
            </w:pPr>
            <w:r w:rsidRPr="00F8551C">
              <w:rPr>
                <w:rFonts w:ascii="Cambria" w:hAnsi="Cambria"/>
                <w:bCs/>
                <w:color w:val="000000"/>
                <w:sz w:val="20"/>
              </w:rPr>
              <w:t xml:space="preserve">Součástí vzdělávání pracovníků podílejících se na implementaci směrnice EIA jsou rovněž informace </w:t>
            </w:r>
            <w:r w:rsidRPr="00F8551C">
              <w:rPr>
                <w:rFonts w:ascii="Cambria" w:hAnsi="Cambria"/>
                <w:bCs/>
                <w:color w:val="000000"/>
                <w:sz w:val="20"/>
              </w:rPr>
              <w:lastRenderedPageBreak/>
              <w:t xml:space="preserve">o aktuálním stavu </w:t>
            </w:r>
            <w:proofErr w:type="spellStart"/>
            <w:r w:rsidRPr="00F8551C">
              <w:rPr>
                <w:rFonts w:ascii="Cambria" w:hAnsi="Cambria"/>
                <w:bCs/>
                <w:color w:val="000000"/>
                <w:sz w:val="20"/>
              </w:rPr>
              <w:t>infringementového</w:t>
            </w:r>
            <w:proofErr w:type="spellEnd"/>
            <w:r w:rsidRPr="00F8551C">
              <w:rPr>
                <w:rFonts w:ascii="Cambria" w:hAnsi="Cambria"/>
                <w:bCs/>
                <w:color w:val="000000"/>
                <w:sz w:val="20"/>
              </w:rPr>
              <w:t xml:space="preserve"> řízení a nové právní </w:t>
            </w:r>
            <w:r w:rsidR="00DC08CE" w:rsidRPr="00F8551C">
              <w:rPr>
                <w:rFonts w:ascii="Cambria" w:hAnsi="Cambria"/>
                <w:bCs/>
                <w:color w:val="000000"/>
                <w:sz w:val="20"/>
                <w:lang w:val="cs-CZ"/>
              </w:rPr>
              <w:t xml:space="preserve">úpravě </w:t>
            </w:r>
            <w:r w:rsidRPr="00F8551C">
              <w:rPr>
                <w:rFonts w:ascii="Cambria" w:hAnsi="Cambria"/>
                <w:bCs/>
                <w:color w:val="000000"/>
                <w:sz w:val="20"/>
              </w:rPr>
              <w:t xml:space="preserve">v oblasti EIA, a to včetně konkrétních aspektů </w:t>
            </w:r>
            <w:r w:rsidR="00DC08CE" w:rsidRPr="00F8551C">
              <w:rPr>
                <w:rFonts w:ascii="Cambria" w:hAnsi="Cambria"/>
                <w:bCs/>
                <w:color w:val="000000"/>
                <w:sz w:val="20"/>
                <w:lang w:val="cs-CZ"/>
              </w:rPr>
              <w:t xml:space="preserve"> </w:t>
            </w:r>
            <w:r w:rsidR="00DC08CE" w:rsidRPr="00F8551C">
              <w:rPr>
                <w:rFonts w:ascii="Cambria" w:hAnsi="Cambria"/>
                <w:bCs/>
                <w:color w:val="000000"/>
                <w:sz w:val="20"/>
              </w:rPr>
              <w:t>přijaté novely (zákon č. 39/2015 Sb.)</w:t>
            </w:r>
            <w:r w:rsidR="00DC08CE" w:rsidRPr="00F8551C">
              <w:rPr>
                <w:rFonts w:ascii="Cambria" w:hAnsi="Cambria"/>
                <w:bCs/>
                <w:color w:val="000000"/>
                <w:sz w:val="20"/>
                <w:lang w:val="cs-CZ"/>
              </w:rPr>
              <w:t xml:space="preserve"> </w:t>
            </w:r>
            <w:r w:rsidRPr="00F8551C">
              <w:rPr>
                <w:rFonts w:ascii="Cambria" w:hAnsi="Cambria"/>
                <w:bCs/>
                <w:color w:val="000000"/>
                <w:sz w:val="20"/>
              </w:rPr>
              <w:t xml:space="preserve">a jejich uplatňování v praxi. </w:t>
            </w:r>
            <w:r w:rsidR="00DC08CE" w:rsidRPr="00F8551C">
              <w:rPr>
                <w:rFonts w:ascii="Cambria" w:hAnsi="Cambria"/>
                <w:bCs/>
                <w:color w:val="000000"/>
                <w:sz w:val="20"/>
              </w:rPr>
              <w:t xml:space="preserve">MŽP jakožto ústřední správní úřad v oblasti posuzování vlivů na životní prostředí v rámci metodického vedení všech pracovníků podílejících se na implementaci směrnice EIA průběžně realizuje jak školení pro své pracovníky, tak porady se zástupci krajských úřadů, jež zajišťují posuzování zákonem stanovených záměrů, za účelem bezchybné a uniformní aplikace nových ustanovení zákona č. 100/2001 Sb., </w:t>
            </w:r>
            <w:r w:rsidR="00DC08CE" w:rsidRPr="00F8551C">
              <w:rPr>
                <w:rFonts w:ascii="Cambria" w:hAnsi="Cambria"/>
                <w:sz w:val="20"/>
              </w:rPr>
              <w:t xml:space="preserve">o posuzování vlivů na životní prostředí. </w:t>
            </w:r>
          </w:p>
          <w:p w:rsidR="00235340" w:rsidRPr="00F8551C" w:rsidRDefault="00235340" w:rsidP="00405449">
            <w:pPr>
              <w:keepNext/>
              <w:widowControl w:val="0"/>
              <w:spacing w:before="60" w:after="60"/>
              <w:jc w:val="both"/>
              <w:rPr>
                <w:rFonts w:ascii="Cambria" w:hAnsi="Cambria"/>
              </w:rPr>
            </w:pPr>
            <w:r w:rsidRPr="00F8551C">
              <w:rPr>
                <w:rFonts w:ascii="Cambria" w:hAnsi="Cambria"/>
              </w:rPr>
              <w:t>§21 a 22 zákona č. 100/2001 Sb., o posuzování vlivů na životní prostředí</w:t>
            </w:r>
          </w:p>
          <w:p w:rsidR="00235340" w:rsidRPr="00F8551C" w:rsidRDefault="00235340" w:rsidP="00405449">
            <w:pPr>
              <w:keepNext/>
              <w:widowControl w:val="0"/>
              <w:spacing w:before="60" w:after="60"/>
              <w:jc w:val="both"/>
              <w:rPr>
                <w:rFonts w:ascii="Cambria" w:hAnsi="Cambria"/>
              </w:rPr>
            </w:pPr>
            <w:r w:rsidRPr="00F8551C">
              <w:rPr>
                <w:rFonts w:ascii="Cambria" w:hAnsi="Cambria"/>
              </w:rPr>
              <w:t>§21 zákona č. 312/2002 Sb., o úřednících územních samosprávných celků</w:t>
            </w:r>
          </w:p>
          <w:p w:rsidR="00235340" w:rsidRPr="00F8551C" w:rsidRDefault="00235340" w:rsidP="00405449">
            <w:pPr>
              <w:keepNext/>
              <w:widowControl w:val="0"/>
              <w:spacing w:before="60" w:after="60"/>
              <w:jc w:val="both"/>
              <w:rPr>
                <w:rFonts w:ascii="Cambria" w:hAnsi="Cambria"/>
              </w:rPr>
            </w:pPr>
            <w:r w:rsidRPr="00F8551C">
              <w:rPr>
                <w:rFonts w:ascii="Cambria" w:hAnsi="Cambria"/>
              </w:rPr>
              <w:t>Usnesení Vlády ČR ze dne 30. listopadu 2005 č. 1542</w:t>
            </w:r>
          </w:p>
          <w:p w:rsidR="00235340" w:rsidRPr="00F8551C" w:rsidRDefault="00235340" w:rsidP="00405449">
            <w:pPr>
              <w:keepNext/>
              <w:widowControl w:val="0"/>
              <w:spacing w:before="60" w:after="60"/>
              <w:jc w:val="both"/>
              <w:rPr>
                <w:rFonts w:ascii="Cambria" w:hAnsi="Cambria"/>
              </w:rPr>
            </w:pPr>
            <w:r w:rsidRPr="00F8551C">
              <w:rPr>
                <w:rFonts w:ascii="Cambria" w:hAnsi="Cambria"/>
              </w:rPr>
              <w:t>Zákon č. 111/2009 Sb., o základních registrech</w:t>
            </w:r>
          </w:p>
          <w:p w:rsidR="00235340" w:rsidRPr="00F8551C" w:rsidRDefault="00235340" w:rsidP="00405449">
            <w:pPr>
              <w:pStyle w:val="DAVA"/>
              <w:spacing w:before="80" w:after="80"/>
              <w:jc w:val="both"/>
              <w:rPr>
                <w:rFonts w:ascii="Cambria" w:hAnsi="Cambria"/>
                <w:bCs/>
                <w:color w:val="000000"/>
                <w:sz w:val="20"/>
              </w:rPr>
            </w:pPr>
            <w:r w:rsidRPr="00F8551C">
              <w:rPr>
                <w:rFonts w:ascii="Cambria" w:hAnsi="Cambria"/>
                <w:bCs/>
                <w:color w:val="000000"/>
                <w:sz w:val="20"/>
              </w:rPr>
              <w:t xml:space="preserve">2) </w:t>
            </w:r>
            <w:r w:rsidRPr="00F8551C">
              <w:rPr>
                <w:rFonts w:ascii="Cambria" w:hAnsi="Cambria"/>
                <w:bCs/>
                <w:color w:val="000000"/>
                <w:sz w:val="20"/>
                <w:u w:val="single"/>
              </w:rPr>
              <w:t>Působnost MMR</w:t>
            </w:r>
            <w:r w:rsidRPr="00F8551C">
              <w:rPr>
                <w:rFonts w:ascii="Cambria" w:hAnsi="Cambria"/>
                <w:bCs/>
                <w:color w:val="000000"/>
                <w:sz w:val="20"/>
              </w:rPr>
              <w:t>: MMR-NOK zajišťuje na horizontální úrovni proškolení zaměstnanců implementujících fondy EU v rámci Systému vzdělávání, MŽP zajišťuje obsahovou náplň vzdělávání a lektorské zajištění.</w:t>
            </w:r>
          </w:p>
          <w:p w:rsidR="00235340" w:rsidRPr="00F8551C" w:rsidRDefault="00235340" w:rsidP="00405449">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 xml:space="preserve">Oblast vzdělávání je součástí Metodického pokynu k rozvoji lidských zdrojů v programovém období 2014-2020 a v programovém období 2007-2013 </w:t>
            </w:r>
            <w:r w:rsidRPr="00F8551C">
              <w:rPr>
                <w:rFonts w:ascii="Cambria" w:hAnsi="Cambria"/>
                <w:sz w:val="18"/>
                <w:szCs w:val="18"/>
                <w:lang w:val="cs-CZ" w:eastAsia="cs-CZ"/>
              </w:rPr>
              <w:t>(UV ČR ze dne 16. června 2014 č. 444)</w:t>
            </w:r>
            <w:r w:rsidRPr="00F8551C">
              <w:rPr>
                <w:rFonts w:ascii="Cambria" w:hAnsi="Cambria"/>
                <w:bCs/>
                <w:color w:val="000000"/>
                <w:sz w:val="20"/>
                <w:lang w:val="cs-CZ" w:eastAsia="cs-CZ"/>
              </w:rPr>
              <w:t xml:space="preserve">. </w:t>
            </w:r>
          </w:p>
          <w:p w:rsidR="00235340" w:rsidRPr="00F8551C" w:rsidRDefault="00235340" w:rsidP="00405449">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 xml:space="preserve">Obecným cílem Metodického pokynu je nastavení jednotných požadavků na zajištění kvalitní administrativní kapacity podílející se na realizaci cílů </w:t>
            </w:r>
            <w:proofErr w:type="spellStart"/>
            <w:r w:rsidRPr="00F8551C">
              <w:rPr>
                <w:rFonts w:ascii="Cambria" w:hAnsi="Cambria"/>
                <w:bCs/>
                <w:color w:val="000000"/>
                <w:sz w:val="20"/>
                <w:lang w:val="cs-CZ" w:eastAsia="cs-CZ"/>
              </w:rPr>
              <w:t>DoP</w:t>
            </w:r>
            <w:proofErr w:type="spellEnd"/>
            <w:r w:rsidRPr="00F8551C">
              <w:rPr>
                <w:rFonts w:ascii="Cambria" w:hAnsi="Cambria"/>
                <w:bCs/>
                <w:color w:val="000000"/>
                <w:sz w:val="20"/>
                <w:lang w:val="cs-CZ" w:eastAsia="cs-CZ"/>
              </w:rPr>
              <w:t xml:space="preserve"> a jednotlivých činností při implementaci programů a jedním ze specifických cílů Metodického pokynu je vytvoření systému vzdělávání zaměstnanců, kteří se podílejí na implementaci fondů EU tak, aby odpovídal jejich potřebám na pracovních pozicích, popsaných v řídicích dokumentech programů, řízení a koordinace </w:t>
            </w:r>
            <w:proofErr w:type="spellStart"/>
            <w:r w:rsidRPr="00F8551C">
              <w:rPr>
                <w:rFonts w:ascii="Cambria" w:hAnsi="Cambria"/>
                <w:bCs/>
                <w:color w:val="000000"/>
                <w:sz w:val="20"/>
                <w:lang w:val="cs-CZ" w:eastAsia="cs-CZ"/>
              </w:rPr>
              <w:t>DoP</w:t>
            </w:r>
            <w:proofErr w:type="spellEnd"/>
            <w:r w:rsidRPr="00F8551C">
              <w:rPr>
                <w:rFonts w:ascii="Cambria" w:hAnsi="Cambria"/>
                <w:bCs/>
                <w:color w:val="000000"/>
                <w:sz w:val="20"/>
                <w:lang w:val="cs-CZ" w:eastAsia="cs-CZ"/>
              </w:rPr>
              <w:t xml:space="preserve">, a zajistil podmínky pro prosazování principu transparentnosti a protikorupčního </w:t>
            </w:r>
            <w:r w:rsidRPr="00F8551C">
              <w:rPr>
                <w:rFonts w:ascii="Cambria" w:hAnsi="Cambria"/>
                <w:bCs/>
                <w:color w:val="000000"/>
                <w:sz w:val="20"/>
                <w:lang w:val="cs-CZ" w:eastAsia="cs-CZ"/>
              </w:rPr>
              <w:lastRenderedPageBreak/>
              <w:t xml:space="preserve">jednání. Vzdělávání zajišťuje podmínky pro stabilizaci a motivaci zaměstnanců implementační struktury v návaznosti na potřeby jejich odborného růstu a zvyšování znalostí a dovedností. </w:t>
            </w:r>
          </w:p>
          <w:p w:rsidR="00235340" w:rsidRPr="00F8551C" w:rsidRDefault="00235340" w:rsidP="00405449">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 xml:space="preserve">Nabídka vzdělávacích aktivit se odvíjí od cílů jednotlivých programů a individuálních vzdělávacích plánů vytvářených při hodnocení zaměstnanců. </w:t>
            </w:r>
          </w:p>
          <w:p w:rsidR="00235340" w:rsidRPr="00F8551C" w:rsidRDefault="00235340" w:rsidP="00405449">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 xml:space="preserve">Termíny vzdělávacích akcí jsou zveřejněny na webu </w:t>
            </w:r>
            <w:r w:rsidRPr="00F8551C">
              <w:rPr>
                <w:rFonts w:ascii="Cambria" w:hAnsi="Cambria"/>
                <w:bCs/>
                <w:color w:val="000000"/>
                <w:sz w:val="20"/>
              </w:rPr>
              <w:t>www.vzdelavaninsrr.cz</w:t>
            </w:r>
            <w:r w:rsidRPr="00F8551C">
              <w:rPr>
                <w:rFonts w:ascii="Cambria" w:hAnsi="Cambria"/>
                <w:bCs/>
                <w:color w:val="000000"/>
                <w:sz w:val="20"/>
                <w:lang w:val="cs-CZ"/>
              </w:rPr>
              <w:t>.</w:t>
            </w:r>
          </w:p>
          <w:p w:rsidR="00235340" w:rsidRPr="00F8551C" w:rsidRDefault="00235340" w:rsidP="00405449">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Vzdělávací akce jsou průběžně vyhodnocovány na základě zpětné vazby účastníků získávané prostřednictvím hodnotících dotazníků (s cílem optimalizovat efektivitu). Prezentace ze vzdělávacích akcí jsou účastníkům dále k dispozici v e-knihovně</w:t>
            </w:r>
          </w:p>
          <w:p w:rsidR="00235340" w:rsidRPr="00F8551C" w:rsidRDefault="00235340" w:rsidP="00405449">
            <w:pPr>
              <w:pStyle w:val="Prosttext"/>
              <w:jc w:val="both"/>
              <w:rPr>
                <w:rFonts w:ascii="Cambria" w:hAnsi="Cambria"/>
                <w:bCs/>
                <w:color w:val="000000"/>
                <w:sz w:val="20"/>
                <w:lang w:val="cs-CZ" w:eastAsia="cs-CZ"/>
              </w:rPr>
            </w:pPr>
            <w:r w:rsidRPr="00F8551C">
              <w:rPr>
                <w:rFonts w:ascii="Cambria" w:hAnsi="Cambria"/>
                <w:bCs/>
                <w:color w:val="000000"/>
                <w:sz w:val="20"/>
                <w:lang w:val="cs-CZ" w:eastAsia="cs-CZ"/>
              </w:rPr>
              <w:t>na </w:t>
            </w:r>
            <w:r w:rsidRPr="00F8551C" w:rsidDel="00021FB3">
              <w:rPr>
                <w:rFonts w:ascii="Cambria" w:hAnsi="Cambria"/>
                <w:bCs/>
                <w:color w:val="000000"/>
                <w:sz w:val="20"/>
                <w:lang w:val="cs-CZ" w:eastAsia="cs-CZ"/>
              </w:rPr>
              <w:t xml:space="preserve"> </w:t>
            </w:r>
            <w:hyperlink r:id="rId26" w:history="1">
              <w:r w:rsidRPr="00F8551C">
                <w:rPr>
                  <w:rFonts w:ascii="Cambria" w:hAnsi="Cambria"/>
                  <w:bCs/>
                  <w:color w:val="000000"/>
                  <w:sz w:val="20"/>
                </w:rPr>
                <w:t>http://www.vzdelavaninsrr.cz/e-knihovna/</w:t>
              </w:r>
            </w:hyperlink>
          </w:p>
          <w:p w:rsidR="00235340" w:rsidRPr="00F8551C" w:rsidRDefault="00235340" w:rsidP="00405449">
            <w:pPr>
              <w:pStyle w:val="DAVA"/>
              <w:jc w:val="both"/>
              <w:rPr>
                <w:rFonts w:ascii="Cambria" w:hAnsi="Cambria"/>
                <w:bCs/>
                <w:color w:val="000000"/>
                <w:sz w:val="20"/>
              </w:rPr>
            </w:pPr>
            <w:r w:rsidRPr="00F8551C">
              <w:rPr>
                <w:rFonts w:ascii="Cambria" w:hAnsi="Cambria"/>
                <w:sz w:val="20"/>
              </w:rPr>
              <w:t xml:space="preserve">Realizace Systému vzdělávání probíhá na základě spolupráce MMR-NOK se zástupci (koordinátory vzdělávání) jednotlivých subjektů implementace, kteří 2x ročně zasílají MMR-NOK své požadavky na zajištění vzdělávacích akcí v rámci Systému vzdělávání. </w:t>
            </w:r>
            <w:r w:rsidRPr="00F8551C">
              <w:rPr>
                <w:rFonts w:ascii="Cambria" w:hAnsi="Cambria"/>
                <w:bCs/>
                <w:color w:val="000000"/>
                <w:sz w:val="20"/>
                <w:szCs w:val="22"/>
              </w:rPr>
              <w:t>Veškeré záležitosti Systému vzdělávání pro programové období 2014-2020 budou projednávány na Pracovní skupině Administrativní kapacita (pro programové období 2007-2013 to byla PS Vzdělávání pro NSRR)</w:t>
            </w:r>
            <w:r w:rsidRPr="00F8551C">
              <w:rPr>
                <w:rFonts w:ascii="Cambria" w:hAnsi="Cambria"/>
                <w:sz w:val="20"/>
              </w:rPr>
              <w:t>.</w:t>
            </w:r>
          </w:p>
        </w:tc>
      </w:tr>
      <w:tr w:rsidR="00235340" w:rsidRPr="00F8551C" w:rsidTr="006E6B3F">
        <w:trPr>
          <w:trHeight w:val="2109"/>
        </w:trPr>
        <w:tc>
          <w:tcPr>
            <w:tcW w:w="8107" w:type="dxa"/>
            <w:vMerge/>
            <w:vAlign w:val="center"/>
          </w:tcPr>
          <w:p w:rsidR="00235340" w:rsidRPr="00F8551C" w:rsidRDefault="00235340" w:rsidP="006E6B3F">
            <w:pPr>
              <w:keepNext/>
              <w:widowControl w:val="0"/>
              <w:tabs>
                <w:tab w:val="left" w:pos="365"/>
              </w:tabs>
              <w:spacing w:before="60" w:after="60"/>
              <w:rPr>
                <w:rFonts w:ascii="Cambria" w:hAnsi="Cambria"/>
                <w:i/>
                <w:iCs/>
              </w:rPr>
            </w:pPr>
          </w:p>
        </w:tc>
        <w:tc>
          <w:tcPr>
            <w:tcW w:w="1111" w:type="dxa"/>
            <w:vAlign w:val="center"/>
          </w:tcPr>
          <w:p w:rsidR="00235340" w:rsidRPr="00F8551C" w:rsidRDefault="00235340" w:rsidP="006E6B3F">
            <w:pPr>
              <w:keepNext/>
              <w:widowControl w:val="0"/>
              <w:spacing w:before="60" w:after="60"/>
              <w:jc w:val="center"/>
              <w:rPr>
                <w:rFonts w:ascii="Cambria" w:hAnsi="Cambria"/>
                <w:color w:val="000000"/>
                <w:lang w:val="en-GB"/>
              </w:rPr>
            </w:pPr>
            <w:r w:rsidRPr="00F8551C">
              <w:rPr>
                <w:rFonts w:ascii="Cambria" w:hAnsi="Cambria"/>
                <w:color w:val="000000"/>
                <w:lang w:val="en-GB"/>
              </w:rPr>
              <w:t>ANO</w:t>
            </w:r>
          </w:p>
        </w:tc>
        <w:tc>
          <w:tcPr>
            <w:tcW w:w="5000" w:type="dxa"/>
            <w:vAlign w:val="center"/>
          </w:tcPr>
          <w:p w:rsidR="00235340" w:rsidRPr="00F8551C" w:rsidRDefault="00235340" w:rsidP="00405449">
            <w:pPr>
              <w:pStyle w:val="DAVA"/>
              <w:jc w:val="both"/>
              <w:rPr>
                <w:rFonts w:ascii="Cambria" w:hAnsi="Cambria"/>
                <w:b/>
                <w:sz w:val="20"/>
              </w:rPr>
            </w:pPr>
            <w:r w:rsidRPr="00F8551C">
              <w:rPr>
                <w:rFonts w:ascii="Cambria" w:hAnsi="Cambria"/>
                <w:sz w:val="20"/>
              </w:rPr>
              <w:t xml:space="preserve">Informace z oblasti EIA a SEA jsou pro všechny pracovníky provádějící směrnice EIA a SEA a evropské fondy šířeny prostřednictvím informačního systému a vydáváním metodických pokynů. Krajští úředníci pravidelně využívají také možnosti individuální konzultace. Stejně tak MŽP kontaktuje pracovníky na krajských úřadech a konzultuje s nimi aktuální otázky v procesu EIA či SEA. </w:t>
            </w:r>
            <w:r w:rsidRPr="00F8551C">
              <w:rPr>
                <w:rFonts w:ascii="Cambria" w:hAnsi="Cambria"/>
                <w:b/>
                <w:sz w:val="20"/>
              </w:rPr>
              <w:t xml:space="preserve"> </w:t>
            </w:r>
          </w:p>
          <w:p w:rsidR="00235340" w:rsidRPr="00F8551C" w:rsidRDefault="00400236" w:rsidP="00405449">
            <w:pPr>
              <w:pStyle w:val="DAVA"/>
              <w:jc w:val="both"/>
              <w:rPr>
                <w:rFonts w:ascii="Cambria" w:hAnsi="Cambria"/>
                <w:sz w:val="20"/>
              </w:rPr>
            </w:pPr>
            <w:hyperlink r:id="rId27" w:history="1">
              <w:r w:rsidR="00235340" w:rsidRPr="00F8551C">
                <w:rPr>
                  <w:rFonts w:ascii="Cambria" w:hAnsi="Cambria"/>
                  <w:color w:val="0000FF"/>
                  <w:sz w:val="20"/>
                  <w:u w:val="single"/>
                </w:rPr>
                <w:t>http://www.mzp.cz/cz/posuzovani_vlivu_zivotni_prostredi</w:t>
              </w:r>
            </w:hyperlink>
            <w:r w:rsidR="00235340" w:rsidRPr="00F8551C">
              <w:rPr>
                <w:rFonts w:ascii="Cambria" w:hAnsi="Cambria"/>
                <w:sz w:val="20"/>
              </w:rPr>
              <w:t xml:space="preserve"> </w:t>
            </w:r>
          </w:p>
          <w:p w:rsidR="00235340" w:rsidRPr="00F8551C" w:rsidRDefault="00400236" w:rsidP="00405449">
            <w:pPr>
              <w:pStyle w:val="DAVA"/>
              <w:jc w:val="both"/>
              <w:rPr>
                <w:rFonts w:ascii="Cambria" w:hAnsi="Cambria"/>
                <w:b/>
                <w:sz w:val="20"/>
              </w:rPr>
            </w:pPr>
            <w:hyperlink r:id="rId28" w:history="1">
              <w:r w:rsidR="00235340" w:rsidRPr="00F8551C">
                <w:rPr>
                  <w:rFonts w:ascii="Cambria" w:hAnsi="Cambria"/>
                  <w:color w:val="0000FF"/>
                  <w:sz w:val="20"/>
                  <w:u w:val="single"/>
                </w:rPr>
                <w:t>http://portal.cenia.cz/eiasea/view/eia100_c</w:t>
              </w:r>
              <w:r w:rsidR="00235340" w:rsidRPr="00F8551C">
                <w:rPr>
                  <w:rFonts w:ascii="Cambria" w:hAnsi="Cambria"/>
                  <w:sz w:val="20"/>
                  <w:u w:val="single"/>
                </w:rPr>
                <w:t>r</w:t>
              </w:r>
            </w:hyperlink>
            <w:r w:rsidR="00235340" w:rsidRPr="00F8551C">
              <w:rPr>
                <w:rFonts w:ascii="Cambria" w:hAnsi="Cambria"/>
                <w:sz w:val="20"/>
              </w:rPr>
              <w:t xml:space="preserve"> (+ záložka legislativa, pokyny a sdělení atd.)</w:t>
            </w:r>
          </w:p>
          <w:p w:rsidR="00235340" w:rsidRPr="00F8551C" w:rsidRDefault="00400236" w:rsidP="00405449">
            <w:pPr>
              <w:pStyle w:val="DAVA"/>
              <w:jc w:val="both"/>
              <w:rPr>
                <w:rFonts w:ascii="Cambria" w:hAnsi="Cambria"/>
                <w:b/>
                <w:sz w:val="20"/>
              </w:rPr>
            </w:pPr>
            <w:hyperlink r:id="rId29" w:history="1">
              <w:r w:rsidR="00235340" w:rsidRPr="00F8551C">
                <w:rPr>
                  <w:rFonts w:ascii="Cambria" w:hAnsi="Cambria"/>
                  <w:color w:val="0000FF"/>
                  <w:sz w:val="20"/>
                  <w:u w:val="single"/>
                </w:rPr>
                <w:t>http://portal.cenia.cz/eiasea/view/SEA100_koncepce</w:t>
              </w:r>
            </w:hyperlink>
            <w:r w:rsidR="00235340" w:rsidRPr="00F8551C">
              <w:rPr>
                <w:rFonts w:ascii="Cambria" w:hAnsi="Cambria"/>
                <w:sz w:val="20"/>
              </w:rPr>
              <w:t xml:space="preserve"> </w:t>
            </w:r>
            <w:r w:rsidR="00235340" w:rsidRPr="00F8551C">
              <w:rPr>
                <w:rFonts w:ascii="Cambria" w:hAnsi="Cambria"/>
                <w:sz w:val="20"/>
              </w:rPr>
              <w:lastRenderedPageBreak/>
              <w:t>(+ záložka legislativa, pokyny a sdělení atd.)</w:t>
            </w:r>
          </w:p>
        </w:tc>
      </w:tr>
      <w:tr w:rsidR="00235340" w:rsidRPr="00F8551C" w:rsidTr="006E6B3F">
        <w:trPr>
          <w:trHeight w:val="1276"/>
        </w:trPr>
        <w:tc>
          <w:tcPr>
            <w:tcW w:w="8107" w:type="dxa"/>
            <w:vMerge w:val="restart"/>
          </w:tcPr>
          <w:p w:rsidR="00235340" w:rsidRPr="00F8551C" w:rsidRDefault="00235340" w:rsidP="006E6B3F">
            <w:pPr>
              <w:keepNext/>
              <w:widowControl w:val="0"/>
              <w:tabs>
                <w:tab w:val="left" w:pos="365"/>
              </w:tabs>
              <w:spacing w:before="60" w:after="60"/>
              <w:rPr>
                <w:rFonts w:ascii="Cambria" w:hAnsi="Cambria"/>
                <w:i/>
                <w:iCs/>
              </w:rPr>
            </w:pPr>
            <w:r w:rsidRPr="00F8551C">
              <w:rPr>
                <w:rFonts w:ascii="Cambria" w:hAnsi="Cambria"/>
                <w:i/>
                <w:iCs/>
              </w:rPr>
              <w:lastRenderedPageBreak/>
              <w:t>Opatření k zajištění dostatečné správní kapacity</w:t>
            </w: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E44916">
            <w:pPr>
              <w:keepNext/>
              <w:widowControl w:val="0"/>
              <w:numPr>
                <w:ilvl w:val="0"/>
                <w:numId w:val="12"/>
              </w:numPr>
              <w:overflowPunct/>
              <w:autoSpaceDE/>
              <w:autoSpaceDN/>
              <w:adjustRightInd/>
              <w:spacing w:before="60" w:after="60"/>
              <w:textAlignment w:val="auto"/>
              <w:rPr>
                <w:rFonts w:ascii="Cambria" w:hAnsi="Cambria"/>
              </w:rPr>
            </w:pPr>
            <w:r w:rsidRPr="00F8551C">
              <w:rPr>
                <w:rFonts w:ascii="Cambria" w:hAnsi="Cambria"/>
                <w:bCs/>
              </w:rPr>
              <w:t>Existence specializovaných orgánů s dostatečnou a kvalifikovanou administrativní kapacitou pro pracovníky provádějící ESI fondy a pro poskytování praktického a právního poradenství ohledně uplatňování směrnic EIA/SEA v programech.</w:t>
            </w:r>
            <w:r w:rsidRPr="00F8551C">
              <w:rPr>
                <w:rFonts w:ascii="Cambria" w:hAnsi="Cambria"/>
              </w:rPr>
              <w:t xml:space="preserve"> </w:t>
            </w: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6E6B3F">
            <w:pPr>
              <w:keepNext/>
              <w:widowControl w:val="0"/>
              <w:spacing w:before="60" w:after="60"/>
              <w:ind w:left="360"/>
              <w:rPr>
                <w:rFonts w:ascii="Cambria" w:hAnsi="Cambria"/>
              </w:rPr>
            </w:pPr>
          </w:p>
          <w:p w:rsidR="00235340" w:rsidRPr="00F8551C" w:rsidRDefault="00235340" w:rsidP="00E44916">
            <w:pPr>
              <w:keepNext/>
              <w:widowControl w:val="0"/>
              <w:numPr>
                <w:ilvl w:val="0"/>
                <w:numId w:val="12"/>
              </w:numPr>
              <w:tabs>
                <w:tab w:val="left" w:pos="142"/>
              </w:tabs>
              <w:overflowPunct/>
              <w:autoSpaceDE/>
              <w:autoSpaceDN/>
              <w:adjustRightInd/>
              <w:spacing w:before="60" w:after="60"/>
              <w:textAlignment w:val="auto"/>
              <w:rPr>
                <w:rFonts w:ascii="Cambria" w:hAnsi="Cambria"/>
                <w:b/>
                <w:bCs/>
              </w:rPr>
            </w:pPr>
            <w:r w:rsidRPr="00F8551C">
              <w:rPr>
                <w:rFonts w:ascii="Cambria" w:hAnsi="Cambria"/>
                <w:bCs/>
              </w:rPr>
              <w:t>Odpovídající technická podpora (např. směrnice, metodické pokyny, externí odborníci) pro orgány aplikující směrnice EIA/SEA v souvislosti s ESI fondy</w:t>
            </w:r>
            <w:r w:rsidRPr="00F8551C">
              <w:rPr>
                <w:rFonts w:ascii="Cambria" w:hAnsi="Cambria"/>
              </w:rPr>
              <w:t>.</w:t>
            </w:r>
          </w:p>
        </w:tc>
        <w:tc>
          <w:tcPr>
            <w:tcW w:w="1111" w:type="dxa"/>
            <w:vAlign w:val="center"/>
          </w:tcPr>
          <w:p w:rsidR="00235340" w:rsidRPr="00F8551C" w:rsidRDefault="00235340" w:rsidP="006E6B3F">
            <w:pPr>
              <w:keepNext/>
              <w:widowControl w:val="0"/>
              <w:spacing w:before="60" w:after="60"/>
              <w:jc w:val="center"/>
              <w:rPr>
                <w:rFonts w:ascii="Cambria" w:hAnsi="Cambria"/>
                <w:color w:val="000000"/>
                <w:lang w:val="en-GB"/>
              </w:rPr>
            </w:pPr>
            <w:r w:rsidRPr="00F8551C">
              <w:rPr>
                <w:rFonts w:ascii="Cambria" w:hAnsi="Cambria"/>
                <w:color w:val="000000"/>
                <w:lang w:val="en-GB"/>
              </w:rPr>
              <w:lastRenderedPageBreak/>
              <w:t>ANO</w:t>
            </w:r>
          </w:p>
        </w:tc>
        <w:tc>
          <w:tcPr>
            <w:tcW w:w="5000" w:type="dxa"/>
            <w:vAlign w:val="center"/>
          </w:tcPr>
          <w:p w:rsidR="00235340" w:rsidRPr="00F8551C" w:rsidRDefault="00235340" w:rsidP="00405449">
            <w:pPr>
              <w:pStyle w:val="DAVA"/>
              <w:jc w:val="both"/>
              <w:rPr>
                <w:rFonts w:ascii="Cambria" w:hAnsi="Cambria"/>
                <w:bCs/>
                <w:color w:val="000000"/>
                <w:sz w:val="20"/>
              </w:rPr>
            </w:pPr>
            <w:r w:rsidRPr="00F8551C">
              <w:rPr>
                <w:rFonts w:ascii="Cambria" w:hAnsi="Cambria"/>
                <w:bCs/>
                <w:color w:val="000000"/>
                <w:sz w:val="20"/>
              </w:rPr>
              <w:t xml:space="preserve">Všichni úředníci zajišťující provádění směrnice EIA a SEA mají složenou zkoušku odborné způsobilosti či prošli vstupním vzděláním úvodním a vstupním vzděláním následným, pracovníci implementující fondy EU jsou proškolování ve spolupráci s MMR-NOK. </w:t>
            </w:r>
          </w:p>
          <w:p w:rsidR="00235340" w:rsidRPr="00F8551C" w:rsidRDefault="00235340" w:rsidP="00405449">
            <w:pPr>
              <w:pStyle w:val="DAVA"/>
              <w:jc w:val="both"/>
              <w:rPr>
                <w:rFonts w:ascii="Cambria" w:hAnsi="Cambria"/>
                <w:bCs/>
                <w:color w:val="000000"/>
                <w:sz w:val="20"/>
              </w:rPr>
            </w:pPr>
            <w:r w:rsidRPr="00F8551C">
              <w:rPr>
                <w:rFonts w:ascii="Cambria" w:hAnsi="Cambria"/>
                <w:bCs/>
                <w:color w:val="000000"/>
                <w:sz w:val="20"/>
              </w:rPr>
              <w:t xml:space="preserve">Počet úředníků zajišťující provádění směrnice EIA a SEA na MŽP a krajských úřadech je vždy ustanoven na základě množství vykonávané agendy jednotlivými úřady tak, aby tato kapacita byla dostatečná. V souladu se zákonem č. 111/2009 Sb., o základních registrech, ve znění pozdějších předpisů, a dalšími souvisejícími právními předpisy vztahujícími se k problematice základních registrů byl zahájen proces zefektivnění veřejné správy, na základě kterého jsou nyní průběžně stanovovány dostatečné počty pracovníků pro výkon státní správy, tedy i počet úředníků zajišťující provádění směrnice EIA a SEA. </w:t>
            </w:r>
          </w:p>
          <w:p w:rsidR="00235340" w:rsidRPr="00F8551C" w:rsidRDefault="00235340" w:rsidP="00405449">
            <w:pPr>
              <w:pStyle w:val="DAVA"/>
              <w:jc w:val="both"/>
              <w:rPr>
                <w:rFonts w:ascii="Cambria" w:hAnsi="Cambria"/>
                <w:bCs/>
                <w:color w:val="000000"/>
                <w:sz w:val="20"/>
              </w:rPr>
            </w:pPr>
            <w:r w:rsidRPr="00F8551C">
              <w:rPr>
                <w:rFonts w:ascii="Cambria" w:hAnsi="Cambria"/>
                <w:sz w:val="20"/>
              </w:rPr>
              <w:t>Počet úředníků zajišťujících provádění směrnice EIA a SEA odpovídá aktuálním požadavkům na správní kapacitu. Při změně podmínek je počet úředníků upraven tak, aby byla dostatečná správní kapacita vždy zajištěna. V případě, že v souvislosti s </w:t>
            </w:r>
            <w:proofErr w:type="spellStart"/>
            <w:r w:rsidRPr="00F8551C">
              <w:rPr>
                <w:rFonts w:ascii="Cambria" w:hAnsi="Cambria"/>
                <w:sz w:val="20"/>
              </w:rPr>
              <w:t>infringementovým</w:t>
            </w:r>
            <w:proofErr w:type="spellEnd"/>
            <w:r w:rsidRPr="00F8551C">
              <w:rPr>
                <w:rFonts w:ascii="Cambria" w:hAnsi="Cambria"/>
                <w:sz w:val="20"/>
              </w:rPr>
              <w:t xml:space="preserve"> řízením a s přijetím nové právní úpravy posuzování vlivů na životní prostředí dojde ke zvýšení vykonávané agendy, bude správní kapacita odpovídajícím způsobem navýšena.</w:t>
            </w:r>
          </w:p>
          <w:p w:rsidR="00235340" w:rsidRPr="00F8551C" w:rsidRDefault="00235340" w:rsidP="00405449">
            <w:pPr>
              <w:pStyle w:val="DAVA"/>
              <w:jc w:val="both"/>
              <w:rPr>
                <w:rFonts w:ascii="Cambria" w:hAnsi="Cambria"/>
                <w:bCs/>
                <w:color w:val="000000"/>
                <w:sz w:val="20"/>
              </w:rPr>
            </w:pPr>
            <w:r w:rsidRPr="00F8551C">
              <w:rPr>
                <w:rFonts w:ascii="Cambria" w:hAnsi="Cambria"/>
                <w:bCs/>
                <w:color w:val="000000"/>
                <w:sz w:val="20"/>
              </w:rPr>
              <w:t>Zajištění dostatečné a kvalifikované administrativní správní kapacity je stěžejní v oblasti implementace směrnice EIA/SEA, kde je řídícím orgánem MŽP. U ostatních řídících orgánů je nutné zajistit v této oblasti informovanost, což je zajištěno vzděláváním pro pracovníky implementující fondy EU, viz výše.</w:t>
            </w:r>
          </w:p>
          <w:p w:rsidR="00235340" w:rsidRPr="00F8551C" w:rsidRDefault="00235340" w:rsidP="00405449">
            <w:pPr>
              <w:pStyle w:val="DAVA"/>
              <w:jc w:val="both"/>
              <w:rPr>
                <w:rFonts w:ascii="Cambria" w:hAnsi="Cambria"/>
                <w:sz w:val="20"/>
              </w:rPr>
            </w:pPr>
            <w:r w:rsidRPr="00F8551C">
              <w:rPr>
                <w:rFonts w:ascii="Cambria" w:hAnsi="Cambria"/>
                <w:sz w:val="20"/>
              </w:rPr>
              <w:t>§21 a 22 zákona č. 100/2001 Sb., o posuzování vlivů na životní prostředí</w:t>
            </w:r>
          </w:p>
          <w:p w:rsidR="00235340" w:rsidRPr="00F8551C" w:rsidRDefault="00235340" w:rsidP="00405449">
            <w:pPr>
              <w:pStyle w:val="DAVA"/>
              <w:jc w:val="both"/>
              <w:rPr>
                <w:rFonts w:ascii="Cambria" w:hAnsi="Cambria"/>
                <w:sz w:val="20"/>
              </w:rPr>
            </w:pPr>
            <w:r w:rsidRPr="00F8551C">
              <w:rPr>
                <w:rFonts w:ascii="Cambria" w:hAnsi="Cambria"/>
                <w:sz w:val="20"/>
              </w:rPr>
              <w:t>§21 zákona č. 312/2002 Sb., o úřednících územních samosprávných celků</w:t>
            </w:r>
          </w:p>
          <w:p w:rsidR="00235340" w:rsidRPr="00F8551C" w:rsidRDefault="00235340" w:rsidP="00405449">
            <w:pPr>
              <w:pStyle w:val="DAVA"/>
              <w:jc w:val="both"/>
              <w:rPr>
                <w:rFonts w:ascii="Cambria" w:hAnsi="Cambria"/>
                <w:b/>
                <w:bCs/>
                <w:color w:val="FF0000"/>
                <w:sz w:val="20"/>
              </w:rPr>
            </w:pPr>
            <w:r w:rsidRPr="00F8551C">
              <w:rPr>
                <w:rFonts w:ascii="Cambria" w:hAnsi="Cambria"/>
                <w:color w:val="000000"/>
                <w:sz w:val="20"/>
              </w:rPr>
              <w:t>Usnesení Vlády ČR ze dne 30. listopadu 2005 č. 1542</w:t>
            </w:r>
          </w:p>
          <w:p w:rsidR="00235340" w:rsidRPr="00F8551C" w:rsidRDefault="00235340" w:rsidP="00405449">
            <w:pPr>
              <w:pStyle w:val="DAVA"/>
              <w:jc w:val="both"/>
              <w:rPr>
                <w:rFonts w:ascii="Cambria" w:hAnsi="Cambria"/>
                <w:b/>
                <w:bCs/>
                <w:color w:val="FF0000"/>
                <w:sz w:val="20"/>
              </w:rPr>
            </w:pPr>
            <w:r w:rsidRPr="00F8551C">
              <w:rPr>
                <w:rFonts w:ascii="Cambria" w:hAnsi="Cambria"/>
                <w:sz w:val="20"/>
              </w:rPr>
              <w:lastRenderedPageBreak/>
              <w:t>Zákon č. 111/2009 Sb., o základních registrech</w:t>
            </w:r>
          </w:p>
        </w:tc>
      </w:tr>
      <w:tr w:rsidR="00235340" w:rsidRPr="00F8551C" w:rsidTr="006E6B3F">
        <w:trPr>
          <w:trHeight w:val="559"/>
        </w:trPr>
        <w:tc>
          <w:tcPr>
            <w:tcW w:w="8107" w:type="dxa"/>
            <w:vMerge/>
            <w:vAlign w:val="center"/>
          </w:tcPr>
          <w:p w:rsidR="00235340" w:rsidRPr="00F8551C" w:rsidRDefault="00235340" w:rsidP="006E6B3F">
            <w:pPr>
              <w:keepNext/>
              <w:widowControl w:val="0"/>
              <w:tabs>
                <w:tab w:val="left" w:pos="365"/>
              </w:tabs>
              <w:spacing w:before="60" w:after="60"/>
              <w:rPr>
                <w:rFonts w:ascii="Cambria" w:hAnsi="Cambria"/>
                <w:i/>
                <w:iCs/>
                <w:lang w:val="pl-PL"/>
              </w:rPr>
            </w:pPr>
          </w:p>
        </w:tc>
        <w:tc>
          <w:tcPr>
            <w:tcW w:w="1111" w:type="dxa"/>
            <w:vAlign w:val="center"/>
          </w:tcPr>
          <w:p w:rsidR="00235340" w:rsidRPr="00F8551C" w:rsidRDefault="00235340" w:rsidP="006E6B3F">
            <w:pPr>
              <w:keepNext/>
              <w:widowControl w:val="0"/>
              <w:spacing w:before="60" w:after="60"/>
              <w:jc w:val="center"/>
              <w:rPr>
                <w:rFonts w:ascii="Cambria" w:hAnsi="Cambria"/>
                <w:color w:val="000000"/>
                <w:lang w:val="en-GB"/>
              </w:rPr>
            </w:pPr>
            <w:r w:rsidRPr="00F8551C">
              <w:rPr>
                <w:rFonts w:ascii="Cambria" w:hAnsi="Cambria"/>
                <w:color w:val="000000"/>
                <w:lang w:val="en-GB"/>
              </w:rPr>
              <w:t>ANO</w:t>
            </w:r>
          </w:p>
        </w:tc>
        <w:tc>
          <w:tcPr>
            <w:tcW w:w="5000" w:type="dxa"/>
            <w:vAlign w:val="center"/>
          </w:tcPr>
          <w:p w:rsidR="00235340" w:rsidRPr="00F8551C" w:rsidRDefault="00235340" w:rsidP="00405449">
            <w:pPr>
              <w:keepNext/>
              <w:widowControl w:val="0"/>
              <w:spacing w:before="60" w:after="60"/>
              <w:jc w:val="both"/>
              <w:rPr>
                <w:rFonts w:ascii="Cambria" w:hAnsi="Cambria"/>
              </w:rPr>
            </w:pPr>
            <w:r w:rsidRPr="00F8551C">
              <w:rPr>
                <w:rFonts w:ascii="Cambria" w:hAnsi="Cambria"/>
              </w:rPr>
              <w:t>Technická pomoc je pro všechny pracovníky provádějící směrnice EIA a SEA a fondy EU zajišťována prostřednictvím informačního systému, metodických pokynů a dále pomocí systému autorizovaných expertů, jejichž seznam je rovněž součástí informačního systému.</w:t>
            </w:r>
          </w:p>
          <w:p w:rsidR="00235340" w:rsidRPr="00F8551C" w:rsidRDefault="00400236" w:rsidP="00405449">
            <w:pPr>
              <w:keepNext/>
              <w:widowControl w:val="0"/>
              <w:spacing w:before="60" w:after="60"/>
              <w:jc w:val="both"/>
              <w:rPr>
                <w:rFonts w:ascii="Cambria" w:hAnsi="Cambria"/>
              </w:rPr>
            </w:pPr>
            <w:hyperlink r:id="rId30" w:history="1">
              <w:r w:rsidR="00235340" w:rsidRPr="00F8551C">
                <w:rPr>
                  <w:rStyle w:val="Hypertextovodkaz"/>
                  <w:rFonts w:ascii="Cambria" w:hAnsi="Cambria"/>
                </w:rPr>
                <w:t>http://www.mzp.cz/cz/posuzovani_vlivu_zivotni_prostredi</w:t>
              </w:r>
            </w:hyperlink>
            <w:r w:rsidR="00235340" w:rsidRPr="00F8551C">
              <w:rPr>
                <w:rFonts w:ascii="Cambria" w:hAnsi="Cambria"/>
              </w:rPr>
              <w:t xml:space="preserve"> </w:t>
            </w:r>
          </w:p>
          <w:p w:rsidR="00235340" w:rsidRPr="00F8551C" w:rsidRDefault="00400236" w:rsidP="00405449">
            <w:pPr>
              <w:keepNext/>
              <w:widowControl w:val="0"/>
              <w:spacing w:before="60" w:after="60"/>
              <w:jc w:val="both"/>
              <w:rPr>
                <w:rFonts w:ascii="Cambria" w:hAnsi="Cambria"/>
                <w:bCs/>
                <w:color w:val="000000"/>
              </w:rPr>
            </w:pPr>
            <w:hyperlink r:id="rId31" w:history="1">
              <w:r w:rsidR="00235340" w:rsidRPr="00F8551C">
                <w:rPr>
                  <w:rStyle w:val="Hypertextovodkaz"/>
                  <w:rFonts w:ascii="Cambria" w:hAnsi="Cambria"/>
                </w:rPr>
                <w:t>http://portal.cenia.cz/eiasea/view/eia100_cr</w:t>
              </w:r>
            </w:hyperlink>
            <w:r w:rsidR="00235340" w:rsidRPr="00F8551C">
              <w:rPr>
                <w:rFonts w:ascii="Cambria" w:hAnsi="Cambria"/>
              </w:rPr>
              <w:t xml:space="preserve"> (+ záložka legislativa, pokyny a sdělení atd.)</w:t>
            </w:r>
          </w:p>
          <w:p w:rsidR="00235340" w:rsidRPr="00F8551C" w:rsidRDefault="00400236" w:rsidP="00405449">
            <w:pPr>
              <w:keepNext/>
              <w:widowControl w:val="0"/>
              <w:spacing w:before="60" w:after="60"/>
              <w:jc w:val="both"/>
              <w:rPr>
                <w:rFonts w:ascii="Cambria" w:hAnsi="Cambria"/>
              </w:rPr>
            </w:pPr>
            <w:hyperlink r:id="rId32" w:history="1">
              <w:r w:rsidR="00235340" w:rsidRPr="00F8551C">
                <w:rPr>
                  <w:rStyle w:val="Hypertextovodkaz"/>
                  <w:rFonts w:ascii="Cambria" w:hAnsi="Cambria"/>
                </w:rPr>
                <w:t>http://portal.cenia.cz/eiasea/view/SEA100_koncepce</w:t>
              </w:r>
            </w:hyperlink>
            <w:r w:rsidR="00235340" w:rsidRPr="00F8551C">
              <w:rPr>
                <w:rFonts w:ascii="Cambria" w:hAnsi="Cambria"/>
              </w:rPr>
              <w:t xml:space="preserve"> (+ záložka legislativa, pokyny a sdělení atd.)</w:t>
            </w:r>
          </w:p>
          <w:p w:rsidR="00235340" w:rsidRPr="00F8551C" w:rsidRDefault="00400236" w:rsidP="00405449">
            <w:pPr>
              <w:keepNext/>
              <w:widowControl w:val="0"/>
              <w:spacing w:before="60" w:after="60"/>
              <w:jc w:val="both"/>
              <w:rPr>
                <w:rFonts w:ascii="Cambria" w:hAnsi="Cambria"/>
                <w:bCs/>
                <w:color w:val="000000"/>
              </w:rPr>
            </w:pPr>
            <w:hyperlink r:id="rId33" w:history="1">
              <w:r w:rsidR="00235340" w:rsidRPr="00F8551C">
                <w:rPr>
                  <w:rStyle w:val="Hypertextovodkaz"/>
                  <w:rFonts w:ascii="Cambria" w:hAnsi="Cambria"/>
                  <w:bCs/>
                </w:rPr>
                <w:t>http://portal.cenia.cz/eiasea/osoby/osoby</w:t>
              </w:r>
            </w:hyperlink>
            <w:r w:rsidR="00235340" w:rsidRPr="00F8551C">
              <w:rPr>
                <w:rFonts w:ascii="Cambria" w:hAnsi="Cambria"/>
                <w:bCs/>
                <w:color w:val="000000"/>
              </w:rPr>
              <w:t xml:space="preserve"> </w:t>
            </w:r>
          </w:p>
        </w:tc>
      </w:tr>
    </w:tbl>
    <w:p w:rsidR="00235340" w:rsidRPr="00F8551C" w:rsidRDefault="00235340" w:rsidP="00235340">
      <w:pPr>
        <w:rPr>
          <w:rFonts w:ascii="Cambria" w:hAnsi="Cambria"/>
          <w:i/>
          <w:iCs/>
        </w:rPr>
      </w:pPr>
    </w:p>
    <w:p w:rsidR="00235340" w:rsidRPr="00F8551C" w:rsidRDefault="00235340" w:rsidP="00235340">
      <w:pPr>
        <w:rPr>
          <w:rFonts w:ascii="Cambria" w:hAnsi="Cambria"/>
          <w:i/>
          <w:iCs/>
        </w:rPr>
      </w:pPr>
    </w:p>
    <w:p w:rsidR="00235340" w:rsidRPr="00F8551C" w:rsidRDefault="00235340" w:rsidP="00235340">
      <w:pPr>
        <w:pStyle w:val="Odstavecseseznamem2"/>
        <w:rPr>
          <w:rFonts w:ascii="Cambria" w:hAnsi="Cambria"/>
        </w:rPr>
      </w:pPr>
    </w:p>
    <w:p w:rsidR="00235340" w:rsidRPr="00F8551C" w:rsidRDefault="00235340" w:rsidP="00235340">
      <w:pPr>
        <w:pStyle w:val="Odstavecseseznamem2"/>
        <w:tabs>
          <w:tab w:val="left" w:pos="6840"/>
          <w:tab w:val="left" w:pos="8460"/>
        </w:tabs>
        <w:spacing w:after="240"/>
        <w:ind w:left="0"/>
        <w:rPr>
          <w:rFonts w:ascii="Cambria" w:hAnsi="Cambria"/>
        </w:rPr>
      </w:pPr>
      <w:r w:rsidRPr="00F8551C">
        <w:rPr>
          <w:rFonts w:ascii="Cambria" w:hAnsi="Cambria"/>
        </w:rPr>
        <w:t xml:space="preserve">V Praze, dne </w:t>
      </w:r>
      <w:r w:rsidR="00FA3E19" w:rsidRPr="00F8551C">
        <w:rPr>
          <w:rFonts w:ascii="Cambria" w:hAnsi="Cambria"/>
        </w:rPr>
        <w:t>1.</w:t>
      </w:r>
      <w:r w:rsidR="005C4C5A" w:rsidRPr="00F8551C">
        <w:rPr>
          <w:rFonts w:ascii="Cambria" w:hAnsi="Cambria"/>
        </w:rPr>
        <w:t xml:space="preserve"> </w:t>
      </w:r>
      <w:r w:rsidR="00FA3E19" w:rsidRPr="00F8551C">
        <w:rPr>
          <w:rFonts w:ascii="Cambria" w:hAnsi="Cambria"/>
        </w:rPr>
        <w:t>4.</w:t>
      </w:r>
      <w:r w:rsidR="005C4C5A" w:rsidRPr="00F8551C">
        <w:rPr>
          <w:rFonts w:ascii="Cambria" w:hAnsi="Cambria"/>
        </w:rPr>
        <w:t xml:space="preserve"> </w:t>
      </w:r>
      <w:r w:rsidR="00FA3E19" w:rsidRPr="00F8551C">
        <w:rPr>
          <w:rFonts w:ascii="Cambria" w:hAnsi="Cambria"/>
        </w:rPr>
        <w:t>2015</w:t>
      </w:r>
      <w:r w:rsidRPr="00F8551C">
        <w:rPr>
          <w:rFonts w:ascii="Cambria" w:hAnsi="Cambria"/>
        </w:rPr>
        <w:tab/>
        <w:t xml:space="preserve">Zpracoval: </w:t>
      </w:r>
      <w:r w:rsidRPr="00F8551C">
        <w:rPr>
          <w:rFonts w:ascii="Cambria" w:hAnsi="Cambria"/>
        </w:rPr>
        <w:tab/>
        <w:t xml:space="preserve">Mgr. </w:t>
      </w:r>
      <w:r w:rsidR="00B54B18" w:rsidRPr="00F8551C">
        <w:rPr>
          <w:rFonts w:ascii="Cambria" w:hAnsi="Cambria"/>
        </w:rPr>
        <w:t>Eliška Dvorská</w:t>
      </w:r>
    </w:p>
    <w:p w:rsidR="00235340" w:rsidRPr="00F8551C" w:rsidRDefault="00235340" w:rsidP="00235340">
      <w:pPr>
        <w:pStyle w:val="Odstavecseseznamem2"/>
        <w:tabs>
          <w:tab w:val="left" w:pos="6840"/>
          <w:tab w:val="left" w:pos="8460"/>
        </w:tabs>
        <w:spacing w:after="240"/>
        <w:ind w:left="0"/>
        <w:rPr>
          <w:rFonts w:ascii="Cambria" w:hAnsi="Cambria"/>
        </w:rPr>
      </w:pPr>
      <w:r w:rsidRPr="00F8551C">
        <w:rPr>
          <w:rFonts w:ascii="Cambria" w:hAnsi="Cambria"/>
        </w:rPr>
        <w:tab/>
        <w:t xml:space="preserve">Schválila: </w:t>
      </w:r>
      <w:r w:rsidRPr="00F8551C">
        <w:rPr>
          <w:rFonts w:ascii="Cambria" w:hAnsi="Cambria"/>
        </w:rPr>
        <w:tab/>
      </w:r>
      <w:r w:rsidR="00B54B18" w:rsidRPr="00F8551C">
        <w:rPr>
          <w:rFonts w:ascii="Cambria" w:hAnsi="Cambria"/>
        </w:rPr>
        <w:t>Mgr. Evžen Doležal</w:t>
      </w:r>
    </w:p>
    <w:p w:rsidR="00E6179D" w:rsidRDefault="00E6179D" w:rsidP="00E6179D">
      <w:pPr>
        <w:pStyle w:val="Standardntext"/>
        <w:ind w:left="720"/>
      </w:pPr>
    </w:p>
    <w:p w:rsidR="00C94B34" w:rsidRDefault="00C94B34" w:rsidP="006E6B3F">
      <w:pPr>
        <w:spacing w:after="100" w:afterAutospacing="1"/>
        <w:jc w:val="center"/>
        <w:rPr>
          <w:rFonts w:cstheme="minorHAnsi"/>
          <w:b/>
          <w:smallCaps/>
          <w:szCs w:val="22"/>
        </w:rPr>
      </w:pPr>
    </w:p>
    <w:p w:rsidR="006D00D4" w:rsidRDefault="006D00D4">
      <w:pPr>
        <w:overflowPunct/>
        <w:autoSpaceDE/>
        <w:autoSpaceDN/>
        <w:adjustRightInd/>
        <w:textAlignment w:val="auto"/>
        <w:rPr>
          <w:rFonts w:cstheme="minorHAnsi"/>
          <w:b/>
          <w:smallCaps/>
          <w:szCs w:val="22"/>
        </w:rPr>
        <w:sectPr w:rsidR="006D00D4" w:rsidSect="00235340">
          <w:headerReference w:type="default" r:id="rId34"/>
          <w:footerReference w:type="default" r:id="rId35"/>
          <w:pgSz w:w="16838" w:h="11906" w:orient="landscape"/>
          <w:pgMar w:top="1418" w:right="1418" w:bottom="1418" w:left="1418" w:header="709" w:footer="709" w:gutter="0"/>
          <w:cols w:space="708"/>
          <w:docGrid w:linePitch="299"/>
        </w:sectPr>
      </w:pPr>
    </w:p>
    <w:p w:rsidR="001060DD" w:rsidRPr="001060DD" w:rsidRDefault="001060DD" w:rsidP="001060DD">
      <w:pPr>
        <w:pStyle w:val="Odstavecseseznamem"/>
        <w:numPr>
          <w:ilvl w:val="0"/>
          <w:numId w:val="22"/>
        </w:numPr>
        <w:rPr>
          <w:rFonts w:ascii="Segoe UI" w:hAnsi="Segoe UI" w:cs="Segoe UI"/>
          <w:b/>
          <w:u w:val="single"/>
        </w:rPr>
      </w:pPr>
      <w:r w:rsidRPr="001060DD">
        <w:rPr>
          <w:rFonts w:ascii="Segoe UI" w:hAnsi="Segoe UI" w:cs="Segoe UI"/>
          <w:b/>
          <w:smallCaps/>
          <w:color w:val="548DD4" w:themeColor="text2" w:themeTint="99"/>
        </w:rPr>
        <w:lastRenderedPageBreak/>
        <w:t>Akční plán pro předběžnou podmínku 1.1</w:t>
      </w:r>
    </w:p>
    <w:p w:rsidR="001060DD" w:rsidRPr="00B55A34" w:rsidRDefault="001060DD" w:rsidP="001060DD">
      <w:pPr>
        <w:jc w:val="both"/>
        <w:rPr>
          <w:rFonts w:ascii="Segoe UI" w:hAnsi="Segoe UI" w:cs="Segoe UI"/>
          <w:b/>
          <w:i/>
          <w:sz w:val="22"/>
        </w:rPr>
      </w:pPr>
      <w:r w:rsidRPr="00B55A34">
        <w:rPr>
          <w:rFonts w:ascii="Segoe UI" w:hAnsi="Segoe UI" w:cs="Segoe UI"/>
          <w:b/>
          <w:i/>
          <w:sz w:val="22"/>
        </w:rPr>
        <w:t>Předběžná podmínka 1.1 Výzkum a inovace: Existence národní nebo regionální strategie pro inteligentní specializaci v souladu s národním programem reforem na podporu soukromých výdajů na výzkum a inovace, která je v souladu s rysy dobře fungujících celostátních nebo regionálních systémů výzkumu a inovací</w:t>
      </w:r>
    </w:p>
    <w:p w:rsidR="001060DD" w:rsidRDefault="001060DD" w:rsidP="001060DD">
      <w:pPr>
        <w:jc w:val="both"/>
        <w:rPr>
          <w:rFonts w:ascii="Calibri" w:hAnsi="Calibri"/>
          <w:sz w:val="22"/>
        </w:rPr>
      </w:pPr>
      <w:r w:rsidRPr="002715CE">
        <w:rPr>
          <w:rFonts w:ascii="Calibri" w:hAnsi="Calibri"/>
          <w:sz w:val="22"/>
        </w:rPr>
        <w:t xml:space="preserve">Předkládaný akční plán rekapituluje koncepční přístup k RIS3 ex-ante </w:t>
      </w:r>
      <w:proofErr w:type="spellStart"/>
      <w:r w:rsidRPr="002715CE">
        <w:rPr>
          <w:rFonts w:ascii="Calibri" w:hAnsi="Calibri"/>
          <w:sz w:val="22"/>
        </w:rPr>
        <w:t>kondicionalitě</w:t>
      </w:r>
      <w:proofErr w:type="spellEnd"/>
      <w:r w:rsidRPr="002715CE">
        <w:rPr>
          <w:rFonts w:ascii="Calibri" w:hAnsi="Calibri"/>
          <w:sz w:val="22"/>
        </w:rPr>
        <w:t xml:space="preserve"> v ČR a obsahuje popis již uskutečněných a zbývajících kroků k jejímu splnění spolu s harmonogramem aktivit a určením zodpovědných subjektů. </w:t>
      </w:r>
    </w:p>
    <w:p w:rsidR="001060DD" w:rsidRPr="002715CE" w:rsidRDefault="001060DD" w:rsidP="001060DD">
      <w:pPr>
        <w:jc w:val="both"/>
        <w:rPr>
          <w:rFonts w:ascii="Calibri" w:hAnsi="Calibri"/>
          <w:sz w:val="22"/>
        </w:rPr>
      </w:pPr>
    </w:p>
    <w:p w:rsidR="001060DD" w:rsidRPr="002715CE" w:rsidRDefault="001060DD" w:rsidP="001060DD">
      <w:pPr>
        <w:numPr>
          <w:ilvl w:val="0"/>
          <w:numId w:val="32"/>
        </w:numPr>
        <w:overflowPunct/>
        <w:autoSpaceDE/>
        <w:autoSpaceDN/>
        <w:adjustRightInd/>
        <w:spacing w:after="200" w:line="276" w:lineRule="auto"/>
        <w:contextualSpacing/>
        <w:jc w:val="both"/>
        <w:textAlignment w:val="auto"/>
        <w:rPr>
          <w:rFonts w:ascii="Cambria" w:hAnsi="Cambria"/>
          <w:b/>
          <w:color w:val="0070C0"/>
          <w:sz w:val="28"/>
          <w:szCs w:val="24"/>
        </w:rPr>
      </w:pPr>
      <w:r w:rsidRPr="002715CE">
        <w:rPr>
          <w:rFonts w:ascii="Cambria" w:hAnsi="Cambria"/>
          <w:b/>
          <w:color w:val="0070C0"/>
          <w:sz w:val="28"/>
          <w:szCs w:val="24"/>
        </w:rPr>
        <w:t xml:space="preserve">Koncepční uchopení RIS3 ex-ante </w:t>
      </w:r>
      <w:proofErr w:type="spellStart"/>
      <w:r w:rsidRPr="002715CE">
        <w:rPr>
          <w:rFonts w:ascii="Cambria" w:hAnsi="Cambria"/>
          <w:b/>
          <w:color w:val="0070C0"/>
          <w:sz w:val="28"/>
          <w:szCs w:val="24"/>
        </w:rPr>
        <w:t>kondicionality</w:t>
      </w:r>
      <w:proofErr w:type="spellEnd"/>
      <w:r w:rsidRPr="002715CE">
        <w:rPr>
          <w:rFonts w:ascii="Cambria" w:hAnsi="Cambria"/>
          <w:b/>
          <w:color w:val="0070C0"/>
          <w:sz w:val="28"/>
          <w:szCs w:val="24"/>
        </w:rPr>
        <w:t xml:space="preserve"> v ČR a zodpovědní aktéři</w:t>
      </w:r>
    </w:p>
    <w:p w:rsidR="001060DD" w:rsidRPr="002715CE" w:rsidRDefault="001060DD" w:rsidP="001060DD">
      <w:pPr>
        <w:spacing w:line="280" w:lineRule="exact"/>
        <w:ind w:left="-360" w:firstLine="1069"/>
        <w:jc w:val="both"/>
        <w:rPr>
          <w:rFonts w:ascii="Calibri" w:hAnsi="Calibri"/>
          <w:b/>
          <w:color w:val="0070C0"/>
          <w:sz w:val="22"/>
        </w:rPr>
      </w:pPr>
      <w:r w:rsidRPr="002715CE">
        <w:rPr>
          <w:rFonts w:ascii="Calibri" w:hAnsi="Calibri"/>
          <w:b/>
          <w:color w:val="0070C0"/>
          <w:sz w:val="22"/>
        </w:rPr>
        <w:t xml:space="preserve">1.1. Koncepční uchopení RIS3 ex-ante </w:t>
      </w:r>
      <w:proofErr w:type="spellStart"/>
      <w:r w:rsidRPr="002715CE">
        <w:rPr>
          <w:rFonts w:ascii="Calibri" w:hAnsi="Calibri"/>
          <w:b/>
          <w:color w:val="0070C0"/>
          <w:sz w:val="22"/>
        </w:rPr>
        <w:t>kondicionality</w:t>
      </w:r>
      <w:proofErr w:type="spellEnd"/>
    </w:p>
    <w:p w:rsidR="001060DD" w:rsidRDefault="001060DD" w:rsidP="001060DD">
      <w:pPr>
        <w:spacing w:line="280" w:lineRule="exact"/>
        <w:jc w:val="both"/>
        <w:rPr>
          <w:rFonts w:ascii="Calibri" w:hAnsi="Calibri"/>
          <w:bCs/>
          <w:sz w:val="22"/>
        </w:rPr>
      </w:pPr>
      <w:r w:rsidRPr="002715CE">
        <w:rPr>
          <w:rFonts w:ascii="Calibri" w:hAnsi="Calibri"/>
          <w:sz w:val="22"/>
        </w:rPr>
        <w:t xml:space="preserve">Cílem RIS3 strategie je efektivní zacílení finančních prostředků (evropských, národních, krajských i soukromých) do aktivit vedoucích k  posílení inovační kapacity </w:t>
      </w:r>
      <w:r w:rsidRPr="002715CE">
        <w:rPr>
          <w:rFonts w:ascii="Calibri" w:hAnsi="Calibri"/>
          <w:bCs/>
          <w:sz w:val="22"/>
        </w:rPr>
        <w:t xml:space="preserve">a do prioritně vytyčených perspektivních oblastí s cílem plně využít znalostní potenciál jak na národní, tak i na regionální úrovni, a podpořit tak posilování konkurenceschopnosti ekonomiky a přispět ke snižování míry nezaměstnanosti.  </w:t>
      </w:r>
    </w:p>
    <w:p w:rsidR="001060DD" w:rsidRPr="002715CE" w:rsidRDefault="001060DD" w:rsidP="001060DD">
      <w:pPr>
        <w:spacing w:line="280" w:lineRule="exact"/>
        <w:jc w:val="both"/>
        <w:rPr>
          <w:rFonts w:ascii="Calibri" w:hAnsi="Calibri"/>
          <w:sz w:val="22"/>
        </w:rPr>
      </w:pPr>
    </w:p>
    <w:p w:rsidR="001060DD" w:rsidRPr="002715CE" w:rsidRDefault="001060DD" w:rsidP="001060DD">
      <w:pPr>
        <w:spacing w:line="280" w:lineRule="exact"/>
        <w:jc w:val="both"/>
        <w:rPr>
          <w:rFonts w:ascii="Calibri" w:hAnsi="Calibri"/>
          <w:sz w:val="22"/>
        </w:rPr>
      </w:pPr>
      <w:r w:rsidRPr="002715CE">
        <w:rPr>
          <w:rFonts w:ascii="Calibri" w:hAnsi="Calibri"/>
          <w:sz w:val="22"/>
        </w:rPr>
        <w:t xml:space="preserve">Výstupem naplňujícím ex-ante </w:t>
      </w:r>
      <w:proofErr w:type="spellStart"/>
      <w:r w:rsidRPr="002715CE">
        <w:rPr>
          <w:rFonts w:ascii="Calibri" w:hAnsi="Calibri"/>
          <w:sz w:val="22"/>
        </w:rPr>
        <w:t>kondicionalitu</w:t>
      </w:r>
      <w:proofErr w:type="spellEnd"/>
      <w:r w:rsidRPr="002715CE">
        <w:rPr>
          <w:rFonts w:ascii="Calibri" w:hAnsi="Calibri"/>
          <w:sz w:val="22"/>
        </w:rPr>
        <w:t xml:space="preserve"> je </w:t>
      </w:r>
      <w:r w:rsidRPr="002715CE">
        <w:rPr>
          <w:rFonts w:ascii="Calibri" w:hAnsi="Calibri"/>
          <w:b/>
          <w:sz w:val="22"/>
        </w:rPr>
        <w:t>Národní výzkumná a inovační strategie pro inteligentní specializaci České republiky (dále jen „Národní RIS3 strategie“)</w:t>
      </w:r>
      <w:r w:rsidRPr="002715CE">
        <w:rPr>
          <w:rFonts w:ascii="Calibri" w:hAnsi="Calibri"/>
          <w:sz w:val="22"/>
        </w:rPr>
        <w:t xml:space="preserve">, jejíž územní dimenzi zajišťuje </w:t>
      </w:r>
      <w:r w:rsidRPr="002715CE">
        <w:rPr>
          <w:rFonts w:ascii="Calibri" w:hAnsi="Calibri"/>
          <w:b/>
          <w:sz w:val="22"/>
        </w:rPr>
        <w:t>14 krajských příloh</w:t>
      </w:r>
      <w:r w:rsidRPr="002715CE">
        <w:rPr>
          <w:rFonts w:ascii="Calibri" w:hAnsi="Calibri"/>
          <w:sz w:val="22"/>
        </w:rPr>
        <w:t xml:space="preserve"> zaměřených na specifika formování regionálního inovačního systému v jednotlivých krajích. Tyto krajské dokumenty mj. zpřesňují národní priority v návaznosti na výzkum a vývoj (dále jen „</w:t>
      </w:r>
      <w:proofErr w:type="spellStart"/>
      <w:r w:rsidRPr="002715CE">
        <w:rPr>
          <w:rFonts w:ascii="Calibri" w:hAnsi="Calibri"/>
          <w:sz w:val="22"/>
        </w:rPr>
        <w:t>VaV</w:t>
      </w:r>
      <w:proofErr w:type="spellEnd"/>
      <w:r w:rsidRPr="002715CE">
        <w:rPr>
          <w:rFonts w:ascii="Calibri" w:hAnsi="Calibri"/>
          <w:sz w:val="22"/>
        </w:rPr>
        <w:t xml:space="preserve">“) a inovační potenciál daného kraje a tvoří přílohu Národní RIS3 strategie. </w:t>
      </w:r>
    </w:p>
    <w:p w:rsidR="001060DD" w:rsidRPr="002715CE" w:rsidRDefault="001060DD" w:rsidP="001060DD">
      <w:pPr>
        <w:jc w:val="both"/>
        <w:rPr>
          <w:rFonts w:ascii="Calibri" w:hAnsi="Calibri"/>
          <w:sz w:val="22"/>
        </w:rPr>
      </w:pPr>
      <w:r w:rsidRPr="002715CE">
        <w:rPr>
          <w:rFonts w:ascii="Calibri" w:hAnsi="Calibri"/>
          <w:sz w:val="22"/>
        </w:rPr>
        <w:t>Koncepce RIS3 strategie je vystavěna na několika</w:t>
      </w:r>
      <w:r w:rsidRPr="002715CE">
        <w:rPr>
          <w:rFonts w:ascii="Calibri" w:hAnsi="Calibri"/>
          <w:b/>
          <w:sz w:val="22"/>
        </w:rPr>
        <w:t xml:space="preserve"> </w:t>
      </w:r>
      <w:r w:rsidRPr="002715CE">
        <w:rPr>
          <w:rFonts w:ascii="Calibri" w:hAnsi="Calibri"/>
          <w:bCs/>
          <w:sz w:val="22"/>
        </w:rPr>
        <w:t>nových metodických principech</w:t>
      </w:r>
      <w:r w:rsidRPr="002715CE">
        <w:rPr>
          <w:rFonts w:ascii="Calibri" w:hAnsi="Calibri"/>
          <w:sz w:val="22"/>
        </w:rPr>
        <w:t>, které ji odlišují od dosavadních strategických dokumentů v oblasti výzkumu, vývoje a inovací (dále jen „</w:t>
      </w:r>
      <w:proofErr w:type="spellStart"/>
      <w:r w:rsidRPr="002715CE">
        <w:rPr>
          <w:rFonts w:ascii="Calibri" w:hAnsi="Calibri"/>
          <w:sz w:val="22"/>
        </w:rPr>
        <w:t>VaVaI</w:t>
      </w:r>
      <w:proofErr w:type="spellEnd"/>
      <w:r w:rsidRPr="002715CE">
        <w:rPr>
          <w:rFonts w:ascii="Calibri" w:hAnsi="Calibri"/>
          <w:sz w:val="22"/>
        </w:rPr>
        <w:t>“) v ČR. Jedná se zejména o:</w:t>
      </w:r>
    </w:p>
    <w:p w:rsidR="001060DD" w:rsidRPr="002715CE" w:rsidRDefault="001060DD" w:rsidP="001060DD">
      <w:pPr>
        <w:numPr>
          <w:ilvl w:val="0"/>
          <w:numId w:val="27"/>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w:t>
      </w:r>
      <w:proofErr w:type="spellStart"/>
      <w:r w:rsidRPr="002715CE">
        <w:rPr>
          <w:rFonts w:ascii="Calibri" w:hAnsi="Calibri"/>
          <w:sz w:val="22"/>
        </w:rPr>
        <w:t>Bottom</w:t>
      </w:r>
      <w:proofErr w:type="spellEnd"/>
      <w:r w:rsidRPr="002715CE">
        <w:rPr>
          <w:rFonts w:ascii="Calibri" w:hAnsi="Calibri"/>
          <w:sz w:val="22"/>
        </w:rPr>
        <w:t xml:space="preserve">-up“ přístup, který má dvě dimenze: </w:t>
      </w:r>
    </w:p>
    <w:p w:rsidR="001060DD" w:rsidRPr="002715CE" w:rsidRDefault="001060DD" w:rsidP="001060DD">
      <w:pPr>
        <w:numPr>
          <w:ilvl w:val="0"/>
          <w:numId w:val="28"/>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široké zapojení aktérů ze všech sfér „triple/</w:t>
      </w:r>
      <w:proofErr w:type="spellStart"/>
      <w:r w:rsidRPr="002715CE">
        <w:rPr>
          <w:rFonts w:ascii="Calibri" w:hAnsi="Calibri"/>
          <w:sz w:val="22"/>
        </w:rPr>
        <w:t>quadruple</w:t>
      </w:r>
      <w:proofErr w:type="spellEnd"/>
      <w:r w:rsidRPr="002715CE">
        <w:rPr>
          <w:rFonts w:ascii="Calibri" w:hAnsi="Calibri"/>
          <w:sz w:val="22"/>
        </w:rPr>
        <w:t xml:space="preserve"> helix“ (tj. sektoru podnikatelského, vysokoškolského, </w:t>
      </w:r>
      <w:proofErr w:type="spellStart"/>
      <w:r w:rsidRPr="002715CE">
        <w:rPr>
          <w:rFonts w:ascii="Calibri" w:hAnsi="Calibri"/>
          <w:sz w:val="22"/>
        </w:rPr>
        <w:t>VaV</w:t>
      </w:r>
      <w:proofErr w:type="spellEnd"/>
      <w:r w:rsidRPr="002715CE">
        <w:rPr>
          <w:rFonts w:ascii="Calibri" w:hAnsi="Calibri"/>
          <w:sz w:val="22"/>
        </w:rPr>
        <w:t xml:space="preserve"> sektoru i sféry veřejnosprávní a neziskové) do procesů identifikace prioritních oblastí; důraz je kladen zejména na uplatnění principu „</w:t>
      </w:r>
      <w:proofErr w:type="spellStart"/>
      <w:r w:rsidRPr="002715CE">
        <w:rPr>
          <w:rFonts w:ascii="Calibri" w:hAnsi="Calibri"/>
          <w:sz w:val="22"/>
        </w:rPr>
        <w:t>entrepreneurial</w:t>
      </w:r>
      <w:proofErr w:type="spellEnd"/>
      <w:r w:rsidRPr="002715CE">
        <w:rPr>
          <w:rFonts w:ascii="Calibri" w:hAnsi="Calibri"/>
          <w:sz w:val="22"/>
        </w:rPr>
        <w:t xml:space="preserve"> </w:t>
      </w:r>
      <w:proofErr w:type="spellStart"/>
      <w:r w:rsidRPr="002715CE">
        <w:rPr>
          <w:rFonts w:ascii="Calibri" w:hAnsi="Calibri"/>
          <w:sz w:val="22"/>
        </w:rPr>
        <w:t>discovery</w:t>
      </w:r>
      <w:proofErr w:type="spellEnd"/>
      <w:r w:rsidRPr="002715CE">
        <w:rPr>
          <w:rFonts w:ascii="Calibri" w:hAnsi="Calibri"/>
          <w:sz w:val="22"/>
        </w:rPr>
        <w:t xml:space="preserve">“. Jedná se o proces identifikace strategických priorit prostřednictvím podnikatelského objevování příležitostí, tj. ve spolupráci s inovačními firmami jako hlavními nositeli inovačního procesu a konkurenceschopnosti ekonomiky; </w:t>
      </w:r>
    </w:p>
    <w:p w:rsidR="001060DD" w:rsidRPr="002715CE" w:rsidRDefault="001060DD" w:rsidP="001060DD">
      <w:pPr>
        <w:numPr>
          <w:ilvl w:val="0"/>
          <w:numId w:val="28"/>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současná identifikace priorit na regionální i na národní úrovni a jejich následné propojení</w:t>
      </w:r>
    </w:p>
    <w:p w:rsidR="001060DD" w:rsidRPr="002715CE" w:rsidRDefault="001060DD" w:rsidP="001060DD">
      <w:pPr>
        <w:ind w:left="644"/>
        <w:contextualSpacing/>
        <w:jc w:val="both"/>
        <w:rPr>
          <w:rFonts w:ascii="Calibri" w:hAnsi="Calibri"/>
          <w:sz w:val="22"/>
        </w:rPr>
      </w:pPr>
    </w:p>
    <w:p w:rsidR="001060DD" w:rsidRPr="002715CE" w:rsidRDefault="001060DD" w:rsidP="001060DD">
      <w:pPr>
        <w:jc w:val="both"/>
        <w:rPr>
          <w:rFonts w:ascii="Calibri" w:hAnsi="Calibri"/>
          <w:sz w:val="22"/>
        </w:rPr>
      </w:pPr>
      <w:r w:rsidRPr="002715CE">
        <w:rPr>
          <w:rFonts w:ascii="Calibri" w:hAnsi="Calibri"/>
          <w:sz w:val="22"/>
        </w:rPr>
        <w:t>Dalšími principy RIS strategie jsou:</w:t>
      </w:r>
    </w:p>
    <w:p w:rsidR="001060DD" w:rsidRPr="002715CE" w:rsidRDefault="001060DD" w:rsidP="001060DD">
      <w:pPr>
        <w:numPr>
          <w:ilvl w:val="0"/>
          <w:numId w:val="27"/>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omezení rizika „slepé“ imitace vyspělých regionů a následování momentálních světových trendů</w:t>
      </w:r>
    </w:p>
    <w:p w:rsidR="001060DD" w:rsidRPr="002715CE" w:rsidRDefault="001060DD" w:rsidP="001060DD">
      <w:pPr>
        <w:numPr>
          <w:ilvl w:val="0"/>
          <w:numId w:val="27"/>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respektování potřeby dosažení kritické velikosti pro určité typy aktivit (řešení otázky konkurenceschopnosti a schopnosti dosáhnout excelentní úrovně v mezinárodním měřítku)</w:t>
      </w:r>
    </w:p>
    <w:p w:rsidR="001060DD" w:rsidRPr="002715CE" w:rsidRDefault="001060DD" w:rsidP="001060DD">
      <w:pPr>
        <w:numPr>
          <w:ilvl w:val="0"/>
          <w:numId w:val="27"/>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 xml:space="preserve">podpora </w:t>
      </w:r>
      <w:proofErr w:type="spellStart"/>
      <w:r w:rsidRPr="002715CE">
        <w:rPr>
          <w:rFonts w:ascii="Calibri" w:hAnsi="Calibri"/>
          <w:sz w:val="22"/>
        </w:rPr>
        <w:t>upgradingu</w:t>
      </w:r>
      <w:proofErr w:type="spellEnd"/>
      <w:r w:rsidRPr="002715CE">
        <w:rPr>
          <w:rFonts w:ascii="Calibri" w:hAnsi="Calibri"/>
          <w:sz w:val="22"/>
        </w:rPr>
        <w:t xml:space="preserve"> (posunu k výrobkům s vyšší přidanou hodnotou, posun firem na vyšší stupně/řády v dodavatelských řetězcích)</w:t>
      </w:r>
    </w:p>
    <w:p w:rsidR="001060DD" w:rsidRPr="002715CE" w:rsidRDefault="001060DD" w:rsidP="001060DD">
      <w:pPr>
        <w:numPr>
          <w:ilvl w:val="0"/>
          <w:numId w:val="27"/>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lastRenderedPageBreak/>
        <w:t xml:space="preserve">silný důraz na implementaci – nutnou součástí strategie je akční plán obsahující návrhy konkrétních opatření, které ji budou naplňovat (včetně opatření stimulujících investice soukromého sektoru do oblasti </w:t>
      </w:r>
      <w:proofErr w:type="spellStart"/>
      <w:r w:rsidRPr="002715CE">
        <w:rPr>
          <w:rFonts w:ascii="Calibri" w:hAnsi="Calibri"/>
          <w:sz w:val="22"/>
        </w:rPr>
        <w:t>VaVaI</w:t>
      </w:r>
      <w:proofErr w:type="spellEnd"/>
      <w:r w:rsidRPr="002715CE">
        <w:rPr>
          <w:rFonts w:ascii="Calibri" w:hAnsi="Calibri"/>
          <w:sz w:val="22"/>
        </w:rPr>
        <w:t>)</w:t>
      </w:r>
    </w:p>
    <w:p w:rsidR="001060DD" w:rsidRPr="002715CE" w:rsidRDefault="001060DD" w:rsidP="001060DD">
      <w:pPr>
        <w:numPr>
          <w:ilvl w:val="0"/>
          <w:numId w:val="27"/>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důraz na důsledný monitoring a evaluaci v rámci implementace strategie</w:t>
      </w:r>
    </w:p>
    <w:p w:rsidR="001060DD" w:rsidRPr="002715CE" w:rsidRDefault="001060DD" w:rsidP="001060DD">
      <w:pPr>
        <w:numPr>
          <w:ilvl w:val="0"/>
          <w:numId w:val="27"/>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důraz na „</w:t>
      </w:r>
      <w:proofErr w:type="spellStart"/>
      <w:r w:rsidRPr="002715CE">
        <w:rPr>
          <w:rFonts w:ascii="Calibri" w:hAnsi="Calibri"/>
          <w:sz w:val="22"/>
        </w:rPr>
        <w:t>policy</w:t>
      </w:r>
      <w:proofErr w:type="spellEnd"/>
      <w:r w:rsidRPr="002715CE">
        <w:rPr>
          <w:rFonts w:ascii="Calibri" w:hAnsi="Calibri"/>
          <w:sz w:val="22"/>
        </w:rPr>
        <w:t xml:space="preserve"> </w:t>
      </w:r>
      <w:proofErr w:type="spellStart"/>
      <w:r w:rsidRPr="002715CE">
        <w:rPr>
          <w:rFonts w:ascii="Calibri" w:hAnsi="Calibri"/>
          <w:sz w:val="22"/>
        </w:rPr>
        <w:t>learning</w:t>
      </w:r>
      <w:proofErr w:type="spellEnd"/>
      <w:r w:rsidRPr="002715CE">
        <w:rPr>
          <w:rFonts w:ascii="Calibri" w:hAnsi="Calibri"/>
          <w:sz w:val="22"/>
        </w:rPr>
        <w:t>“ – reakce politiky na výsledky již realizovaných opatření</w:t>
      </w:r>
    </w:p>
    <w:p w:rsidR="001060DD" w:rsidRPr="002715CE" w:rsidRDefault="001060DD" w:rsidP="001060DD">
      <w:pPr>
        <w:ind w:left="644"/>
        <w:contextualSpacing/>
        <w:jc w:val="both"/>
        <w:rPr>
          <w:rFonts w:ascii="Calibri" w:hAnsi="Calibri"/>
          <w:b/>
          <w:sz w:val="22"/>
        </w:rPr>
      </w:pPr>
    </w:p>
    <w:p w:rsidR="001060DD" w:rsidRPr="002715CE" w:rsidRDefault="001060DD" w:rsidP="001060DD">
      <w:pPr>
        <w:jc w:val="both"/>
        <w:rPr>
          <w:rFonts w:ascii="Calibri" w:hAnsi="Calibri"/>
          <w:sz w:val="22"/>
        </w:rPr>
      </w:pPr>
      <w:r w:rsidRPr="002715CE">
        <w:rPr>
          <w:rFonts w:ascii="Calibri" w:hAnsi="Calibri"/>
          <w:sz w:val="22"/>
        </w:rPr>
        <w:t xml:space="preserve">Vzhledem k dosud relativně omezené míře rozvinutosti inovačního systému na národní úrovni, i na úrovni většiny krajů, je třeba pro posílení inovačního výkonu ekonomiky odstranit či zmírnit alespoň hlavní bariéry ve sféře výzkumu, vývoje a inovačního podnikání. Bez odstranění těchto bariér nedojde k žádoucí změně vývojové trajektorie inovačních systémů, ale pouze ke kvantitativní změně. Proto jsou v rámci koncepčního pojetí RIS3 v ČR navrženy </w:t>
      </w:r>
      <w:r w:rsidRPr="002715CE">
        <w:rPr>
          <w:rFonts w:ascii="Calibri" w:hAnsi="Calibri"/>
          <w:b/>
          <w:sz w:val="22"/>
        </w:rPr>
        <w:t>RIS3 priority dvojí povahy</w:t>
      </w:r>
      <w:r w:rsidRPr="002715CE">
        <w:rPr>
          <w:rFonts w:ascii="Calibri" w:hAnsi="Calibri"/>
          <w:sz w:val="22"/>
        </w:rPr>
        <w:t xml:space="preserve">: </w:t>
      </w:r>
    </w:p>
    <w:p w:rsidR="001060DD" w:rsidRPr="002715CE" w:rsidRDefault="001060DD" w:rsidP="001060DD">
      <w:pPr>
        <w:numPr>
          <w:ilvl w:val="0"/>
          <w:numId w:val="29"/>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b/>
          <w:sz w:val="22"/>
        </w:rPr>
        <w:t xml:space="preserve">horizontální </w:t>
      </w:r>
      <w:r w:rsidRPr="002715CE">
        <w:rPr>
          <w:rFonts w:ascii="Calibri" w:hAnsi="Calibri"/>
          <w:sz w:val="22"/>
        </w:rPr>
        <w:t>(průřezové) = nové typy aktivit podporující vytváření, případně zkvalitňování inovačního systému na národní i krajské úrovni, např. programy na posílení spolupráce mezi výzkumnými organizacemi a firemní sférou, podpora talentů, podpora transferu technologií, podpora start-</w:t>
      </w:r>
      <w:proofErr w:type="spellStart"/>
      <w:r w:rsidRPr="002715CE">
        <w:rPr>
          <w:rFonts w:ascii="Calibri" w:hAnsi="Calibri"/>
          <w:sz w:val="22"/>
        </w:rPr>
        <w:t>upů</w:t>
      </w:r>
      <w:proofErr w:type="spellEnd"/>
      <w:r w:rsidRPr="002715CE">
        <w:rPr>
          <w:rFonts w:ascii="Calibri" w:hAnsi="Calibri"/>
          <w:sz w:val="22"/>
        </w:rPr>
        <w:t xml:space="preserve"> apod.); </w:t>
      </w:r>
    </w:p>
    <w:p w:rsidR="001060DD" w:rsidRPr="002715CE" w:rsidRDefault="001060DD" w:rsidP="001060DD">
      <w:pPr>
        <w:numPr>
          <w:ilvl w:val="0"/>
          <w:numId w:val="29"/>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b/>
          <w:sz w:val="22"/>
        </w:rPr>
        <w:t>vertikální</w:t>
      </w:r>
      <w:r w:rsidRPr="002715CE">
        <w:rPr>
          <w:rFonts w:ascii="Calibri" w:hAnsi="Calibri"/>
          <w:sz w:val="22"/>
        </w:rPr>
        <w:t xml:space="preserve"> = zaměřené na konkrétní konkurenceschopné, progresivní odvětvové/</w:t>
      </w:r>
      <w:proofErr w:type="spellStart"/>
      <w:r w:rsidRPr="002715CE">
        <w:rPr>
          <w:rFonts w:ascii="Calibri" w:hAnsi="Calibri"/>
          <w:sz w:val="22"/>
        </w:rPr>
        <w:t>pododvětvové</w:t>
      </w:r>
      <w:proofErr w:type="spellEnd"/>
      <w:r w:rsidRPr="002715CE">
        <w:rPr>
          <w:rFonts w:ascii="Calibri" w:hAnsi="Calibri"/>
          <w:sz w:val="22"/>
        </w:rPr>
        <w:t xml:space="preserve"> oblasti </w:t>
      </w:r>
      <w:proofErr w:type="spellStart"/>
      <w:r w:rsidRPr="002715CE">
        <w:rPr>
          <w:rFonts w:ascii="Calibri" w:hAnsi="Calibri"/>
          <w:sz w:val="22"/>
        </w:rPr>
        <w:t>VaVaI</w:t>
      </w:r>
      <w:proofErr w:type="spellEnd"/>
      <w:r w:rsidRPr="002715CE">
        <w:rPr>
          <w:rFonts w:ascii="Calibri" w:hAnsi="Calibri"/>
          <w:sz w:val="22"/>
        </w:rPr>
        <w:t xml:space="preserve"> - domény se silným růstovým potenciálem,</w:t>
      </w:r>
    </w:p>
    <w:p w:rsidR="001060DD" w:rsidRDefault="001060DD" w:rsidP="001060DD">
      <w:pPr>
        <w:spacing w:line="280" w:lineRule="exact"/>
        <w:jc w:val="both"/>
        <w:rPr>
          <w:rFonts w:ascii="Calibri" w:hAnsi="Calibri"/>
          <w:sz w:val="22"/>
        </w:rPr>
      </w:pPr>
      <w:r w:rsidRPr="002715CE">
        <w:rPr>
          <w:rFonts w:ascii="Calibri" w:hAnsi="Calibri"/>
          <w:sz w:val="22"/>
        </w:rPr>
        <w:t xml:space="preserve">přičemž platí, že zpočátku bude horizontální zaměření priorit v RIS3 strategii poměrově převažovat, avšak postupem času bude docházet ke zvyšování podílu </w:t>
      </w:r>
      <w:proofErr w:type="spellStart"/>
      <w:r w:rsidRPr="002715CE">
        <w:rPr>
          <w:rFonts w:ascii="Calibri" w:hAnsi="Calibri"/>
          <w:sz w:val="22"/>
        </w:rPr>
        <w:t>vertikalizace</w:t>
      </w:r>
      <w:proofErr w:type="spellEnd"/>
      <w:r w:rsidRPr="002715CE">
        <w:rPr>
          <w:rFonts w:ascii="Calibri" w:hAnsi="Calibri"/>
          <w:sz w:val="22"/>
        </w:rPr>
        <w:t xml:space="preserve"> priorit. Tento proces bude provázen i odpovídající postupnou redistribucí prostředků ve prospěch identifikovaných klíčových domén inteligentní specializace.</w:t>
      </w:r>
    </w:p>
    <w:p w:rsidR="001060DD" w:rsidRPr="002715CE" w:rsidRDefault="001060DD" w:rsidP="001060DD">
      <w:pPr>
        <w:spacing w:line="280" w:lineRule="exact"/>
        <w:jc w:val="both"/>
        <w:rPr>
          <w:rFonts w:ascii="Calibri" w:hAnsi="Calibri"/>
          <w:sz w:val="22"/>
        </w:rPr>
      </w:pPr>
    </w:p>
    <w:p w:rsidR="001060DD" w:rsidRDefault="001060DD" w:rsidP="001060DD">
      <w:pPr>
        <w:spacing w:line="280" w:lineRule="exact"/>
        <w:jc w:val="both"/>
        <w:rPr>
          <w:rFonts w:ascii="Calibri" w:hAnsi="Calibri"/>
          <w:sz w:val="22"/>
        </w:rPr>
      </w:pPr>
      <w:r w:rsidRPr="002715CE">
        <w:rPr>
          <w:rFonts w:ascii="Calibri" w:hAnsi="Calibri"/>
          <w:sz w:val="22"/>
        </w:rPr>
        <w:t xml:space="preserve">Schválením vládou ČR se Národní RIS3 strategie stává nedílnou součástí Aktualizace Národní politiky výzkumu, vývoje a inovací České republiky na léta 2009 až 2015 s výhledem do roku 2020 (dále jen „NP </w:t>
      </w:r>
      <w:proofErr w:type="spellStart"/>
      <w:r w:rsidRPr="002715CE">
        <w:rPr>
          <w:rFonts w:ascii="Calibri" w:hAnsi="Calibri"/>
          <w:sz w:val="22"/>
        </w:rPr>
        <w:t>VaVaI</w:t>
      </w:r>
      <w:proofErr w:type="spellEnd"/>
      <w:r w:rsidRPr="002715CE">
        <w:rPr>
          <w:rFonts w:ascii="Calibri" w:hAnsi="Calibri"/>
          <w:sz w:val="22"/>
        </w:rPr>
        <w:t xml:space="preserve">“), která je na základě Usnesení vlády č. 294 ze dne 24. dubna 2013 základním strategickým dokumentem pro oblast </w:t>
      </w:r>
      <w:proofErr w:type="spellStart"/>
      <w:r w:rsidRPr="002715CE">
        <w:rPr>
          <w:rFonts w:ascii="Calibri" w:hAnsi="Calibri"/>
          <w:sz w:val="22"/>
        </w:rPr>
        <w:t>VaVaI</w:t>
      </w:r>
      <w:proofErr w:type="spellEnd"/>
      <w:r w:rsidRPr="002715CE">
        <w:rPr>
          <w:rFonts w:ascii="Calibri" w:hAnsi="Calibri"/>
          <w:sz w:val="22"/>
        </w:rPr>
        <w:t xml:space="preserve"> na národní úrovni a je komplementární se Strategií mezinárodní konkurenceschopnosti České republiky pro období 2012 až 2020 (dále jen „SMK“) a Národní inovační strategií České republiky (dále jen „NIS“).</w:t>
      </w:r>
    </w:p>
    <w:p w:rsidR="001060DD" w:rsidRPr="002715CE" w:rsidRDefault="001060DD" w:rsidP="001060DD">
      <w:pPr>
        <w:spacing w:line="280" w:lineRule="exact"/>
        <w:jc w:val="both"/>
        <w:rPr>
          <w:rFonts w:ascii="Calibri" w:hAnsi="Calibri"/>
          <w:sz w:val="22"/>
        </w:rPr>
      </w:pPr>
    </w:p>
    <w:p w:rsidR="001060DD" w:rsidRDefault="001060DD" w:rsidP="001060DD">
      <w:pPr>
        <w:spacing w:line="280" w:lineRule="exact"/>
        <w:jc w:val="both"/>
        <w:rPr>
          <w:rFonts w:ascii="Calibri" w:hAnsi="Calibri"/>
          <w:sz w:val="22"/>
        </w:rPr>
      </w:pPr>
      <w:r w:rsidRPr="002715CE">
        <w:rPr>
          <w:rFonts w:ascii="Calibri" w:hAnsi="Calibri"/>
          <w:sz w:val="22"/>
        </w:rPr>
        <w:t>Klíčovým (avšak nikoli jediným)</w:t>
      </w:r>
      <w:r w:rsidRPr="002715CE">
        <w:rPr>
          <w:rFonts w:ascii="Calibri" w:hAnsi="Calibri"/>
          <w:b/>
          <w:sz w:val="22"/>
        </w:rPr>
        <w:t xml:space="preserve"> implementačním nástrojem RIS3 strategie</w:t>
      </w:r>
      <w:r w:rsidRPr="002715CE">
        <w:rPr>
          <w:rFonts w:ascii="Calibri" w:hAnsi="Calibri"/>
          <w:sz w:val="22"/>
        </w:rPr>
        <w:t xml:space="preserve"> budou relevantní programy spolufinancované Evropskými strukturálními a investičními fondy (dále jen „ESIF“) programového období 2014-2020, zejména OP Výzkum, vývoj, vzdělávání (OP VVV – v gesci MŠMT), OP Podnikání a inovace pro konkurenceschopnost (OP PIK v gesci MPO) a OP Praha – pól růstu ČR (OP PPR v gesci Magistrátu </w:t>
      </w:r>
      <w:proofErr w:type="spellStart"/>
      <w:r w:rsidRPr="002715CE">
        <w:rPr>
          <w:rFonts w:ascii="Calibri" w:hAnsi="Calibri"/>
          <w:sz w:val="22"/>
        </w:rPr>
        <w:t>hl.m</w:t>
      </w:r>
      <w:proofErr w:type="spellEnd"/>
      <w:r w:rsidRPr="002715CE">
        <w:rPr>
          <w:rFonts w:ascii="Calibri" w:hAnsi="Calibri"/>
          <w:sz w:val="22"/>
        </w:rPr>
        <w:t>. Prahy)</w:t>
      </w:r>
      <w:r w:rsidRPr="002715CE">
        <w:rPr>
          <w:rFonts w:ascii="Calibri" w:hAnsi="Calibri"/>
          <w:sz w:val="22"/>
          <w:vertAlign w:val="superscript"/>
        </w:rPr>
        <w:footnoteReference w:id="2"/>
      </w:r>
      <w:r w:rsidRPr="002715CE">
        <w:rPr>
          <w:rFonts w:ascii="Calibri" w:hAnsi="Calibri"/>
          <w:sz w:val="22"/>
        </w:rPr>
        <w:t xml:space="preserve"> Dalšími nástroji implementace RIS3 strategie budou celostátní a regionální programy na podporu </w:t>
      </w:r>
      <w:proofErr w:type="spellStart"/>
      <w:r w:rsidRPr="002715CE">
        <w:rPr>
          <w:rFonts w:ascii="Calibri" w:hAnsi="Calibri"/>
          <w:sz w:val="22"/>
        </w:rPr>
        <w:t>VaVaI</w:t>
      </w:r>
      <w:proofErr w:type="spellEnd"/>
      <w:r w:rsidRPr="002715CE">
        <w:rPr>
          <w:rFonts w:ascii="Calibri" w:hAnsi="Calibri"/>
          <w:sz w:val="22"/>
        </w:rPr>
        <w:t xml:space="preserve">. </w:t>
      </w:r>
    </w:p>
    <w:p w:rsidR="001060DD" w:rsidRPr="002715CE" w:rsidRDefault="001060DD" w:rsidP="001060DD">
      <w:pPr>
        <w:spacing w:line="280" w:lineRule="exact"/>
        <w:jc w:val="both"/>
        <w:rPr>
          <w:rFonts w:ascii="Calibri" w:hAnsi="Calibri"/>
          <w:sz w:val="22"/>
        </w:rPr>
      </w:pPr>
    </w:p>
    <w:p w:rsidR="001060DD" w:rsidRPr="002715CE" w:rsidRDefault="001060DD" w:rsidP="001060DD">
      <w:pPr>
        <w:numPr>
          <w:ilvl w:val="1"/>
          <w:numId w:val="32"/>
        </w:numPr>
        <w:overflowPunct/>
        <w:autoSpaceDE/>
        <w:autoSpaceDN/>
        <w:adjustRightInd/>
        <w:spacing w:after="200" w:line="280" w:lineRule="exact"/>
        <w:contextualSpacing/>
        <w:jc w:val="both"/>
        <w:textAlignment w:val="auto"/>
        <w:rPr>
          <w:rFonts w:ascii="Calibri" w:hAnsi="Calibri"/>
          <w:b/>
          <w:color w:val="0070C0"/>
          <w:sz w:val="22"/>
        </w:rPr>
      </w:pPr>
      <w:r w:rsidRPr="002715CE">
        <w:rPr>
          <w:rFonts w:ascii="Calibri" w:hAnsi="Calibri"/>
          <w:b/>
          <w:color w:val="0070C0"/>
          <w:sz w:val="22"/>
        </w:rPr>
        <w:t xml:space="preserve">Zodpovědní aktéři v rámci příprav RIS3 strategie </w:t>
      </w:r>
    </w:p>
    <w:p w:rsidR="001060DD" w:rsidRDefault="001060DD" w:rsidP="001060DD">
      <w:pPr>
        <w:spacing w:line="280" w:lineRule="exact"/>
        <w:jc w:val="both"/>
        <w:rPr>
          <w:rFonts w:ascii="Calibri" w:hAnsi="Calibri"/>
          <w:sz w:val="22"/>
        </w:rPr>
      </w:pPr>
      <w:r w:rsidRPr="002715CE">
        <w:rPr>
          <w:rFonts w:ascii="Calibri" w:hAnsi="Calibri"/>
          <w:b/>
          <w:sz w:val="22"/>
        </w:rPr>
        <w:t xml:space="preserve">Garantem splnění RIS3 ex-ante </w:t>
      </w:r>
      <w:proofErr w:type="spellStart"/>
      <w:r w:rsidRPr="002715CE">
        <w:rPr>
          <w:rFonts w:ascii="Calibri" w:hAnsi="Calibri"/>
          <w:b/>
          <w:sz w:val="22"/>
        </w:rPr>
        <w:t>kondicionality</w:t>
      </w:r>
      <w:proofErr w:type="spellEnd"/>
      <w:r w:rsidRPr="002715CE">
        <w:rPr>
          <w:rFonts w:ascii="Calibri" w:hAnsi="Calibri"/>
          <w:b/>
          <w:sz w:val="22"/>
        </w:rPr>
        <w:t xml:space="preserve"> v ČR</w:t>
      </w:r>
      <w:r w:rsidRPr="002715CE">
        <w:rPr>
          <w:rFonts w:ascii="Calibri" w:hAnsi="Calibri"/>
          <w:sz w:val="22"/>
        </w:rPr>
        <w:t>,</w:t>
      </w:r>
      <w:r w:rsidRPr="002715CE">
        <w:rPr>
          <w:rFonts w:ascii="Calibri" w:hAnsi="Calibri"/>
          <w:bCs/>
          <w:sz w:val="22"/>
        </w:rPr>
        <w:t xml:space="preserve"> tj. přípravou RIS3 strategie, bylo v letech 2013-2014 na základě usnesení vlády č. 809 z r. 2013 (a dle Akčního plánu řízení a koordinace předběžných podmínek, na které se usnesení odvolává) </w:t>
      </w:r>
      <w:r w:rsidRPr="002715CE">
        <w:rPr>
          <w:rFonts w:ascii="Calibri" w:hAnsi="Calibri"/>
          <w:b/>
          <w:sz w:val="22"/>
        </w:rPr>
        <w:t>Ministerstvo školství, mládeže a tělovýchovy</w:t>
      </w:r>
      <w:r w:rsidRPr="002715CE">
        <w:rPr>
          <w:rFonts w:ascii="Calibri" w:hAnsi="Calibri"/>
          <w:sz w:val="22"/>
        </w:rPr>
        <w:t xml:space="preserve"> (dále jen „MŠMT“).</w:t>
      </w:r>
    </w:p>
    <w:p w:rsidR="001060DD" w:rsidRPr="002715CE" w:rsidRDefault="001060DD" w:rsidP="001060DD">
      <w:pPr>
        <w:spacing w:line="280" w:lineRule="exact"/>
        <w:jc w:val="both"/>
        <w:rPr>
          <w:rFonts w:ascii="Calibri" w:hAnsi="Calibri"/>
          <w:b/>
          <w:sz w:val="22"/>
        </w:rPr>
      </w:pPr>
    </w:p>
    <w:p w:rsidR="001060DD" w:rsidRDefault="001060DD" w:rsidP="001060DD">
      <w:pPr>
        <w:spacing w:line="280" w:lineRule="exact"/>
        <w:jc w:val="both"/>
        <w:rPr>
          <w:rFonts w:ascii="Calibri" w:hAnsi="Calibri"/>
          <w:sz w:val="22"/>
        </w:rPr>
      </w:pPr>
      <w:r w:rsidRPr="002715CE">
        <w:rPr>
          <w:rFonts w:ascii="Calibri" w:hAnsi="Calibri"/>
          <w:sz w:val="22"/>
        </w:rPr>
        <w:t xml:space="preserve">Poradenskou podporu a odbornou expertízu ve fázi příprav a nastavování implementačních mechanismů RIS3 strategie poskytuje zodpovědným veřejným orgánům na národní úrovni tzv. </w:t>
      </w:r>
      <w:r w:rsidRPr="002715CE">
        <w:rPr>
          <w:rFonts w:ascii="Calibri" w:hAnsi="Calibri"/>
          <w:b/>
          <w:sz w:val="22"/>
        </w:rPr>
        <w:t xml:space="preserve">RIS3 </w:t>
      </w:r>
      <w:proofErr w:type="spellStart"/>
      <w:r w:rsidRPr="002715CE">
        <w:rPr>
          <w:rFonts w:ascii="Calibri" w:hAnsi="Calibri"/>
          <w:b/>
          <w:sz w:val="22"/>
        </w:rPr>
        <w:t>facilitátor</w:t>
      </w:r>
      <w:proofErr w:type="spellEnd"/>
      <w:r w:rsidRPr="002715CE">
        <w:rPr>
          <w:rFonts w:ascii="Calibri" w:hAnsi="Calibri"/>
          <w:sz w:val="22"/>
        </w:rPr>
        <w:t xml:space="preserve"> (externí odborný subjekt – konsorcium společností </w:t>
      </w:r>
      <w:proofErr w:type="spellStart"/>
      <w:r w:rsidRPr="002715CE">
        <w:rPr>
          <w:rFonts w:ascii="Calibri" w:hAnsi="Calibri"/>
          <w:sz w:val="22"/>
        </w:rPr>
        <w:t>Berman</w:t>
      </w:r>
      <w:proofErr w:type="spellEnd"/>
      <w:r w:rsidRPr="002715CE">
        <w:rPr>
          <w:rFonts w:ascii="Calibri" w:hAnsi="Calibri"/>
          <w:sz w:val="22"/>
        </w:rPr>
        <w:t xml:space="preserve"> Group, Jihomoravské inovační </w:t>
      </w:r>
      <w:r w:rsidRPr="002715CE">
        <w:rPr>
          <w:rFonts w:ascii="Calibri" w:hAnsi="Calibri"/>
          <w:sz w:val="22"/>
        </w:rPr>
        <w:lastRenderedPageBreak/>
        <w:t xml:space="preserve">centrum a RPIC-VIP – který byl </w:t>
      </w:r>
      <w:proofErr w:type="spellStart"/>
      <w:r w:rsidRPr="002715CE">
        <w:rPr>
          <w:rFonts w:ascii="Calibri" w:hAnsi="Calibri"/>
          <w:sz w:val="22"/>
        </w:rPr>
        <w:t>vysoutěžen</w:t>
      </w:r>
      <w:proofErr w:type="spellEnd"/>
      <w:r w:rsidRPr="002715CE">
        <w:rPr>
          <w:rFonts w:ascii="Calibri" w:hAnsi="Calibri"/>
          <w:sz w:val="22"/>
        </w:rPr>
        <w:t xml:space="preserve"> prostřednictvím veřejné zakázky a zahájil svou činnost v listopadu 2013). </w:t>
      </w:r>
    </w:p>
    <w:p w:rsidR="001060DD" w:rsidRPr="002715CE" w:rsidRDefault="001060DD" w:rsidP="001060DD">
      <w:pPr>
        <w:spacing w:line="280" w:lineRule="exact"/>
        <w:jc w:val="both"/>
        <w:rPr>
          <w:rFonts w:ascii="Calibri" w:hAnsi="Calibri"/>
          <w:sz w:val="22"/>
        </w:rPr>
      </w:pPr>
    </w:p>
    <w:p w:rsidR="001060DD" w:rsidRDefault="001060DD" w:rsidP="001060DD">
      <w:pPr>
        <w:spacing w:line="280" w:lineRule="exact"/>
        <w:jc w:val="both"/>
        <w:rPr>
          <w:rFonts w:ascii="Calibri" w:hAnsi="Calibri"/>
          <w:sz w:val="22"/>
        </w:rPr>
      </w:pPr>
      <w:r w:rsidRPr="002715CE">
        <w:rPr>
          <w:rFonts w:ascii="Calibri" w:hAnsi="Calibri"/>
          <w:sz w:val="22"/>
        </w:rPr>
        <w:t xml:space="preserve">Na úrovni regionální jsou </w:t>
      </w:r>
      <w:r w:rsidRPr="002715CE">
        <w:rPr>
          <w:rFonts w:ascii="Calibri" w:hAnsi="Calibri"/>
          <w:bCs/>
          <w:sz w:val="22"/>
        </w:rPr>
        <w:t xml:space="preserve">„styčnými důstojníky“ </w:t>
      </w:r>
      <w:r w:rsidRPr="002715CE">
        <w:rPr>
          <w:rFonts w:ascii="Calibri" w:hAnsi="Calibri"/>
          <w:sz w:val="22"/>
        </w:rPr>
        <w:t xml:space="preserve">tzv. </w:t>
      </w:r>
      <w:r w:rsidRPr="002715CE">
        <w:rPr>
          <w:rFonts w:ascii="Calibri" w:hAnsi="Calibri"/>
          <w:b/>
          <w:sz w:val="22"/>
        </w:rPr>
        <w:t>krajští RIS3 manažeři</w:t>
      </w:r>
      <w:r w:rsidRPr="002715CE">
        <w:rPr>
          <w:rFonts w:ascii="Calibri" w:hAnsi="Calibri"/>
          <w:sz w:val="22"/>
        </w:rPr>
        <w:t xml:space="preserve"> v jednotlivých krajích ČR (experti se zkušenostmi s podporou </w:t>
      </w:r>
      <w:proofErr w:type="spellStart"/>
      <w:r w:rsidRPr="002715CE">
        <w:rPr>
          <w:rFonts w:ascii="Calibri" w:hAnsi="Calibri"/>
          <w:sz w:val="22"/>
        </w:rPr>
        <w:t>VaVaI</w:t>
      </w:r>
      <w:proofErr w:type="spellEnd"/>
      <w:r w:rsidRPr="002715CE">
        <w:rPr>
          <w:rFonts w:ascii="Calibri" w:hAnsi="Calibri"/>
          <w:sz w:val="22"/>
        </w:rPr>
        <w:t xml:space="preserve"> a znalostí daného regionu, kteří byli pro tuto agendu vybráni ze strany MŠMT v rámci otevřeného výběrového řízení a kteří svou činnost zahájili v květnu 2013). Krajští RIS3 manažeři zodpovídají nejen za zpracování krajských příloh RIS3, ale i za facilitaci budování a ustavení řídicí a implementační struktury pro RIS3 v krajích (tj. budování partnerství, včetně ustavení krajských inovačních platforem sestávajících v souladu s principem „</w:t>
      </w:r>
      <w:proofErr w:type="spellStart"/>
      <w:r w:rsidRPr="002715CE">
        <w:rPr>
          <w:rFonts w:ascii="Calibri" w:hAnsi="Calibri"/>
          <w:sz w:val="22"/>
        </w:rPr>
        <w:t>entrepreneurial</w:t>
      </w:r>
      <w:proofErr w:type="spellEnd"/>
      <w:r w:rsidRPr="002715CE">
        <w:rPr>
          <w:rFonts w:ascii="Calibri" w:hAnsi="Calibri"/>
          <w:sz w:val="22"/>
        </w:rPr>
        <w:t xml:space="preserve"> </w:t>
      </w:r>
      <w:proofErr w:type="spellStart"/>
      <w:r w:rsidRPr="002715CE">
        <w:rPr>
          <w:rFonts w:ascii="Calibri" w:hAnsi="Calibri"/>
          <w:sz w:val="22"/>
        </w:rPr>
        <w:t>discovery</w:t>
      </w:r>
      <w:proofErr w:type="spellEnd"/>
      <w:r w:rsidRPr="002715CE">
        <w:rPr>
          <w:rFonts w:ascii="Calibri" w:hAnsi="Calibri"/>
          <w:sz w:val="22"/>
        </w:rPr>
        <w:t xml:space="preserve"> </w:t>
      </w:r>
      <w:proofErr w:type="spellStart"/>
      <w:r w:rsidRPr="002715CE">
        <w:rPr>
          <w:rFonts w:ascii="Calibri" w:hAnsi="Calibri"/>
          <w:sz w:val="22"/>
        </w:rPr>
        <w:t>process</w:t>
      </w:r>
      <w:proofErr w:type="spellEnd"/>
      <w:r w:rsidRPr="002715CE">
        <w:rPr>
          <w:rFonts w:ascii="Calibri" w:hAnsi="Calibri"/>
          <w:sz w:val="22"/>
        </w:rPr>
        <w:t>“ ze zástupců klíčových aktérů z podnikatelského sektoru, VŠ, výzkumných a neziskových organizací za účelem sběru podnětů pro výběr priorit a později i pro implementaci RIS3 strategie v kraji), a facilitaci spuštění implementace RIS3 strategie na krajské úrovni. Krajští RIS3 manažeři jsou součástí analytického týmu Úřadu vlády.</w:t>
      </w:r>
    </w:p>
    <w:p w:rsidR="001060DD" w:rsidRPr="002715CE" w:rsidRDefault="001060DD" w:rsidP="001060DD">
      <w:pPr>
        <w:spacing w:line="280" w:lineRule="exact"/>
        <w:jc w:val="both"/>
        <w:rPr>
          <w:rFonts w:ascii="Calibri" w:hAnsi="Calibri"/>
          <w:sz w:val="22"/>
        </w:rPr>
      </w:pPr>
    </w:p>
    <w:p w:rsidR="001060DD" w:rsidRDefault="001060DD" w:rsidP="001060DD">
      <w:pPr>
        <w:spacing w:line="280" w:lineRule="exact"/>
        <w:jc w:val="both"/>
        <w:rPr>
          <w:rFonts w:ascii="Calibri" w:hAnsi="Calibri"/>
          <w:sz w:val="22"/>
        </w:rPr>
      </w:pPr>
      <w:r w:rsidRPr="002715CE">
        <w:rPr>
          <w:rFonts w:ascii="Calibri" w:hAnsi="Calibri"/>
          <w:b/>
          <w:sz w:val="22"/>
        </w:rPr>
        <w:t xml:space="preserve">MŠMT </w:t>
      </w:r>
      <w:r w:rsidRPr="002715CE">
        <w:rPr>
          <w:rFonts w:ascii="Calibri" w:hAnsi="Calibri"/>
          <w:sz w:val="22"/>
        </w:rPr>
        <w:t xml:space="preserve">jako garant RIS3 ex-ante </w:t>
      </w:r>
      <w:proofErr w:type="spellStart"/>
      <w:r w:rsidRPr="002715CE">
        <w:rPr>
          <w:rFonts w:ascii="Calibri" w:hAnsi="Calibri"/>
          <w:sz w:val="22"/>
        </w:rPr>
        <w:t>kondicionality</w:t>
      </w:r>
      <w:proofErr w:type="spellEnd"/>
      <w:r w:rsidRPr="002715CE">
        <w:rPr>
          <w:rFonts w:ascii="Calibri" w:hAnsi="Calibri"/>
          <w:sz w:val="22"/>
        </w:rPr>
        <w:t xml:space="preserve"> odpovídalo za (i) </w:t>
      </w:r>
      <w:r w:rsidRPr="002715CE">
        <w:rPr>
          <w:rFonts w:ascii="Calibri" w:hAnsi="Calibri"/>
          <w:bCs/>
          <w:sz w:val="22"/>
        </w:rPr>
        <w:t xml:space="preserve">zpracování RIS3 strategie na národní úrovni </w:t>
      </w:r>
      <w:r w:rsidRPr="002715CE">
        <w:rPr>
          <w:rFonts w:ascii="Calibri" w:hAnsi="Calibri"/>
          <w:sz w:val="22"/>
        </w:rPr>
        <w:t xml:space="preserve">v souladu s metodikou </w:t>
      </w:r>
      <w:r w:rsidRPr="002715CE">
        <w:rPr>
          <w:rFonts w:ascii="Calibri" w:hAnsi="Calibri"/>
          <w:sz w:val="22"/>
        </w:rPr>
        <w:tab/>
        <w:t xml:space="preserve">EK při zohlednění specifik ČR, (ii) facilitaci ustavení struktury pro řízení a implementaci RIS3 strategie na národní úrovni, (iii) facilitaci usazení mechanismů pro implementaci RIS3 strategie zejm. prostřednictvím relevantních operačních programů programového období 2014-2020 (iii) </w:t>
      </w:r>
      <w:r w:rsidRPr="002715CE">
        <w:rPr>
          <w:rFonts w:ascii="Calibri" w:hAnsi="Calibri"/>
          <w:bCs/>
          <w:sz w:val="22"/>
        </w:rPr>
        <w:t xml:space="preserve">koordinaci aktivit krajských RIS3 manažerů a jejich odborné vedení, (iv) </w:t>
      </w:r>
      <w:r w:rsidRPr="002715CE">
        <w:rPr>
          <w:rFonts w:ascii="Calibri" w:hAnsi="Calibri"/>
          <w:sz w:val="22"/>
        </w:rPr>
        <w:t>podporu krajských RIS3 manažerů při zahajování implementace na krajské úrovni a facilitaci zahájení implementace RIS3 strategie na národní úrovni.</w:t>
      </w:r>
    </w:p>
    <w:p w:rsidR="001060DD" w:rsidRPr="002715CE" w:rsidRDefault="001060DD" w:rsidP="001060DD">
      <w:pPr>
        <w:spacing w:line="280" w:lineRule="exact"/>
        <w:jc w:val="both"/>
        <w:rPr>
          <w:rFonts w:ascii="Calibri" w:hAnsi="Calibri"/>
          <w:sz w:val="22"/>
        </w:rPr>
      </w:pPr>
    </w:p>
    <w:p w:rsidR="001060DD" w:rsidRPr="002715CE" w:rsidRDefault="001060DD" w:rsidP="001060DD">
      <w:pPr>
        <w:spacing w:line="280" w:lineRule="exact"/>
        <w:jc w:val="both"/>
        <w:rPr>
          <w:rFonts w:ascii="Calibri" w:hAnsi="Calibri"/>
          <w:sz w:val="22"/>
        </w:rPr>
      </w:pPr>
      <w:r w:rsidRPr="002715CE">
        <w:rPr>
          <w:rFonts w:ascii="Calibri" w:hAnsi="Calibri"/>
          <w:sz w:val="22"/>
        </w:rPr>
        <w:t xml:space="preserve">Koordinační a monitorovací funkci nad přípravou RIS3 strategie plnila </w:t>
      </w:r>
      <w:r w:rsidRPr="002715CE">
        <w:rPr>
          <w:rFonts w:ascii="Calibri" w:hAnsi="Calibri"/>
          <w:b/>
          <w:sz w:val="22"/>
        </w:rPr>
        <w:t>Národní</w:t>
      </w:r>
      <w:r w:rsidRPr="002715CE">
        <w:rPr>
          <w:rFonts w:ascii="Calibri" w:hAnsi="Calibri"/>
          <w:sz w:val="22"/>
        </w:rPr>
        <w:t xml:space="preserve"> </w:t>
      </w:r>
      <w:r w:rsidRPr="002715CE">
        <w:rPr>
          <w:rFonts w:ascii="Calibri" w:hAnsi="Calibri"/>
          <w:b/>
          <w:sz w:val="22"/>
        </w:rPr>
        <w:t>RIS3 Koordinační rada</w:t>
      </w:r>
      <w:r w:rsidRPr="002715CE">
        <w:rPr>
          <w:rFonts w:ascii="Calibri" w:hAnsi="Calibri"/>
          <w:sz w:val="22"/>
        </w:rPr>
        <w:t xml:space="preserve">, která byla ustavena v r. 2012 z iniciativy MŠMT. Sestávala se ze zástupců institucí hrajících klíčovou roli ve formování politiky ČR v oblasti konkurenceschopnosti, výzkumu, vývoje, inovací, informačních technologií, vzdělávání a regionálního rozvoje. Jednalo se o zástupce MŠMT a dalších ministerstev, jichž se aktivity plánované v RIS3 týkají – tedy především Ministerstva průmyslu a obchodu (dále jen „MPO“), které bylo </w:t>
      </w:r>
      <w:proofErr w:type="spellStart"/>
      <w:r w:rsidRPr="002715CE">
        <w:rPr>
          <w:rFonts w:ascii="Calibri" w:hAnsi="Calibri"/>
          <w:sz w:val="22"/>
        </w:rPr>
        <w:t>spolugestorem</w:t>
      </w:r>
      <w:proofErr w:type="spellEnd"/>
      <w:r w:rsidRPr="002715CE">
        <w:rPr>
          <w:rFonts w:ascii="Calibri" w:hAnsi="Calibri"/>
          <w:sz w:val="22"/>
        </w:rPr>
        <w:t xml:space="preserve"> přípravy RIS3 strategie, dále Ministerstva vnitra, Ministerstva práce a sociálních věcí, Ministerstva zemědělství a Ministerstva pro místní rozvoj, které je Národním koordinačním orgánem pro ESIF fondy, a dále též Rady vlády pro výzkum, vývoj a inovace a Úřadu vlády (dále také „ÚV“), který je taktéž </w:t>
      </w:r>
      <w:proofErr w:type="spellStart"/>
      <w:r w:rsidRPr="002715CE">
        <w:rPr>
          <w:rFonts w:ascii="Calibri" w:hAnsi="Calibri"/>
          <w:sz w:val="22"/>
        </w:rPr>
        <w:t>spolugestorem</w:t>
      </w:r>
      <w:proofErr w:type="spellEnd"/>
      <w:r w:rsidRPr="002715CE">
        <w:rPr>
          <w:rFonts w:ascii="Calibri" w:hAnsi="Calibri"/>
          <w:sz w:val="22"/>
        </w:rPr>
        <w:t xml:space="preserve"> přípravy RIS3 strategie. Kromě centrálních orgánů byla v RIS3 Koordinační radě zastoupena územní samospráva (kraje, města a obce) prostřednictvím zástupců svých sdružení (Asociace krajů a Svaz měst a obcí), a dále partneři zastupující výzkumnou sféru (Akademie věd ČR, Technologická agentura ČR, Asociace výzkumných organizací, Česká konference rektorů) a partneři zastupující hospodářský sektor (Svaz průmyslu a dopravy, Hospodářská komora ČR) a partner zastupující oblast popularizace </w:t>
      </w:r>
      <w:proofErr w:type="spellStart"/>
      <w:r w:rsidRPr="002715CE">
        <w:rPr>
          <w:rFonts w:ascii="Calibri" w:hAnsi="Calibri"/>
          <w:sz w:val="22"/>
        </w:rPr>
        <w:t>VaVaI</w:t>
      </w:r>
      <w:proofErr w:type="spellEnd"/>
      <w:r w:rsidRPr="002715CE">
        <w:rPr>
          <w:rFonts w:ascii="Calibri" w:hAnsi="Calibri"/>
          <w:sz w:val="22"/>
        </w:rPr>
        <w:t xml:space="preserve"> (Asociace science-</w:t>
      </w:r>
      <w:proofErr w:type="spellStart"/>
      <w:r w:rsidRPr="002715CE">
        <w:rPr>
          <w:rFonts w:ascii="Calibri" w:hAnsi="Calibri"/>
          <w:sz w:val="22"/>
        </w:rPr>
        <w:t>learning</w:t>
      </w:r>
      <w:proofErr w:type="spellEnd"/>
      <w:r w:rsidRPr="002715CE">
        <w:rPr>
          <w:rFonts w:ascii="Calibri" w:hAnsi="Calibri"/>
          <w:sz w:val="22"/>
        </w:rPr>
        <w:t xml:space="preserve"> center).</w:t>
      </w:r>
    </w:p>
    <w:p w:rsidR="001060DD" w:rsidRPr="002715CE" w:rsidRDefault="001060DD" w:rsidP="001060DD">
      <w:pPr>
        <w:jc w:val="both"/>
        <w:rPr>
          <w:rFonts w:ascii="Cambria" w:hAnsi="Cambria"/>
          <w:b/>
          <w:color w:val="0070C0"/>
          <w:sz w:val="28"/>
          <w:szCs w:val="24"/>
        </w:rPr>
      </w:pPr>
    </w:p>
    <w:p w:rsidR="001060DD" w:rsidRPr="002715CE" w:rsidRDefault="001060DD" w:rsidP="001060DD">
      <w:pPr>
        <w:jc w:val="both"/>
        <w:rPr>
          <w:rFonts w:ascii="Cambria" w:hAnsi="Cambria"/>
          <w:b/>
          <w:color w:val="0070C0"/>
          <w:sz w:val="28"/>
          <w:szCs w:val="24"/>
        </w:rPr>
      </w:pPr>
      <w:r w:rsidRPr="002715CE">
        <w:rPr>
          <w:rFonts w:ascii="Cambria" w:hAnsi="Cambria"/>
          <w:b/>
          <w:color w:val="0070C0"/>
          <w:sz w:val="28"/>
          <w:szCs w:val="24"/>
        </w:rPr>
        <w:t>2. Národní RIS3 strategie</w:t>
      </w:r>
    </w:p>
    <w:p w:rsidR="001060DD" w:rsidRPr="002715CE" w:rsidRDefault="001060DD" w:rsidP="001060DD">
      <w:pPr>
        <w:spacing w:line="280" w:lineRule="exact"/>
        <w:ind w:left="-360"/>
        <w:jc w:val="both"/>
        <w:rPr>
          <w:rFonts w:ascii="Calibri" w:hAnsi="Calibri"/>
          <w:b/>
          <w:color w:val="0070C0"/>
          <w:sz w:val="22"/>
        </w:rPr>
      </w:pPr>
      <w:r w:rsidRPr="002715CE">
        <w:rPr>
          <w:rFonts w:ascii="Calibri" w:hAnsi="Calibri"/>
          <w:b/>
          <w:color w:val="0070C0"/>
          <w:sz w:val="22"/>
        </w:rPr>
        <w:t>2.1. Zpracování Národní RIS3 strategie</w:t>
      </w:r>
    </w:p>
    <w:p w:rsidR="001060DD" w:rsidRPr="002715CE" w:rsidRDefault="001060DD" w:rsidP="001060DD">
      <w:pPr>
        <w:spacing w:line="280" w:lineRule="exact"/>
        <w:jc w:val="both"/>
        <w:rPr>
          <w:rFonts w:ascii="Calibri" w:hAnsi="Calibri"/>
          <w:sz w:val="22"/>
        </w:rPr>
      </w:pPr>
      <w:r w:rsidRPr="002715CE">
        <w:rPr>
          <w:rFonts w:ascii="Calibri" w:hAnsi="Calibri"/>
          <w:sz w:val="22"/>
        </w:rPr>
        <w:t>RIS3 strategie na národní úrovni byla v gesci MŠMT v první (pracovní) verzi dokončena v prosinci 2013 a v aktualizované verzi v dubnu 2014. RIS3 dokument byl zpracován v návaznosti na stávající relevantní strategické dokumenty ČR, zejm.:</w:t>
      </w:r>
    </w:p>
    <w:p w:rsidR="001060DD" w:rsidRPr="002715CE" w:rsidRDefault="001060DD" w:rsidP="001060DD">
      <w:pPr>
        <w:numPr>
          <w:ilvl w:val="0"/>
          <w:numId w:val="26"/>
        </w:numPr>
        <w:overflowPunct/>
        <w:autoSpaceDE/>
        <w:autoSpaceDN/>
        <w:adjustRightInd/>
        <w:spacing w:after="200"/>
        <w:ind w:left="714" w:hanging="357"/>
        <w:contextualSpacing/>
        <w:jc w:val="both"/>
        <w:textAlignment w:val="auto"/>
        <w:rPr>
          <w:rFonts w:ascii="Calibri" w:hAnsi="Calibri"/>
          <w:sz w:val="22"/>
        </w:rPr>
      </w:pPr>
      <w:r w:rsidRPr="002715CE">
        <w:rPr>
          <w:rFonts w:ascii="Calibri" w:hAnsi="Calibri"/>
          <w:sz w:val="22"/>
        </w:rPr>
        <w:t>Národní inovační strategie České republiky</w:t>
      </w:r>
    </w:p>
    <w:p w:rsidR="001060DD" w:rsidRPr="002715CE" w:rsidRDefault="001060DD" w:rsidP="001060DD">
      <w:pPr>
        <w:numPr>
          <w:ilvl w:val="0"/>
          <w:numId w:val="26"/>
        </w:numPr>
        <w:overflowPunct/>
        <w:autoSpaceDE/>
        <w:autoSpaceDN/>
        <w:adjustRightInd/>
        <w:spacing w:after="200"/>
        <w:ind w:left="714" w:hanging="357"/>
        <w:contextualSpacing/>
        <w:jc w:val="both"/>
        <w:textAlignment w:val="auto"/>
        <w:rPr>
          <w:rFonts w:ascii="Calibri" w:hAnsi="Calibri"/>
          <w:sz w:val="22"/>
        </w:rPr>
      </w:pPr>
      <w:r w:rsidRPr="002715CE">
        <w:rPr>
          <w:rFonts w:ascii="Calibri" w:hAnsi="Calibri"/>
          <w:sz w:val="22"/>
        </w:rPr>
        <w:t>Strategie mezinárodní konkurenceschopnosti České republiky pro období 2012 až 2020</w:t>
      </w:r>
    </w:p>
    <w:p w:rsidR="001060DD" w:rsidRPr="002715CE" w:rsidRDefault="001060DD" w:rsidP="001060DD">
      <w:pPr>
        <w:numPr>
          <w:ilvl w:val="0"/>
          <w:numId w:val="26"/>
        </w:numPr>
        <w:overflowPunct/>
        <w:autoSpaceDE/>
        <w:autoSpaceDN/>
        <w:adjustRightInd/>
        <w:spacing w:after="120" w:line="276" w:lineRule="auto"/>
        <w:contextualSpacing/>
        <w:jc w:val="both"/>
        <w:textAlignment w:val="auto"/>
        <w:rPr>
          <w:rFonts w:ascii="Calibri" w:hAnsi="Calibri"/>
          <w:sz w:val="22"/>
        </w:rPr>
      </w:pPr>
      <w:r w:rsidRPr="002715CE">
        <w:rPr>
          <w:rFonts w:ascii="Calibri" w:hAnsi="Calibri"/>
          <w:sz w:val="22"/>
        </w:rPr>
        <w:t xml:space="preserve"> Aktualizace Národní politiky výzkumu, vývoje a inovací České republiky na léta 2009 až 2015 s výhledem do roku 2020</w:t>
      </w:r>
    </w:p>
    <w:p w:rsidR="001060DD" w:rsidRPr="002715CE" w:rsidRDefault="001060DD" w:rsidP="001060DD">
      <w:pPr>
        <w:numPr>
          <w:ilvl w:val="0"/>
          <w:numId w:val="26"/>
        </w:numPr>
        <w:overflowPunct/>
        <w:autoSpaceDE/>
        <w:autoSpaceDN/>
        <w:adjustRightInd/>
        <w:spacing w:after="200"/>
        <w:ind w:left="714" w:hanging="357"/>
        <w:contextualSpacing/>
        <w:jc w:val="both"/>
        <w:textAlignment w:val="auto"/>
        <w:rPr>
          <w:rFonts w:ascii="Calibri" w:hAnsi="Calibri"/>
          <w:sz w:val="22"/>
        </w:rPr>
      </w:pPr>
      <w:r w:rsidRPr="002715CE">
        <w:rPr>
          <w:rFonts w:ascii="Calibri" w:hAnsi="Calibri"/>
          <w:sz w:val="22"/>
        </w:rPr>
        <w:t xml:space="preserve">Národní priority orientovaného výzkumu, experimentálního vývoje a inovací </w:t>
      </w:r>
    </w:p>
    <w:p w:rsidR="001060DD" w:rsidRPr="002715CE" w:rsidRDefault="001060DD" w:rsidP="001060DD">
      <w:pPr>
        <w:numPr>
          <w:ilvl w:val="0"/>
          <w:numId w:val="26"/>
        </w:numPr>
        <w:overflowPunct/>
        <w:autoSpaceDE/>
        <w:autoSpaceDN/>
        <w:adjustRightInd/>
        <w:spacing w:after="200"/>
        <w:ind w:left="714" w:hanging="357"/>
        <w:contextualSpacing/>
        <w:jc w:val="both"/>
        <w:textAlignment w:val="auto"/>
        <w:rPr>
          <w:rFonts w:ascii="Calibri" w:hAnsi="Calibri"/>
          <w:sz w:val="22"/>
        </w:rPr>
      </w:pPr>
      <w:r w:rsidRPr="002715CE">
        <w:rPr>
          <w:rFonts w:ascii="Calibri" w:hAnsi="Calibri"/>
          <w:sz w:val="22"/>
        </w:rPr>
        <w:t>Národní program reforem České republiky 2014</w:t>
      </w:r>
    </w:p>
    <w:p w:rsidR="001060DD" w:rsidRPr="002715CE" w:rsidRDefault="001060DD" w:rsidP="001060DD">
      <w:pPr>
        <w:numPr>
          <w:ilvl w:val="0"/>
          <w:numId w:val="26"/>
        </w:numPr>
        <w:overflowPunct/>
        <w:autoSpaceDE/>
        <w:autoSpaceDN/>
        <w:adjustRightInd/>
        <w:spacing w:after="200"/>
        <w:ind w:left="714" w:hanging="357"/>
        <w:contextualSpacing/>
        <w:jc w:val="both"/>
        <w:textAlignment w:val="auto"/>
        <w:rPr>
          <w:rFonts w:ascii="Calibri" w:hAnsi="Calibri"/>
          <w:sz w:val="22"/>
        </w:rPr>
      </w:pPr>
      <w:r w:rsidRPr="002715CE">
        <w:rPr>
          <w:rFonts w:ascii="Calibri" w:hAnsi="Calibri"/>
          <w:sz w:val="22"/>
        </w:rPr>
        <w:lastRenderedPageBreak/>
        <w:t>a další</w:t>
      </w:r>
    </w:p>
    <w:p w:rsidR="001060DD" w:rsidRPr="002715CE" w:rsidRDefault="001060DD" w:rsidP="001060DD">
      <w:pPr>
        <w:spacing w:line="280" w:lineRule="exact"/>
        <w:jc w:val="both"/>
        <w:rPr>
          <w:rFonts w:ascii="Calibri" w:hAnsi="Calibri"/>
          <w:sz w:val="22"/>
        </w:rPr>
      </w:pPr>
    </w:p>
    <w:p w:rsidR="001060DD" w:rsidRDefault="001060DD" w:rsidP="001060DD">
      <w:pPr>
        <w:spacing w:line="280" w:lineRule="exact"/>
        <w:jc w:val="both"/>
        <w:rPr>
          <w:rFonts w:ascii="Calibri" w:hAnsi="Calibri"/>
          <w:sz w:val="22"/>
        </w:rPr>
      </w:pPr>
      <w:r w:rsidRPr="002715CE">
        <w:rPr>
          <w:rFonts w:ascii="Calibri" w:hAnsi="Calibri"/>
          <w:sz w:val="22"/>
        </w:rPr>
        <w:t>Pro návrh horizontálních i vertikálních priorit (tj. návrh vybraných domén, v nichž má ČR silný potenciál pro inteligentní specializaci) byly však zpracovány nové vlastní analýzy, které poskytují rámec pro přesnější zacílení navrhovaných intervencí</w:t>
      </w:r>
      <w:r w:rsidRPr="002715CE">
        <w:rPr>
          <w:rFonts w:ascii="Calibri" w:hAnsi="Calibri"/>
          <w:sz w:val="22"/>
          <w:vertAlign w:val="superscript"/>
        </w:rPr>
        <w:footnoteReference w:id="3"/>
      </w:r>
      <w:r w:rsidRPr="002715CE">
        <w:rPr>
          <w:rFonts w:ascii="Calibri" w:hAnsi="Calibri"/>
          <w:sz w:val="22"/>
        </w:rPr>
        <w:t xml:space="preserve">. </w:t>
      </w:r>
    </w:p>
    <w:p w:rsidR="001060DD" w:rsidRPr="002715CE" w:rsidRDefault="001060DD" w:rsidP="001060DD">
      <w:pPr>
        <w:spacing w:line="280" w:lineRule="exact"/>
        <w:jc w:val="both"/>
        <w:rPr>
          <w:rFonts w:ascii="Calibri" w:hAnsi="Calibri"/>
          <w:sz w:val="22"/>
        </w:rPr>
      </w:pPr>
    </w:p>
    <w:p w:rsidR="001060DD" w:rsidRPr="002715CE" w:rsidRDefault="001060DD" w:rsidP="001060DD">
      <w:pPr>
        <w:spacing w:line="280" w:lineRule="exact"/>
        <w:ind w:left="-360"/>
        <w:jc w:val="both"/>
        <w:rPr>
          <w:rFonts w:ascii="Calibri" w:hAnsi="Calibri"/>
          <w:b/>
          <w:color w:val="0070C0"/>
          <w:sz w:val="22"/>
        </w:rPr>
      </w:pPr>
      <w:r w:rsidRPr="002715CE">
        <w:rPr>
          <w:rFonts w:ascii="Calibri" w:hAnsi="Calibri"/>
          <w:b/>
          <w:color w:val="0070C0"/>
          <w:sz w:val="22"/>
        </w:rPr>
        <w:t xml:space="preserve">2.2 Proces projednávání a dopracovávání Národní RIS3 strategie </w:t>
      </w:r>
    </w:p>
    <w:p w:rsidR="001060DD" w:rsidRDefault="001060DD" w:rsidP="001060DD">
      <w:pPr>
        <w:jc w:val="both"/>
        <w:rPr>
          <w:rFonts w:ascii="Calibri" w:hAnsi="Calibri"/>
          <w:sz w:val="22"/>
        </w:rPr>
      </w:pPr>
      <w:r w:rsidRPr="002715CE">
        <w:rPr>
          <w:rFonts w:ascii="Calibri" w:hAnsi="Calibri"/>
          <w:sz w:val="22"/>
        </w:rPr>
        <w:t xml:space="preserve">Národní RIS3 strategie procházela od počátku roku 2014 </w:t>
      </w:r>
      <w:proofErr w:type="spellStart"/>
      <w:r w:rsidRPr="002715CE">
        <w:rPr>
          <w:rFonts w:ascii="Calibri" w:hAnsi="Calibri"/>
          <w:sz w:val="22"/>
        </w:rPr>
        <w:t>vícekolovým</w:t>
      </w:r>
      <w:proofErr w:type="spellEnd"/>
      <w:r w:rsidRPr="002715CE">
        <w:rPr>
          <w:rFonts w:ascii="Calibri" w:hAnsi="Calibri"/>
          <w:sz w:val="22"/>
        </w:rPr>
        <w:t xml:space="preserve"> a vícestupňovým procesem projednávání a dopracovávání na základě obdržených připomínek a podnětů ze strany zástupců podnikatelské, výzkumné i veřejnosprávní sféry. </w:t>
      </w:r>
    </w:p>
    <w:p w:rsidR="001060DD" w:rsidRPr="002715CE" w:rsidRDefault="001060DD" w:rsidP="001060DD">
      <w:pPr>
        <w:jc w:val="both"/>
        <w:rPr>
          <w:rFonts w:ascii="Calibri" w:hAnsi="Calibri"/>
          <w:sz w:val="22"/>
        </w:rPr>
      </w:pPr>
    </w:p>
    <w:p w:rsidR="001060DD" w:rsidRDefault="001060DD" w:rsidP="001060DD">
      <w:pPr>
        <w:jc w:val="both"/>
        <w:rPr>
          <w:rFonts w:ascii="Calibri" w:hAnsi="Calibri"/>
          <w:sz w:val="22"/>
        </w:rPr>
      </w:pPr>
      <w:r w:rsidRPr="002715CE">
        <w:rPr>
          <w:rFonts w:ascii="Calibri" w:hAnsi="Calibri"/>
          <w:sz w:val="22"/>
        </w:rPr>
        <w:t xml:space="preserve">Tento proces byl zahájen dne 13. ledna 2014, kdy proběhl pod společným patronátem MŠMT a MPO první </w:t>
      </w:r>
      <w:r w:rsidRPr="002715CE">
        <w:rPr>
          <w:rFonts w:ascii="Calibri" w:hAnsi="Calibri"/>
          <w:bCs/>
          <w:sz w:val="22"/>
        </w:rPr>
        <w:t>kulatý stůl (</w:t>
      </w:r>
      <w:r w:rsidRPr="002715CE">
        <w:rPr>
          <w:rFonts w:ascii="Calibri" w:hAnsi="Calibri"/>
          <w:sz w:val="22"/>
        </w:rPr>
        <w:t xml:space="preserve">předchůdce inovační platformy) sdružující zástupce předních inovačních firem a výzkumných organizací. Následně byla strategie dne 23. ledna 2014 projednána Národní RIS3 Koordinační radou a zároveň neformálně předložena EK k připomínkám. </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cs="Calibri"/>
          <w:sz w:val="22"/>
        </w:rPr>
      </w:pPr>
      <w:r w:rsidRPr="002715CE">
        <w:rPr>
          <w:rFonts w:ascii="Calibri" w:hAnsi="Calibri" w:cs="Calibri"/>
          <w:sz w:val="22"/>
        </w:rPr>
        <w:t xml:space="preserve">Návrh Národní RIS3 byl celkově příznivě přijat, obdržené připomínky se vztahovaly víceméně pouze k dílčím nejasnostem či formulacím v textu. Připomínky obdržené ze strany EK upozorňovaly zejména na potřebu dopracovat určité části Národní RIS3 strategie, především návrh řízení a implementace a taktéž rozpočtového výhledu, kvalita Národní RIS3 však byla hodnocena kladně. </w:t>
      </w:r>
    </w:p>
    <w:p w:rsidR="001060DD" w:rsidRPr="002715CE" w:rsidRDefault="001060DD" w:rsidP="001060DD">
      <w:pPr>
        <w:jc w:val="both"/>
        <w:rPr>
          <w:rFonts w:ascii="Calibri" w:hAnsi="Calibri" w:cs="Calibri"/>
          <w:sz w:val="22"/>
        </w:rPr>
      </w:pPr>
    </w:p>
    <w:p w:rsidR="001060DD" w:rsidRDefault="001060DD" w:rsidP="001060DD">
      <w:pPr>
        <w:jc w:val="both"/>
        <w:rPr>
          <w:rFonts w:ascii="Calibri" w:hAnsi="Calibri"/>
          <w:sz w:val="22"/>
        </w:rPr>
      </w:pPr>
      <w:r w:rsidRPr="002715CE">
        <w:rPr>
          <w:rFonts w:ascii="Calibri" w:hAnsi="Calibri"/>
          <w:sz w:val="22"/>
        </w:rPr>
        <w:t xml:space="preserve">Na základě vypořádání připomínek z výše uvedeného prvního kola projednávání vznikla v dubnu 2014 druhá pracovní verze Národní RIS3 strategie. Tato druhá verze byla představena na 6. Jednání RIS3 Koordinační rady dne 4. června 2014 a opět předložena EK k neformálním připomínkám. </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sz w:val="22"/>
        </w:rPr>
      </w:pPr>
      <w:r w:rsidRPr="002715CE">
        <w:rPr>
          <w:rFonts w:ascii="Calibri" w:hAnsi="Calibri"/>
          <w:sz w:val="22"/>
        </w:rPr>
        <w:t xml:space="preserve">Na základě tohoto druhého kola připomínkovacího procesu byla vypracována třetí pracovní verze Národní RIS3 strategie, která prošla vnitřním připomínkovým řízením MŠMT. Národní RIS3 koordinační rada (dne 13. října 2014) a taktéž porada vedení MŠMT (dne 31. října 2014) následně schválily postoupení dokumentu do vnějšího připomínkového řízení a jeho následné předložení vládě ČR. </w:t>
      </w:r>
      <w:r w:rsidRPr="002715CE">
        <w:rPr>
          <w:rFonts w:ascii="Calibri" w:hAnsi="Calibri"/>
          <w:b/>
          <w:sz w:val="22"/>
        </w:rPr>
        <w:t>Národní RIS3 strategie byla schválena vládou ČR dne 8. prosince 2014 usnesením vlády č. 1028.</w:t>
      </w:r>
      <w:r w:rsidRPr="002715CE">
        <w:rPr>
          <w:rFonts w:ascii="Calibri" w:hAnsi="Calibri"/>
          <w:sz w:val="22"/>
        </w:rPr>
        <w:t xml:space="preserve"> Tímto usnesením bylo dále:</w:t>
      </w:r>
    </w:p>
    <w:p w:rsidR="001060DD" w:rsidRPr="002715CE" w:rsidRDefault="001060DD" w:rsidP="001060DD">
      <w:pPr>
        <w:spacing w:after="120"/>
        <w:jc w:val="both"/>
        <w:rPr>
          <w:rFonts w:ascii="Calibri" w:hAnsi="Calibri"/>
          <w:sz w:val="22"/>
        </w:rPr>
      </w:pPr>
      <w:r w:rsidRPr="002715CE">
        <w:rPr>
          <w:rFonts w:ascii="Calibri" w:hAnsi="Calibri"/>
          <w:sz w:val="22"/>
        </w:rPr>
        <w:t>- MŠMT uloženo zaslat Národní RIS3 strategii EK k posouzení souladu s metodikou EK a s intervencemi plánovanými v relevantních operačních programech pro programové období 2014+</w:t>
      </w:r>
    </w:p>
    <w:p w:rsidR="001060DD" w:rsidRPr="002715CE" w:rsidRDefault="001060DD" w:rsidP="001060DD">
      <w:pPr>
        <w:spacing w:after="120"/>
        <w:jc w:val="both"/>
        <w:rPr>
          <w:rFonts w:ascii="Calibri" w:hAnsi="Calibri"/>
          <w:sz w:val="22"/>
        </w:rPr>
      </w:pPr>
      <w:r w:rsidRPr="002715CE">
        <w:rPr>
          <w:rFonts w:ascii="Calibri" w:hAnsi="Calibri"/>
          <w:sz w:val="22"/>
        </w:rPr>
        <w:t>- členům vlády uloženo (a primátorovi Hl. m. Prahy doporučeno) Národní RIS3 strategii implementovat a vycházet z ní</w:t>
      </w:r>
    </w:p>
    <w:p w:rsidR="001060DD" w:rsidRPr="002715CE" w:rsidRDefault="001060DD" w:rsidP="001060DD">
      <w:pPr>
        <w:spacing w:after="120"/>
        <w:jc w:val="both"/>
        <w:rPr>
          <w:rFonts w:ascii="Calibri" w:hAnsi="Calibri"/>
          <w:sz w:val="22"/>
        </w:rPr>
      </w:pPr>
      <w:r w:rsidRPr="002715CE">
        <w:rPr>
          <w:rFonts w:ascii="Calibri" w:hAnsi="Calibri"/>
          <w:sz w:val="22"/>
        </w:rPr>
        <w:t>- Úřadu vlády (místopředsedovi vlády pro vědu, výzkum a inovace) uloženo:</w:t>
      </w:r>
    </w:p>
    <w:p w:rsidR="001060DD" w:rsidRPr="002715CE" w:rsidRDefault="001060DD" w:rsidP="001060DD">
      <w:pPr>
        <w:numPr>
          <w:ilvl w:val="0"/>
          <w:numId w:val="51"/>
        </w:numPr>
        <w:spacing w:line="276" w:lineRule="auto"/>
        <w:contextualSpacing/>
        <w:jc w:val="both"/>
        <w:rPr>
          <w:rFonts w:ascii="Calibri" w:hAnsi="Calibri"/>
          <w:sz w:val="22"/>
        </w:rPr>
      </w:pPr>
      <w:r w:rsidRPr="002715CE">
        <w:rPr>
          <w:rFonts w:ascii="Calibri" w:hAnsi="Calibri"/>
          <w:sz w:val="22"/>
        </w:rPr>
        <w:t>zajistit ke dni 8. 12. 2014 převzetí řízení Národní RIS3 strategie,</w:t>
      </w:r>
    </w:p>
    <w:p w:rsidR="001060DD" w:rsidRPr="002715CE" w:rsidRDefault="001060DD" w:rsidP="001060DD">
      <w:pPr>
        <w:numPr>
          <w:ilvl w:val="0"/>
          <w:numId w:val="51"/>
        </w:numPr>
        <w:spacing w:line="276" w:lineRule="auto"/>
        <w:contextualSpacing/>
        <w:jc w:val="both"/>
        <w:rPr>
          <w:rFonts w:ascii="Calibri" w:hAnsi="Calibri"/>
          <w:sz w:val="22"/>
        </w:rPr>
      </w:pPr>
      <w:r w:rsidRPr="002715CE">
        <w:rPr>
          <w:rFonts w:ascii="Calibri" w:hAnsi="Calibri"/>
          <w:sz w:val="22"/>
        </w:rPr>
        <w:lastRenderedPageBreak/>
        <w:t>zajistit nastavení systému implementace Národní RIS3 strategie v závislosti na schválení operačních programů ESIF, pro něž představuje Strategie předběžnou podmínku podle nařízení Evropského parlamentu a Rady ES 1303/2013,</w:t>
      </w:r>
    </w:p>
    <w:p w:rsidR="001060DD" w:rsidRPr="002715CE" w:rsidRDefault="001060DD" w:rsidP="001060DD">
      <w:pPr>
        <w:numPr>
          <w:ilvl w:val="0"/>
          <w:numId w:val="51"/>
        </w:numPr>
        <w:spacing w:line="276" w:lineRule="auto"/>
        <w:contextualSpacing/>
        <w:jc w:val="both"/>
        <w:rPr>
          <w:rFonts w:ascii="Calibri" w:hAnsi="Calibri"/>
          <w:sz w:val="22"/>
        </w:rPr>
      </w:pPr>
      <w:r w:rsidRPr="002715CE">
        <w:rPr>
          <w:rFonts w:ascii="Calibri" w:hAnsi="Calibri"/>
          <w:sz w:val="22"/>
        </w:rPr>
        <w:t>zpracovat a vládě do 30. června 2015 předložit Plán implementace Národní RIS3 strategie a v každém následujícím roce předložit vládě do 31. března jeho aktualizaci,</w:t>
      </w:r>
    </w:p>
    <w:p w:rsidR="001060DD" w:rsidRPr="002715CE" w:rsidRDefault="001060DD" w:rsidP="001060DD">
      <w:pPr>
        <w:numPr>
          <w:ilvl w:val="0"/>
          <w:numId w:val="51"/>
        </w:numPr>
        <w:spacing w:line="276" w:lineRule="auto"/>
        <w:contextualSpacing/>
        <w:jc w:val="both"/>
        <w:rPr>
          <w:rFonts w:ascii="Calibri" w:hAnsi="Calibri"/>
          <w:sz w:val="22"/>
        </w:rPr>
      </w:pPr>
      <w:r w:rsidRPr="002715CE">
        <w:rPr>
          <w:rFonts w:ascii="Calibri" w:hAnsi="Calibri"/>
          <w:sz w:val="22"/>
        </w:rPr>
        <w:t>zpracovávat hodnocení Národní RIS3 strategie nebo jejích dílčích částí či jednotlivých intervencí, a to nejméně jednou za dva roky zpravidla v předstihu před aktualizací Strategie s tím, že první hodnocení bude vládě předloženo ke dni 30. června 2017 a v následujících letech vždy nejpozději ke dni 30. června;</w:t>
      </w:r>
    </w:p>
    <w:p w:rsidR="001060DD" w:rsidRPr="002715CE" w:rsidRDefault="001060DD" w:rsidP="001060DD">
      <w:pPr>
        <w:ind w:left="360"/>
        <w:contextualSpacing/>
        <w:jc w:val="both"/>
        <w:rPr>
          <w:rFonts w:ascii="Calibri" w:hAnsi="Calibri"/>
          <w:sz w:val="22"/>
        </w:rPr>
      </w:pPr>
    </w:p>
    <w:p w:rsidR="001060DD" w:rsidRPr="002715CE" w:rsidRDefault="001060DD" w:rsidP="001060DD">
      <w:pPr>
        <w:jc w:val="both"/>
        <w:rPr>
          <w:rFonts w:ascii="Calibri" w:hAnsi="Calibri"/>
          <w:sz w:val="22"/>
        </w:rPr>
      </w:pPr>
      <w:r w:rsidRPr="002715CE">
        <w:rPr>
          <w:rFonts w:ascii="Calibri" w:hAnsi="Calibri"/>
          <w:b/>
          <w:sz w:val="22"/>
        </w:rPr>
        <w:t xml:space="preserve">Tímto přechází agenda RIS3 a garance plnění RIS3 ex-ante </w:t>
      </w:r>
      <w:proofErr w:type="spellStart"/>
      <w:r w:rsidRPr="002715CE">
        <w:rPr>
          <w:rFonts w:ascii="Calibri" w:hAnsi="Calibri"/>
          <w:b/>
          <w:sz w:val="22"/>
        </w:rPr>
        <w:t>kondicionality</w:t>
      </w:r>
      <w:proofErr w:type="spellEnd"/>
      <w:r w:rsidRPr="002715CE">
        <w:rPr>
          <w:rFonts w:ascii="Calibri" w:hAnsi="Calibri"/>
          <w:b/>
          <w:sz w:val="22"/>
        </w:rPr>
        <w:t xml:space="preserve"> na Úřad vlády. </w:t>
      </w:r>
      <w:r w:rsidRPr="002715CE">
        <w:rPr>
          <w:rFonts w:ascii="Calibri" w:hAnsi="Calibri"/>
          <w:sz w:val="22"/>
        </w:rPr>
        <w:t xml:space="preserve">Úřad vlády bude nadále účasten formálních vyjednávání operačních programů, pro něž RIS3 představuje ex-ante </w:t>
      </w:r>
      <w:proofErr w:type="spellStart"/>
      <w:r w:rsidRPr="002715CE">
        <w:rPr>
          <w:rFonts w:ascii="Calibri" w:hAnsi="Calibri"/>
          <w:sz w:val="22"/>
        </w:rPr>
        <w:t>kondicionalitu</w:t>
      </w:r>
      <w:proofErr w:type="spellEnd"/>
      <w:r w:rsidRPr="002715CE">
        <w:rPr>
          <w:rFonts w:ascii="Calibri" w:hAnsi="Calibri"/>
          <w:sz w:val="22"/>
        </w:rPr>
        <w:t xml:space="preserve">, s Evropskou komisí. Úřad vlády bude v souladu s Implementačním plánem Národní RIS3 strategie pracovat s plánem výzev relevantních operačních programů, který je každoročně předkládán do konce měsíce listopadu. Úřad vlády bude tyto plány projednávat s dotčenými řídicími orgány tak, aby mohlo dojít k jejich bezproblémovému schválení. Mezi další významné úkoly Úřadu vlády budou patřit analýzy realizace úkolů plynoucích z RIS3 strategie, monitorování intervencí a hodnocení jejich příspěvku k naplňování RIS3 strategie. Za tímto účelem je od ledna 2015 na Úřadu vlády zřízena pozice Národního RIS3 manažera a dále též budován analytický tým, jehož součástí se stanou krajští RIS3 manažeři. </w:t>
      </w:r>
      <w:r w:rsidRPr="002715CE">
        <w:rPr>
          <w:rFonts w:ascii="Calibri" w:hAnsi="Calibri"/>
          <w:b/>
          <w:sz w:val="22"/>
        </w:rPr>
        <w:t>Vrcholným orgánem pro řízení RIS3 v ČR</w:t>
      </w:r>
      <w:r w:rsidRPr="002715CE">
        <w:rPr>
          <w:rFonts w:ascii="Calibri" w:hAnsi="Calibri"/>
          <w:sz w:val="22"/>
        </w:rPr>
        <w:t xml:space="preserve"> se v době po schválení Národní RIS3 strategie vládou ČR stává </w:t>
      </w:r>
      <w:r w:rsidRPr="002715CE">
        <w:rPr>
          <w:rFonts w:ascii="Calibri" w:hAnsi="Calibri"/>
          <w:b/>
          <w:sz w:val="22"/>
        </w:rPr>
        <w:t>Řídicí výbor RIS3</w:t>
      </w:r>
      <w:r w:rsidRPr="002715CE">
        <w:rPr>
          <w:rFonts w:ascii="Calibri" w:hAnsi="Calibri"/>
          <w:sz w:val="22"/>
        </w:rPr>
        <w:t xml:space="preserve"> sestávající z náměstků ÚV, MŠMT, MPO, MMR a zástupce Hl. m. Prahy (více viz kapitola 7.1 Národní RIS3 strategie).</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b/>
          <w:i/>
          <w:sz w:val="22"/>
          <w:u w:val="single"/>
        </w:rPr>
      </w:pPr>
      <w:r w:rsidRPr="002715CE">
        <w:rPr>
          <w:rFonts w:ascii="Calibri" w:hAnsi="Calibri"/>
          <w:b/>
          <w:i/>
          <w:sz w:val="22"/>
          <w:u w:val="single"/>
        </w:rPr>
        <w:t>Předpokládané termíny dalších kroků (v gesci Úřadu vlády):</w:t>
      </w: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t xml:space="preserve">1/2015 </w:t>
      </w:r>
      <w:r w:rsidRPr="002715CE">
        <w:rPr>
          <w:rFonts w:ascii="Calibri" w:hAnsi="Calibri"/>
          <w:bCs/>
          <w:sz w:val="22"/>
        </w:rPr>
        <w:t>– jmenování Národního RIS3 manažera a zřízení analytického týmu</w:t>
      </w: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t>2/2015</w:t>
      </w:r>
      <w:r w:rsidRPr="002715CE">
        <w:rPr>
          <w:rFonts w:ascii="Calibri" w:hAnsi="Calibri"/>
          <w:bCs/>
          <w:sz w:val="22"/>
        </w:rPr>
        <w:t xml:space="preserve"> – zřízení a první zasedání Řídícího výboru</w:t>
      </w:r>
    </w:p>
    <w:p w:rsidR="001060DD" w:rsidRDefault="001060DD" w:rsidP="001060DD">
      <w:pPr>
        <w:ind w:left="720"/>
        <w:contextualSpacing/>
        <w:jc w:val="both"/>
        <w:rPr>
          <w:rFonts w:ascii="Calibri" w:hAnsi="Calibri"/>
          <w:bCs/>
          <w:sz w:val="22"/>
        </w:rPr>
      </w:pPr>
      <w:r w:rsidRPr="002715CE">
        <w:rPr>
          <w:rFonts w:ascii="Calibri" w:hAnsi="Calibri"/>
          <w:b/>
          <w:bCs/>
          <w:sz w:val="22"/>
        </w:rPr>
        <w:t>4/2015</w:t>
      </w:r>
      <w:r w:rsidRPr="002715CE">
        <w:rPr>
          <w:rFonts w:ascii="Calibri" w:hAnsi="Calibri"/>
          <w:bCs/>
          <w:sz w:val="22"/>
        </w:rPr>
        <w:t xml:space="preserve"> – zasedání Řídicího výboru na základě druhého kola jednání inovačních platforem</w:t>
      </w:r>
    </w:p>
    <w:p w:rsidR="001060DD" w:rsidRPr="002715CE" w:rsidRDefault="001060DD" w:rsidP="001060DD">
      <w:pPr>
        <w:ind w:left="720"/>
        <w:contextualSpacing/>
        <w:jc w:val="both"/>
        <w:rPr>
          <w:rFonts w:ascii="Calibri" w:hAnsi="Calibri"/>
          <w:bCs/>
          <w:sz w:val="22"/>
        </w:rPr>
      </w:pPr>
    </w:p>
    <w:p w:rsidR="001060DD" w:rsidRPr="002715CE" w:rsidRDefault="001060DD" w:rsidP="001060DD">
      <w:pPr>
        <w:spacing w:line="280" w:lineRule="exact"/>
        <w:ind w:left="-360"/>
        <w:jc w:val="both"/>
        <w:rPr>
          <w:rFonts w:ascii="Calibri" w:hAnsi="Calibri"/>
          <w:b/>
          <w:color w:val="0070C0"/>
          <w:sz w:val="22"/>
        </w:rPr>
      </w:pPr>
      <w:r w:rsidRPr="002715CE">
        <w:rPr>
          <w:rFonts w:ascii="Calibri" w:hAnsi="Calibri"/>
          <w:b/>
          <w:color w:val="0070C0"/>
          <w:sz w:val="22"/>
        </w:rPr>
        <w:t xml:space="preserve">2.3. Národní inovační platformy – </w:t>
      </w:r>
      <w:proofErr w:type="spellStart"/>
      <w:r w:rsidRPr="002715CE">
        <w:rPr>
          <w:rFonts w:ascii="Calibri" w:hAnsi="Calibri"/>
          <w:b/>
          <w:color w:val="0070C0"/>
          <w:sz w:val="22"/>
        </w:rPr>
        <w:t>Entrepreneurial</w:t>
      </w:r>
      <w:proofErr w:type="spellEnd"/>
      <w:r w:rsidRPr="002715CE">
        <w:rPr>
          <w:rFonts w:ascii="Calibri" w:hAnsi="Calibri"/>
          <w:b/>
          <w:color w:val="0070C0"/>
          <w:sz w:val="22"/>
        </w:rPr>
        <w:t xml:space="preserve"> </w:t>
      </w:r>
      <w:proofErr w:type="spellStart"/>
      <w:r w:rsidRPr="002715CE">
        <w:rPr>
          <w:rFonts w:ascii="Calibri" w:hAnsi="Calibri"/>
          <w:b/>
          <w:color w:val="0070C0"/>
          <w:sz w:val="22"/>
        </w:rPr>
        <w:t>Discovery</w:t>
      </w:r>
      <w:proofErr w:type="spellEnd"/>
      <w:r w:rsidRPr="002715CE">
        <w:rPr>
          <w:rFonts w:ascii="Calibri" w:hAnsi="Calibri"/>
          <w:b/>
          <w:color w:val="0070C0"/>
          <w:sz w:val="22"/>
        </w:rPr>
        <w:t xml:space="preserve"> </w:t>
      </w:r>
      <w:proofErr w:type="spellStart"/>
      <w:r w:rsidRPr="002715CE">
        <w:rPr>
          <w:rFonts w:ascii="Calibri" w:hAnsi="Calibri"/>
          <w:b/>
          <w:color w:val="0070C0"/>
          <w:sz w:val="22"/>
        </w:rPr>
        <w:t>Process</w:t>
      </w:r>
      <w:proofErr w:type="spellEnd"/>
      <w:r w:rsidRPr="002715CE">
        <w:rPr>
          <w:rFonts w:ascii="Calibri" w:hAnsi="Calibri"/>
          <w:b/>
          <w:color w:val="0070C0"/>
          <w:sz w:val="22"/>
        </w:rPr>
        <w:t xml:space="preserve"> </w:t>
      </w:r>
    </w:p>
    <w:p w:rsidR="001060DD" w:rsidRPr="002715CE" w:rsidRDefault="001060DD" w:rsidP="001060DD">
      <w:pPr>
        <w:jc w:val="both"/>
        <w:rPr>
          <w:rFonts w:ascii="Calibri" w:hAnsi="Calibri"/>
          <w:sz w:val="22"/>
        </w:rPr>
      </w:pPr>
      <w:r w:rsidRPr="002715CE">
        <w:rPr>
          <w:rFonts w:ascii="Calibri" w:hAnsi="Calibri"/>
          <w:sz w:val="22"/>
        </w:rPr>
        <w:t xml:space="preserve">Za účelem identifikace potřeb, zpřesnění/usměrnění strategických priorit, identifikaci podnikatelských příležitostí a projednání zacílení navrhovaných opatření (tj. zamýšlených intervencí na podporu identifikovaných oblastí inteligentní specializace) byly v září-říjnu 2014 na národní úrovni ustaveny  tzv. </w:t>
      </w:r>
      <w:r w:rsidRPr="002715CE">
        <w:rPr>
          <w:rFonts w:ascii="Calibri" w:hAnsi="Calibri"/>
          <w:b/>
          <w:sz w:val="22"/>
        </w:rPr>
        <w:t>inovační platformy</w:t>
      </w:r>
      <w:r w:rsidRPr="002715CE">
        <w:rPr>
          <w:rFonts w:ascii="Calibri" w:hAnsi="Calibri"/>
          <w:sz w:val="22"/>
        </w:rPr>
        <w:t xml:space="preserve">. Tyto inovační platformy navázaly na lednový kulatý stůl s podnikateli, ovšem ve srovnání s tímto byly tematicky zaměřené, a to v návaznosti na jednotlivé klíčové oblasti (domény) specializace identifikované v Národní RIS3 strategii. V této počáteční fázi </w:t>
      </w:r>
      <w:proofErr w:type="spellStart"/>
      <w:r w:rsidRPr="002715CE">
        <w:rPr>
          <w:rFonts w:ascii="Calibri" w:hAnsi="Calibri"/>
          <w:sz w:val="22"/>
        </w:rPr>
        <w:t>entrepreneurial</w:t>
      </w:r>
      <w:proofErr w:type="spellEnd"/>
      <w:r w:rsidRPr="002715CE">
        <w:rPr>
          <w:rFonts w:ascii="Calibri" w:hAnsi="Calibri"/>
          <w:sz w:val="22"/>
        </w:rPr>
        <w:t xml:space="preserve"> procesu byly domény integrovány do těchto 4 platforem:</w:t>
      </w:r>
    </w:p>
    <w:p w:rsidR="001060DD" w:rsidRPr="002715CE" w:rsidRDefault="001060DD" w:rsidP="001060DD">
      <w:pPr>
        <w:numPr>
          <w:ilvl w:val="0"/>
          <w:numId w:val="33"/>
        </w:numPr>
        <w:suppressAutoHyphens/>
        <w:overflowPunct/>
        <w:autoSpaceDE/>
        <w:autoSpaceDN/>
        <w:adjustRightInd/>
        <w:spacing w:before="100" w:beforeAutospacing="1" w:after="120" w:line="276" w:lineRule="auto"/>
        <w:contextualSpacing/>
        <w:jc w:val="both"/>
        <w:textAlignment w:val="auto"/>
        <w:rPr>
          <w:rFonts w:ascii="Calibri" w:hAnsi="Calibri"/>
          <w:sz w:val="22"/>
        </w:rPr>
      </w:pPr>
      <w:r w:rsidRPr="002715CE">
        <w:rPr>
          <w:rFonts w:ascii="Calibri" w:hAnsi="Calibri"/>
          <w:sz w:val="22"/>
        </w:rPr>
        <w:t>Strojírenství + výroba a distribuce elektrické energie + část elektrotechniky</w:t>
      </w:r>
    </w:p>
    <w:p w:rsidR="001060DD" w:rsidRPr="002715CE" w:rsidRDefault="001060DD" w:rsidP="001060DD">
      <w:pPr>
        <w:numPr>
          <w:ilvl w:val="0"/>
          <w:numId w:val="33"/>
        </w:numPr>
        <w:suppressAutoHyphens/>
        <w:overflowPunct/>
        <w:autoSpaceDE/>
        <w:autoSpaceDN/>
        <w:adjustRightInd/>
        <w:spacing w:before="100" w:beforeAutospacing="1" w:after="120" w:line="276" w:lineRule="auto"/>
        <w:contextualSpacing/>
        <w:jc w:val="both"/>
        <w:textAlignment w:val="auto"/>
        <w:rPr>
          <w:rFonts w:ascii="Calibri" w:hAnsi="Calibri"/>
          <w:sz w:val="22"/>
        </w:rPr>
      </w:pPr>
      <w:r w:rsidRPr="002715CE">
        <w:rPr>
          <w:rFonts w:ascii="Calibri" w:hAnsi="Calibri"/>
          <w:sz w:val="22"/>
        </w:rPr>
        <w:t>IT služby a software + elektronika a část elektrotechniky</w:t>
      </w:r>
    </w:p>
    <w:p w:rsidR="001060DD" w:rsidRPr="002715CE" w:rsidRDefault="001060DD" w:rsidP="001060DD">
      <w:pPr>
        <w:numPr>
          <w:ilvl w:val="0"/>
          <w:numId w:val="33"/>
        </w:numPr>
        <w:suppressAutoHyphens/>
        <w:overflowPunct/>
        <w:autoSpaceDE/>
        <w:autoSpaceDN/>
        <w:adjustRightInd/>
        <w:spacing w:before="100" w:beforeAutospacing="1" w:after="120" w:line="276" w:lineRule="auto"/>
        <w:contextualSpacing/>
        <w:jc w:val="both"/>
        <w:textAlignment w:val="auto"/>
        <w:rPr>
          <w:rFonts w:ascii="Calibri" w:hAnsi="Calibri"/>
          <w:sz w:val="22"/>
        </w:rPr>
      </w:pPr>
      <w:r w:rsidRPr="002715CE">
        <w:rPr>
          <w:rFonts w:ascii="Calibri" w:hAnsi="Calibri"/>
          <w:sz w:val="22"/>
        </w:rPr>
        <w:t>Výroba dopravních prostředků</w:t>
      </w:r>
    </w:p>
    <w:p w:rsidR="001060DD" w:rsidRPr="002715CE" w:rsidRDefault="001060DD" w:rsidP="001060DD">
      <w:pPr>
        <w:numPr>
          <w:ilvl w:val="0"/>
          <w:numId w:val="33"/>
        </w:numPr>
        <w:suppressAutoHyphens/>
        <w:overflowPunct/>
        <w:autoSpaceDE/>
        <w:autoSpaceDN/>
        <w:adjustRightInd/>
        <w:spacing w:before="100" w:beforeAutospacing="1" w:after="120" w:line="276" w:lineRule="auto"/>
        <w:contextualSpacing/>
        <w:jc w:val="both"/>
        <w:textAlignment w:val="auto"/>
        <w:rPr>
          <w:rFonts w:ascii="Calibri" w:hAnsi="Calibri"/>
          <w:sz w:val="22"/>
        </w:rPr>
      </w:pPr>
      <w:r w:rsidRPr="002715CE">
        <w:rPr>
          <w:rFonts w:ascii="Calibri" w:hAnsi="Calibri"/>
          <w:sz w:val="22"/>
        </w:rPr>
        <w:t>Léčiva a medicínské technologie</w:t>
      </w:r>
    </w:p>
    <w:p w:rsidR="001060DD" w:rsidRPr="002715CE" w:rsidRDefault="001060DD" w:rsidP="001060DD">
      <w:pPr>
        <w:suppressAutoHyphens/>
        <w:spacing w:before="100" w:beforeAutospacing="1" w:after="100" w:afterAutospacing="1"/>
        <w:jc w:val="both"/>
        <w:rPr>
          <w:rFonts w:ascii="Calibri" w:hAnsi="Calibri"/>
          <w:sz w:val="22"/>
        </w:rPr>
      </w:pPr>
      <w:r w:rsidRPr="002715CE">
        <w:rPr>
          <w:rFonts w:ascii="Calibri" w:hAnsi="Calibri"/>
          <w:sz w:val="22"/>
        </w:rPr>
        <w:t>Jedná se však pouze o startovní koncepci: počet platforem se bude postupně v čase zvyšovat s tím, jak se jejich agenda bude profilovat - přesouvat od horizontálních a společných témat k tématům oborově specifickým, vztahujícím se k úžeji vymezeným oborovým potřebám</w:t>
      </w:r>
      <w:r w:rsidRPr="002715CE">
        <w:rPr>
          <w:rFonts w:ascii="Calibri" w:hAnsi="Calibri"/>
          <w:sz w:val="22"/>
          <w:vertAlign w:val="superscript"/>
        </w:rPr>
        <w:footnoteReference w:id="4"/>
      </w:r>
      <w:r w:rsidRPr="002715CE">
        <w:rPr>
          <w:rFonts w:ascii="Calibri" w:hAnsi="Calibri"/>
          <w:sz w:val="22"/>
        </w:rPr>
        <w:t xml:space="preserve">. </w:t>
      </w:r>
    </w:p>
    <w:p w:rsidR="001060DD" w:rsidRDefault="001060DD" w:rsidP="001060DD">
      <w:pPr>
        <w:jc w:val="both"/>
        <w:rPr>
          <w:rFonts w:ascii="Calibri" w:hAnsi="Calibri"/>
          <w:sz w:val="22"/>
        </w:rPr>
      </w:pPr>
      <w:r w:rsidRPr="002715CE">
        <w:rPr>
          <w:rFonts w:ascii="Calibri" w:hAnsi="Calibri"/>
          <w:sz w:val="22"/>
        </w:rPr>
        <w:lastRenderedPageBreak/>
        <w:t>Platformy byly v souladu s principem „</w:t>
      </w:r>
      <w:proofErr w:type="spellStart"/>
      <w:r w:rsidRPr="002715CE">
        <w:rPr>
          <w:rFonts w:ascii="Calibri" w:hAnsi="Calibri"/>
          <w:sz w:val="22"/>
        </w:rPr>
        <w:t>entrepreneurial</w:t>
      </w:r>
      <w:proofErr w:type="spellEnd"/>
      <w:r w:rsidRPr="002715CE">
        <w:rPr>
          <w:rFonts w:ascii="Calibri" w:hAnsi="Calibri"/>
          <w:sz w:val="22"/>
        </w:rPr>
        <w:t xml:space="preserve"> </w:t>
      </w:r>
      <w:proofErr w:type="spellStart"/>
      <w:r w:rsidRPr="002715CE">
        <w:rPr>
          <w:rFonts w:ascii="Calibri" w:hAnsi="Calibri"/>
          <w:sz w:val="22"/>
        </w:rPr>
        <w:t>discovery</w:t>
      </w:r>
      <w:proofErr w:type="spellEnd"/>
      <w:r w:rsidRPr="002715CE">
        <w:rPr>
          <w:rFonts w:ascii="Calibri" w:hAnsi="Calibri"/>
          <w:sz w:val="22"/>
        </w:rPr>
        <w:t xml:space="preserve">“ procesu sestaveny tak, aby v nich byly zastoupeny inovační firmy, průmyslové a oborové svazy, výzkumné organizace a vysoké školy, i státní orgány a experti v oblasti podpory výzkumu a vývoje. Inovační platformy tak sdružují jak aktéry zastupující oblasti znalostních domén, které mohou být zdrojem nabídky nových znalostí pro řešení aplikačních problémů a společenských výzev, tak aktéry z  klíčových odvětví pro tržní uplatnění znalostí a další relevantní aktéry. </w:t>
      </w:r>
    </w:p>
    <w:p w:rsidR="001060DD" w:rsidRPr="002715CE" w:rsidRDefault="001060DD" w:rsidP="001060DD">
      <w:pPr>
        <w:jc w:val="both"/>
        <w:rPr>
          <w:rFonts w:ascii="Calibri" w:hAnsi="Calibri"/>
          <w:sz w:val="22"/>
        </w:rPr>
      </w:pPr>
    </w:p>
    <w:p w:rsidR="001060DD" w:rsidRDefault="001060DD" w:rsidP="001060DD">
      <w:pPr>
        <w:jc w:val="both"/>
        <w:rPr>
          <w:rFonts w:ascii="Calibri" w:hAnsi="Calibri"/>
          <w:sz w:val="22"/>
        </w:rPr>
      </w:pPr>
      <w:r w:rsidRPr="002715CE">
        <w:rPr>
          <w:rFonts w:ascii="Calibri" w:hAnsi="Calibri"/>
          <w:sz w:val="22"/>
        </w:rPr>
        <w:t xml:space="preserve">Interakce partnerů v jednotlivých inovačních platformách ve výsledku umožní v kontinuálním procesu postupně zpřesňovat oblasti specializace jako </w:t>
      </w:r>
      <w:r w:rsidRPr="002715CE">
        <w:rPr>
          <w:rFonts w:ascii="Calibri" w:hAnsi="Calibri"/>
          <w:b/>
          <w:sz w:val="22"/>
        </w:rPr>
        <w:t>matici průniků znalostních domén, klíčových odvětví ekonomické specializace a společenských výzev</w:t>
      </w:r>
      <w:r w:rsidRPr="002715CE">
        <w:rPr>
          <w:rFonts w:ascii="Calibri" w:hAnsi="Calibri"/>
          <w:sz w:val="22"/>
        </w:rPr>
        <w:t xml:space="preserve"> a v další fázi hledat konkrétní podnikatelské příležitosti. </w:t>
      </w:r>
    </w:p>
    <w:p w:rsidR="001060DD" w:rsidRPr="002715CE" w:rsidRDefault="001060DD" w:rsidP="001060DD">
      <w:pPr>
        <w:jc w:val="both"/>
        <w:rPr>
          <w:rFonts w:ascii="Calibri" w:hAnsi="Calibri"/>
          <w:sz w:val="22"/>
        </w:rPr>
      </w:pPr>
    </w:p>
    <w:p w:rsidR="001060DD" w:rsidRDefault="001060DD" w:rsidP="001060DD">
      <w:pPr>
        <w:jc w:val="both"/>
        <w:rPr>
          <w:rFonts w:ascii="Calibri" w:hAnsi="Calibri"/>
          <w:sz w:val="22"/>
        </w:rPr>
      </w:pPr>
      <w:r w:rsidRPr="002715CE">
        <w:rPr>
          <w:rFonts w:ascii="Calibri" w:hAnsi="Calibri"/>
          <w:sz w:val="22"/>
        </w:rPr>
        <w:t xml:space="preserve">Touto cestou bude možné zpřesnit a </w:t>
      </w:r>
      <w:proofErr w:type="spellStart"/>
      <w:r w:rsidRPr="002715CE">
        <w:rPr>
          <w:rFonts w:ascii="Calibri" w:hAnsi="Calibri"/>
          <w:sz w:val="22"/>
        </w:rPr>
        <w:t>prioritizovat</w:t>
      </w:r>
      <w:proofErr w:type="spellEnd"/>
      <w:r w:rsidRPr="002715CE">
        <w:rPr>
          <w:rFonts w:ascii="Calibri" w:hAnsi="Calibri"/>
          <w:sz w:val="22"/>
        </w:rPr>
        <w:t xml:space="preserve"> aplikační směry a identifikovat partnery, s nimiž bude možné během programového období 2014-2020 rozvíjet daná aplikační témata (např. příprava projektů aplikovaného </w:t>
      </w:r>
      <w:proofErr w:type="spellStart"/>
      <w:r w:rsidRPr="002715CE">
        <w:rPr>
          <w:rFonts w:ascii="Calibri" w:hAnsi="Calibri"/>
          <w:sz w:val="22"/>
        </w:rPr>
        <w:t>VaV</w:t>
      </w:r>
      <w:proofErr w:type="spellEnd"/>
      <w:r w:rsidRPr="002715CE">
        <w:rPr>
          <w:rFonts w:ascii="Calibri" w:hAnsi="Calibri"/>
          <w:sz w:val="22"/>
        </w:rPr>
        <w:t xml:space="preserve">, podněty pro nová vysokoškolská kurikula relevantní pro daný aplikační směr výzkumu, apod.) a také identifikovat silné a vizionářské osobnosti v podnikatelském sektoru s ambicí a potenciálem dosáhnout podstatné systémové a hospodářské změny. Jednotlivé identifikované oblasti specializace budou postupně rozpracovány do konkrétních aktivit či projektů ve stanovených aplikačních směrech s tím, že v případě některých typových aktivit bude jejich implementace podmíněna souladem s oblastmi specializace (národními, nebo regionálními) identifikovanými v Národní RIS3 strategii a (nebo) jejích krajských přílohách. </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sz w:val="22"/>
        </w:rPr>
      </w:pPr>
      <w:r w:rsidRPr="002715CE">
        <w:rPr>
          <w:rFonts w:ascii="Calibri" w:hAnsi="Calibri"/>
          <w:sz w:val="22"/>
        </w:rPr>
        <w:t>Inovační platformy se budou scházet opakovaně po celou dobu implementace RIS3 strategie (s frekvencí dle aktuální potřeby, zpravidla 2-3x ročně), aby prostřednictvím procesu „</w:t>
      </w:r>
      <w:proofErr w:type="spellStart"/>
      <w:r w:rsidRPr="002715CE">
        <w:rPr>
          <w:rFonts w:ascii="Calibri" w:hAnsi="Calibri"/>
          <w:sz w:val="22"/>
        </w:rPr>
        <w:t>entrepreneurial</w:t>
      </w:r>
      <w:proofErr w:type="spellEnd"/>
      <w:r w:rsidRPr="002715CE">
        <w:rPr>
          <w:rFonts w:ascii="Calibri" w:hAnsi="Calibri"/>
          <w:sz w:val="22"/>
        </w:rPr>
        <w:t xml:space="preserve"> </w:t>
      </w:r>
      <w:proofErr w:type="spellStart"/>
      <w:r w:rsidRPr="002715CE">
        <w:rPr>
          <w:rFonts w:ascii="Calibri" w:hAnsi="Calibri"/>
          <w:sz w:val="22"/>
        </w:rPr>
        <w:t>discovery</w:t>
      </w:r>
      <w:proofErr w:type="spellEnd"/>
      <w:r w:rsidRPr="002715CE">
        <w:rPr>
          <w:rFonts w:ascii="Calibri" w:hAnsi="Calibri"/>
          <w:sz w:val="22"/>
        </w:rPr>
        <w:t xml:space="preserve">“ </w:t>
      </w:r>
      <w:r w:rsidRPr="002715CE">
        <w:rPr>
          <w:rFonts w:ascii="Calibri" w:hAnsi="Calibri"/>
          <w:b/>
          <w:sz w:val="22"/>
        </w:rPr>
        <w:t>kontinuálně přispívaly k revizi a zpřesňování strategických priorit a identifikaci konkrétních podnikatelských příležitostí</w:t>
      </w:r>
      <w:r w:rsidRPr="002715CE">
        <w:rPr>
          <w:rFonts w:ascii="Calibri" w:hAnsi="Calibri"/>
          <w:sz w:val="22"/>
        </w:rPr>
        <w:t>. Kromě participace v procesu „</w:t>
      </w:r>
      <w:proofErr w:type="spellStart"/>
      <w:r w:rsidRPr="002715CE">
        <w:rPr>
          <w:rFonts w:ascii="Calibri" w:hAnsi="Calibri"/>
          <w:sz w:val="22"/>
        </w:rPr>
        <w:t>entrepreneurial</w:t>
      </w:r>
      <w:proofErr w:type="spellEnd"/>
      <w:r w:rsidRPr="002715CE">
        <w:rPr>
          <w:rFonts w:ascii="Calibri" w:hAnsi="Calibri"/>
          <w:sz w:val="22"/>
        </w:rPr>
        <w:t xml:space="preserve"> </w:t>
      </w:r>
      <w:proofErr w:type="spellStart"/>
      <w:r w:rsidRPr="002715CE">
        <w:rPr>
          <w:rFonts w:ascii="Calibri" w:hAnsi="Calibri"/>
          <w:sz w:val="22"/>
        </w:rPr>
        <w:t>discovery</w:t>
      </w:r>
      <w:proofErr w:type="spellEnd"/>
      <w:r w:rsidRPr="002715CE">
        <w:rPr>
          <w:rFonts w:ascii="Calibri" w:hAnsi="Calibri"/>
          <w:sz w:val="22"/>
        </w:rPr>
        <w:t>“ také účastníci inovačních platforem naplňují princip partnerství tak, jak je definován čl. 5 obecného nařízení a dále též Kodexem chování – podněty vzešlé z inovačních platforem budou promítány do případných úprav samotné Národní RIS3 strategie, do procesu jejího řízení, monitorování a hodnocení. Výstupy z jednání inovačních platforem budou ve formě zápisu poskytovány účastníkům platforem i široké veřejnosti prostřednictvím RIS3 webových stránek. Výstupy/podněty z jednání inovačních platforem se v přímé linii bude zabývat Řídicí výbor, který bude společně s Národním RIS3 manažerem zajišťovat jejich náležité vypořádání dle charakteru podnětu (např. jejich promítnutí do nastavení relevantních intervencí).Vstupy/podněty, návrhy a doporučení vzešlé z inovačních platforem jsou také jedním klíčových vstupů pro monitorovací zprávy a zprávy o postupu realizace.</w:t>
      </w:r>
    </w:p>
    <w:p w:rsidR="001060DD" w:rsidRDefault="001060DD" w:rsidP="001060DD">
      <w:pPr>
        <w:jc w:val="both"/>
        <w:rPr>
          <w:rFonts w:ascii="Calibri" w:hAnsi="Calibri"/>
          <w:sz w:val="22"/>
        </w:rPr>
      </w:pPr>
      <w:r w:rsidRPr="002715CE">
        <w:rPr>
          <w:rFonts w:ascii="Calibri" w:hAnsi="Calibri"/>
          <w:sz w:val="22"/>
        </w:rPr>
        <w:t xml:space="preserve">V září 2014 proběhla </w:t>
      </w:r>
      <w:r w:rsidRPr="002715CE">
        <w:rPr>
          <w:rFonts w:ascii="Calibri" w:hAnsi="Calibri"/>
          <w:b/>
          <w:sz w:val="22"/>
        </w:rPr>
        <w:t>on-line konzultace</w:t>
      </w:r>
      <w:r w:rsidRPr="002715CE">
        <w:rPr>
          <w:rFonts w:ascii="Calibri" w:hAnsi="Calibri"/>
          <w:sz w:val="22"/>
        </w:rPr>
        <w:t xml:space="preserve"> problematických okruhů, kterými se RIS3 zabývá, </w:t>
      </w:r>
      <w:r w:rsidRPr="002715CE">
        <w:rPr>
          <w:rFonts w:ascii="Calibri" w:hAnsi="Calibri"/>
          <w:b/>
          <w:sz w:val="22"/>
        </w:rPr>
        <w:t xml:space="preserve">s odbornou veřejností </w:t>
      </w:r>
      <w:r w:rsidRPr="002715CE">
        <w:rPr>
          <w:rFonts w:ascii="Calibri" w:hAnsi="Calibri"/>
          <w:sz w:val="22"/>
        </w:rPr>
        <w:t>– do elektronického dotazníku se zapojilo více než 100 respondentů.</w:t>
      </w:r>
    </w:p>
    <w:p w:rsidR="001060DD" w:rsidRPr="002715CE" w:rsidRDefault="001060DD" w:rsidP="001060DD">
      <w:pPr>
        <w:jc w:val="both"/>
        <w:rPr>
          <w:rFonts w:ascii="Calibri" w:hAnsi="Calibri"/>
          <w:sz w:val="22"/>
        </w:rPr>
      </w:pPr>
    </w:p>
    <w:p w:rsidR="001060DD" w:rsidRDefault="001060DD" w:rsidP="001060DD">
      <w:pPr>
        <w:jc w:val="both"/>
        <w:rPr>
          <w:rFonts w:ascii="Calibri" w:hAnsi="Calibri"/>
          <w:sz w:val="22"/>
        </w:rPr>
      </w:pPr>
      <w:r w:rsidRPr="002715CE">
        <w:rPr>
          <w:rFonts w:ascii="Calibri" w:hAnsi="Calibri"/>
          <w:sz w:val="22"/>
        </w:rPr>
        <w:t xml:space="preserve">Na toto on-line šetření navázalo první kolo inovačních platforem (v říjnu 2014), které se věnovalo prozatím zejména horizontálním problémům, jejich příčinám, návrhům možných intervencí a jejich </w:t>
      </w:r>
      <w:proofErr w:type="spellStart"/>
      <w:r w:rsidRPr="002715CE">
        <w:rPr>
          <w:rFonts w:ascii="Calibri" w:hAnsi="Calibri"/>
          <w:sz w:val="22"/>
        </w:rPr>
        <w:t>prioritizaci</w:t>
      </w:r>
      <w:proofErr w:type="spellEnd"/>
      <w:r w:rsidRPr="002715CE">
        <w:rPr>
          <w:rFonts w:ascii="Calibri" w:hAnsi="Calibri"/>
          <w:sz w:val="22"/>
        </w:rPr>
        <w:t xml:space="preserve"> (ke zpřesňování priorit RIS3, tj. řešení oborově specifických problémů a tzv. </w:t>
      </w:r>
      <w:proofErr w:type="spellStart"/>
      <w:r w:rsidRPr="002715CE">
        <w:rPr>
          <w:rFonts w:ascii="Calibri" w:hAnsi="Calibri"/>
          <w:sz w:val="22"/>
        </w:rPr>
        <w:t>vertikalizovaných</w:t>
      </w:r>
      <w:proofErr w:type="spellEnd"/>
      <w:r w:rsidRPr="002715CE">
        <w:rPr>
          <w:rFonts w:ascii="Calibri" w:hAnsi="Calibri"/>
          <w:sz w:val="22"/>
        </w:rPr>
        <w:t xml:space="preserve"> intervencí se platformy přesunou během navazujících jednání). On-line konzultace i první jednání inovačních platforem potvrdila významnost problémů, které vzešly z RIS3 analýz a jsou již v Národní RIS3 strategii řešeny. Doporučení nad výše uvedený rámec, která z inovačních platforem vzešla, jsou svou povahou doporučeními pro implementaci RIS3 strategie a z tohoto důvodu se jedná o podněty spíše již pro orgány, které budou konkrétní intervence ať již z evropských či národních zdrojů připravovat a nikoliv pro samotný strategický dokument.  Výstupy z on-line konzultace i vlastních jednání inovačních platforem budou také poskytnuty EK.</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b/>
          <w:i/>
          <w:sz w:val="22"/>
          <w:u w:val="single"/>
        </w:rPr>
      </w:pPr>
      <w:r w:rsidRPr="002715CE">
        <w:rPr>
          <w:rFonts w:ascii="Calibri" w:hAnsi="Calibri"/>
          <w:b/>
          <w:i/>
          <w:sz w:val="22"/>
          <w:u w:val="single"/>
        </w:rPr>
        <w:t>Předpokládané termíny dalších kroků (v gesci Úřadu vlády):</w:t>
      </w: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t xml:space="preserve">1/2015 </w:t>
      </w:r>
      <w:r w:rsidRPr="002715CE">
        <w:rPr>
          <w:rFonts w:ascii="Calibri" w:hAnsi="Calibri"/>
          <w:bCs/>
          <w:sz w:val="22"/>
        </w:rPr>
        <w:t>– dodání závěrů/zápisů z prvního kola inovačních platforem EK</w:t>
      </w: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t>3/2015</w:t>
      </w:r>
      <w:r w:rsidRPr="002715CE">
        <w:rPr>
          <w:rFonts w:ascii="Calibri" w:hAnsi="Calibri"/>
          <w:bCs/>
          <w:sz w:val="22"/>
        </w:rPr>
        <w:t xml:space="preserve"> – druhé kolo jednání Národních inovačních platforem </w:t>
      </w: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lastRenderedPageBreak/>
        <w:t>9/2015</w:t>
      </w:r>
      <w:r w:rsidRPr="002715CE">
        <w:rPr>
          <w:rFonts w:ascii="Calibri" w:hAnsi="Calibri"/>
          <w:bCs/>
          <w:sz w:val="22"/>
        </w:rPr>
        <w:t xml:space="preserve"> – třetí kolo jednání Národních inovačních platforem </w:t>
      </w:r>
    </w:p>
    <w:p w:rsidR="001060DD" w:rsidRPr="002715CE" w:rsidRDefault="001060DD" w:rsidP="001060DD">
      <w:pPr>
        <w:ind w:left="720"/>
        <w:contextualSpacing/>
        <w:jc w:val="both"/>
        <w:rPr>
          <w:rFonts w:ascii="Calibri" w:hAnsi="Calibri"/>
          <w:bCs/>
          <w:sz w:val="22"/>
        </w:rPr>
      </w:pPr>
    </w:p>
    <w:p w:rsidR="001060DD" w:rsidRPr="002715CE" w:rsidRDefault="001060DD" w:rsidP="001060DD">
      <w:pPr>
        <w:spacing w:line="280" w:lineRule="exact"/>
        <w:ind w:left="-360"/>
        <w:jc w:val="both"/>
        <w:rPr>
          <w:rFonts w:ascii="Calibri" w:hAnsi="Calibri"/>
          <w:b/>
          <w:color w:val="0070C0"/>
          <w:sz w:val="22"/>
        </w:rPr>
      </w:pPr>
      <w:r w:rsidRPr="002715CE">
        <w:rPr>
          <w:rFonts w:ascii="Calibri" w:hAnsi="Calibri"/>
          <w:b/>
          <w:color w:val="0070C0"/>
          <w:sz w:val="22"/>
        </w:rPr>
        <w:t>2.4. Monitorování, metodika aktualizace Národní RIS3 strategie a Implementační plán</w:t>
      </w:r>
    </w:p>
    <w:p w:rsidR="001060DD" w:rsidRDefault="001060DD" w:rsidP="001060DD">
      <w:pPr>
        <w:jc w:val="both"/>
        <w:rPr>
          <w:rFonts w:ascii="Calibri" w:hAnsi="Calibri"/>
          <w:b/>
          <w:i/>
          <w:sz w:val="22"/>
        </w:rPr>
      </w:pPr>
      <w:r w:rsidRPr="002715CE">
        <w:rPr>
          <w:rFonts w:ascii="Calibri" w:hAnsi="Calibri"/>
          <w:sz w:val="22"/>
        </w:rPr>
        <w:t xml:space="preserve">Monitorování Národní RIS3 strategie je rozpracováno v subkapitole 7.2. Národní RIS3, s důrazem na monitorovací zprávy a roli jednotlivých orgánů při jejich zpracování a na získávání vstupů pro monitorování z úrovně operačních programů a orgánů zodpovědných za implementaci programů národních. </w:t>
      </w:r>
      <w:r w:rsidRPr="002715CE">
        <w:rPr>
          <w:rFonts w:ascii="Calibri" w:hAnsi="Calibri"/>
          <w:b/>
          <w:i/>
          <w:sz w:val="22"/>
        </w:rPr>
        <w:t xml:space="preserve">Metodika monitorování bude dopracována popisem role krajských subjektů při monitorování intervencí RIS3, které jsou realizovány z krajské úrovně jako součást intervencí navržených v krajských přílohách Národní RIS3. V souvislosti s monitorováním Národní RIS3 strategie bude dopracován a aktualizován návrh monitorovacích indikátorů. </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sz w:val="22"/>
        </w:rPr>
      </w:pPr>
      <w:r w:rsidRPr="002715CE">
        <w:rPr>
          <w:rFonts w:ascii="Calibri" w:hAnsi="Calibri"/>
          <w:sz w:val="22"/>
        </w:rPr>
        <w:t xml:space="preserve">Metodika aktualizace Národní RIS3 strategie je taktéž popsána v rámci subkapitoly 7.2 Národní RIS3 strategie a je zaměřena zejména na monitorování vzniku nových potřeb, monitorování stávajících potřeb a reakce projektů RIS3 na ně a současně na návrhy postupů pro další rozpracování intervencí. Metodika aktualizace vychází zejména z následujících zdrojů: </w:t>
      </w:r>
    </w:p>
    <w:p w:rsidR="001060DD" w:rsidRPr="002715CE" w:rsidRDefault="001060DD" w:rsidP="001060DD">
      <w:pPr>
        <w:numPr>
          <w:ilvl w:val="0"/>
          <w:numId w:val="27"/>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monitorování a monitorovacích zpráv Národní RIS3, které zahrnují také informace o naplňování monitorovacích indikátorů, jimiž se sleduje postup a výstupy implementace operací Národní RIS3 na úrovni operačních programů a národních programů</w:t>
      </w:r>
    </w:p>
    <w:p w:rsidR="001060DD" w:rsidRPr="002715CE" w:rsidRDefault="001060DD" w:rsidP="001060DD">
      <w:pPr>
        <w:numPr>
          <w:ilvl w:val="0"/>
          <w:numId w:val="27"/>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ze zpráv a informací o postupu realizace Národní RIS3, které zahrnují také informace o postupu čerpání prostředků a o dosažených výstupech a výsledcích</w:t>
      </w:r>
    </w:p>
    <w:p w:rsidR="001060DD" w:rsidRPr="002715CE" w:rsidRDefault="001060DD" w:rsidP="001060DD">
      <w:pPr>
        <w:numPr>
          <w:ilvl w:val="0"/>
          <w:numId w:val="27"/>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z hodnocení (evaluace) a hodnotících zpráv Národní RIS3, které zahrnují posouzení dosažených výsledků a naplnění specifických a strategických cílů Národní RIS3 a postup realizace změn v klíčových oblastech</w:t>
      </w:r>
    </w:p>
    <w:p w:rsidR="001060DD" w:rsidRDefault="001060DD" w:rsidP="001060DD">
      <w:pPr>
        <w:jc w:val="both"/>
        <w:rPr>
          <w:rFonts w:ascii="Calibri" w:hAnsi="Calibri"/>
          <w:sz w:val="22"/>
        </w:rPr>
      </w:pPr>
      <w:r w:rsidRPr="002715CE">
        <w:rPr>
          <w:rFonts w:ascii="Calibri" w:hAnsi="Calibri"/>
          <w:sz w:val="22"/>
        </w:rPr>
        <w:t xml:space="preserve">Aktualizace Národní RIS3 bude využívat i dalších vstupů a zdrojů nebo účelově zpracovaných studií a zpráv. </w:t>
      </w:r>
    </w:p>
    <w:p w:rsidR="001060DD" w:rsidRPr="002715CE" w:rsidRDefault="001060DD" w:rsidP="001060DD">
      <w:pPr>
        <w:jc w:val="both"/>
        <w:rPr>
          <w:rFonts w:ascii="Calibri" w:hAnsi="Calibri"/>
          <w:sz w:val="22"/>
        </w:rPr>
      </w:pPr>
    </w:p>
    <w:p w:rsidR="001060DD" w:rsidRDefault="001060DD" w:rsidP="001060DD">
      <w:pPr>
        <w:jc w:val="both"/>
        <w:rPr>
          <w:rFonts w:ascii="Calibri" w:hAnsi="Calibri"/>
          <w:sz w:val="22"/>
        </w:rPr>
      </w:pPr>
      <w:r w:rsidRPr="002715CE">
        <w:rPr>
          <w:rFonts w:ascii="Calibri" w:hAnsi="Calibri"/>
          <w:b/>
          <w:i/>
          <w:sz w:val="22"/>
        </w:rPr>
        <w:t>Metodika aktualizace bude dopracována a doplněna tak, aby zahrnovala rovněž roli krajských subjektů, především krajských RIS3 manažerů a krajských rad pro inovace a koordinaci krajské úrovně a národní úrovně RIS3 při aktualizaci Národní RIS3 strategie</w:t>
      </w:r>
      <w:r w:rsidRPr="002715CE">
        <w:rPr>
          <w:rFonts w:ascii="Calibri" w:hAnsi="Calibri"/>
          <w:sz w:val="22"/>
        </w:rPr>
        <w:t xml:space="preserve">. Z role národních a krajských inovačních platforem, jak jsou popsány v Národní RIS3 strategii vyplývá, že jejich vstupy, podněty, návrhy a doporučení jsou klíčovým vstupem pro monitorovací zprávy a zprávy o postupu realizace, a rovněž klíčovým vstupem pro aktualizaci Národní RIS3 (a krajských příloh), neboť „inovační platformy… poskytují … zpětnou vazbu k připravovaným, probíhajícím či ukončeným intervencím, zejména s ohledem na jejich účinnost, efektivitu a příspěvek k cílům Národní RIS3“. </w:t>
      </w:r>
      <w:r w:rsidRPr="002715CE">
        <w:rPr>
          <w:rFonts w:ascii="Calibri" w:hAnsi="Calibri"/>
          <w:b/>
          <w:i/>
          <w:sz w:val="22"/>
        </w:rPr>
        <w:t>Metodika aktualizace v Národní RIS3 strategie a postup monitorování budou doplněny a rozpracovány s ohledem na roli inovačních platforem, jak je v Národní RIS3 popsána.</w:t>
      </w:r>
      <w:r w:rsidRPr="002715CE">
        <w:rPr>
          <w:rFonts w:ascii="Calibri" w:hAnsi="Calibri"/>
          <w:sz w:val="22"/>
        </w:rPr>
        <w:t xml:space="preserve"> </w:t>
      </w:r>
    </w:p>
    <w:p w:rsidR="001060DD" w:rsidRPr="002715CE" w:rsidRDefault="001060DD" w:rsidP="001060DD">
      <w:pPr>
        <w:jc w:val="both"/>
        <w:rPr>
          <w:rFonts w:ascii="Calibri" w:hAnsi="Calibri"/>
          <w:sz w:val="22"/>
        </w:rPr>
      </w:pPr>
    </w:p>
    <w:p w:rsidR="001060DD" w:rsidRDefault="001060DD" w:rsidP="001060DD">
      <w:pPr>
        <w:jc w:val="both"/>
        <w:rPr>
          <w:rFonts w:ascii="Calibri" w:hAnsi="Calibri"/>
          <w:sz w:val="22"/>
        </w:rPr>
      </w:pPr>
      <w:r w:rsidRPr="002715CE">
        <w:rPr>
          <w:rFonts w:ascii="Calibri" w:hAnsi="Calibri"/>
          <w:sz w:val="22"/>
        </w:rPr>
        <w:t xml:space="preserve">V návaznosti na schválení Národní RIS3 vznikne Implementační plán Národní RIS3. Ten je zpracováván Národním RIS3 manažerem a jeho týmem s využitím informací a podkladů operačních programů a národních programů, které přispívají k naplňování cílů RIS3. Implementační plán RIS3 shrnuje informace o intervencích plánovaných na dobu nejméně jednoho roku a zahrnuje intervence plánované ve výzvách operačních programů i v národních programech podpory </w:t>
      </w:r>
      <w:proofErr w:type="spellStart"/>
      <w:r w:rsidRPr="002715CE">
        <w:rPr>
          <w:rFonts w:ascii="Calibri" w:hAnsi="Calibri"/>
          <w:sz w:val="22"/>
        </w:rPr>
        <w:t>VaVaI</w:t>
      </w:r>
      <w:proofErr w:type="spellEnd"/>
      <w:r w:rsidRPr="002715CE">
        <w:rPr>
          <w:rFonts w:ascii="Calibri" w:hAnsi="Calibri"/>
          <w:sz w:val="22"/>
        </w:rPr>
        <w:t>. Implementační plán RIS3 je projednáván a schvalován Řídicím výborem Národní RIS3 a je dáván na vědomí vládě ČR.</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b/>
          <w:i/>
          <w:sz w:val="22"/>
          <w:u w:val="single"/>
        </w:rPr>
      </w:pPr>
      <w:r w:rsidRPr="002715CE">
        <w:rPr>
          <w:rFonts w:ascii="Calibri" w:hAnsi="Calibri"/>
          <w:b/>
          <w:i/>
          <w:sz w:val="22"/>
          <w:u w:val="single"/>
        </w:rPr>
        <w:t>Předpokládané termíny dalších kroků (v gesci Úřadu vlád)y:</w:t>
      </w:r>
    </w:p>
    <w:p w:rsidR="001060DD" w:rsidRPr="002715CE" w:rsidRDefault="001060DD" w:rsidP="001060DD">
      <w:pPr>
        <w:ind w:left="720"/>
        <w:contextualSpacing/>
        <w:jc w:val="both"/>
        <w:rPr>
          <w:rFonts w:ascii="Calibri" w:hAnsi="Calibri"/>
          <w:b/>
          <w:bCs/>
          <w:sz w:val="22"/>
        </w:rPr>
      </w:pPr>
      <w:r w:rsidRPr="002715CE">
        <w:rPr>
          <w:rFonts w:ascii="Calibri" w:hAnsi="Calibri"/>
          <w:b/>
          <w:bCs/>
          <w:sz w:val="22"/>
        </w:rPr>
        <w:t xml:space="preserve">03/2015 – </w:t>
      </w:r>
      <w:r w:rsidRPr="002715CE">
        <w:rPr>
          <w:rFonts w:ascii="Calibri" w:hAnsi="Calibri"/>
          <w:bCs/>
          <w:sz w:val="22"/>
        </w:rPr>
        <w:t>Dopracování metodiky monitorování a metodiky aktualizace Národní RIS3 v tématech výše uvedených</w:t>
      </w: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t xml:space="preserve">04/2015 – </w:t>
      </w:r>
      <w:r w:rsidRPr="002715CE">
        <w:rPr>
          <w:rFonts w:ascii="Calibri" w:hAnsi="Calibri"/>
          <w:bCs/>
          <w:sz w:val="22"/>
        </w:rPr>
        <w:t>Aktualizace a dopracování</w:t>
      </w:r>
      <w:r w:rsidRPr="002715CE">
        <w:rPr>
          <w:rFonts w:ascii="Calibri" w:hAnsi="Calibri"/>
          <w:b/>
          <w:bCs/>
          <w:sz w:val="22"/>
        </w:rPr>
        <w:t xml:space="preserve"> </w:t>
      </w:r>
      <w:r w:rsidRPr="002715CE">
        <w:rPr>
          <w:rFonts w:ascii="Calibri" w:hAnsi="Calibri"/>
          <w:bCs/>
          <w:sz w:val="22"/>
        </w:rPr>
        <w:t xml:space="preserve">monitorovacích indikátorů Národní RIS3 </w:t>
      </w:r>
    </w:p>
    <w:p w:rsidR="001060DD" w:rsidRDefault="001060DD" w:rsidP="001060DD">
      <w:pPr>
        <w:ind w:left="720"/>
        <w:contextualSpacing/>
        <w:jc w:val="both"/>
        <w:rPr>
          <w:rFonts w:ascii="Calibri" w:hAnsi="Calibri"/>
          <w:bCs/>
          <w:sz w:val="22"/>
        </w:rPr>
      </w:pPr>
      <w:r w:rsidRPr="002715CE">
        <w:rPr>
          <w:rFonts w:ascii="Calibri" w:hAnsi="Calibri"/>
          <w:b/>
          <w:bCs/>
          <w:sz w:val="22"/>
        </w:rPr>
        <w:lastRenderedPageBreak/>
        <w:t xml:space="preserve">6/2015 – </w:t>
      </w:r>
      <w:r w:rsidRPr="002715CE">
        <w:rPr>
          <w:rFonts w:ascii="Calibri" w:hAnsi="Calibri"/>
          <w:bCs/>
          <w:sz w:val="22"/>
        </w:rPr>
        <w:t xml:space="preserve">Zpracování Implementačního plánu za období 2015-2016  (přičemž jeho aktualizace se bude provádět každoročně) </w:t>
      </w:r>
    </w:p>
    <w:p w:rsidR="001060DD" w:rsidRPr="002715CE" w:rsidRDefault="001060DD" w:rsidP="001060DD">
      <w:pPr>
        <w:ind w:left="720"/>
        <w:contextualSpacing/>
        <w:jc w:val="both"/>
        <w:rPr>
          <w:rFonts w:ascii="Calibri" w:hAnsi="Calibri"/>
          <w:bCs/>
          <w:sz w:val="22"/>
        </w:rPr>
      </w:pPr>
    </w:p>
    <w:p w:rsidR="001060DD" w:rsidRPr="002715CE" w:rsidRDefault="001060DD" w:rsidP="001060DD">
      <w:pPr>
        <w:jc w:val="both"/>
        <w:rPr>
          <w:rFonts w:ascii="Cambria" w:hAnsi="Cambria"/>
          <w:b/>
          <w:color w:val="0070C0"/>
          <w:sz w:val="28"/>
          <w:szCs w:val="24"/>
        </w:rPr>
      </w:pPr>
      <w:r w:rsidRPr="002715CE">
        <w:rPr>
          <w:rFonts w:ascii="Cambria" w:hAnsi="Cambria"/>
          <w:b/>
          <w:color w:val="0070C0"/>
          <w:sz w:val="28"/>
          <w:szCs w:val="24"/>
        </w:rPr>
        <w:t>3. Krajské přílohy Národní RIS3 strategie</w:t>
      </w:r>
    </w:p>
    <w:p w:rsidR="001060DD" w:rsidRPr="002715CE" w:rsidRDefault="001060DD" w:rsidP="001060DD">
      <w:pPr>
        <w:spacing w:line="280" w:lineRule="exact"/>
        <w:ind w:left="-360"/>
        <w:jc w:val="both"/>
        <w:rPr>
          <w:rFonts w:ascii="Calibri" w:hAnsi="Calibri"/>
          <w:b/>
          <w:color w:val="0070C0"/>
          <w:sz w:val="22"/>
        </w:rPr>
      </w:pPr>
      <w:r w:rsidRPr="002715CE">
        <w:rPr>
          <w:rFonts w:ascii="Calibri" w:hAnsi="Calibri"/>
          <w:b/>
          <w:color w:val="0070C0"/>
          <w:sz w:val="22"/>
        </w:rPr>
        <w:t>3.1. Zpracování krajských příloh Národní RIS3 strategie</w:t>
      </w:r>
    </w:p>
    <w:p w:rsidR="001060DD" w:rsidRDefault="001060DD" w:rsidP="001060DD">
      <w:pPr>
        <w:jc w:val="both"/>
        <w:rPr>
          <w:rFonts w:ascii="Calibri" w:hAnsi="Calibri"/>
          <w:sz w:val="22"/>
        </w:rPr>
      </w:pPr>
      <w:r w:rsidRPr="002715CE">
        <w:rPr>
          <w:rFonts w:ascii="Calibri" w:hAnsi="Calibri"/>
          <w:sz w:val="22"/>
        </w:rPr>
        <w:t xml:space="preserve">Zpracováním a aktualizací krajských příloh Národní RIS3 strategie byli pověřeni krajští RIS3 manažeři, kteří byli vybráni MŠMT ve spolupráci s příslušnými krajskými úřady prostřednictvím otevřeného výběrového řízení a kteří zahájili své aktivity v květnu 2013. Koordinaci RIS3 manažerů včetně metodických pokynů pro jejich práci zajišťuje od počátku MŠMT (od listopadu 2013 posíleno o podporu RIS3 </w:t>
      </w:r>
      <w:proofErr w:type="spellStart"/>
      <w:r w:rsidRPr="002715CE">
        <w:rPr>
          <w:rFonts w:ascii="Calibri" w:hAnsi="Calibri"/>
          <w:sz w:val="22"/>
        </w:rPr>
        <w:t>facilitátora</w:t>
      </w:r>
      <w:proofErr w:type="spellEnd"/>
      <w:r w:rsidRPr="002715CE">
        <w:rPr>
          <w:rFonts w:ascii="Calibri" w:hAnsi="Calibri"/>
          <w:sz w:val="22"/>
        </w:rPr>
        <w:t xml:space="preserve">). Facilitace přípravy RIS3 příloh ze strany MŠMT má jednak formu intenzivních 2-3denních </w:t>
      </w:r>
      <w:r w:rsidRPr="002715CE">
        <w:rPr>
          <w:rFonts w:ascii="Calibri" w:hAnsi="Calibri"/>
          <w:bCs/>
          <w:sz w:val="22"/>
        </w:rPr>
        <w:t>školení RIS3 manažerů</w:t>
      </w:r>
      <w:r w:rsidRPr="002715CE">
        <w:rPr>
          <w:rFonts w:ascii="Calibri" w:hAnsi="Calibri"/>
          <w:sz w:val="22"/>
        </w:rPr>
        <w:t xml:space="preserve">, jichž se účastní také představitelé krajů a během nichž jsou vždy zadány metodické postupy a úkoly ve společné agendě pro další mezidobí (od května 2013 do října 2014 proběhlo celkem 11 seminářů), a dále formu individuálního </w:t>
      </w:r>
      <w:proofErr w:type="spellStart"/>
      <w:r w:rsidRPr="002715CE">
        <w:rPr>
          <w:rFonts w:ascii="Calibri" w:hAnsi="Calibri"/>
          <w:sz w:val="22"/>
        </w:rPr>
        <w:t>mentoringu</w:t>
      </w:r>
      <w:proofErr w:type="spellEnd"/>
      <w:r w:rsidRPr="002715CE">
        <w:rPr>
          <w:rFonts w:ascii="Calibri" w:hAnsi="Calibri"/>
          <w:sz w:val="22"/>
        </w:rPr>
        <w:t xml:space="preserve">, poskytování konzultací k jednotlivým částem krajských příloh a poskytování odborné i politické asistence při formování partnerství v krajích. </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sz w:val="22"/>
        </w:rPr>
      </w:pPr>
      <w:r w:rsidRPr="002715CE">
        <w:rPr>
          <w:rFonts w:ascii="Calibri" w:hAnsi="Calibri"/>
          <w:sz w:val="22"/>
        </w:rPr>
        <w:t>Od května do prosince 2013 vznikly ve výše uvedené režii krajské přílohy ve své první pracovní verzi, která byla během následujícího půlroku dopracovávána do finální podoby, která obsahuje:</w:t>
      </w:r>
    </w:p>
    <w:p w:rsidR="001060DD" w:rsidRPr="002715CE" w:rsidRDefault="001060DD" w:rsidP="001060DD">
      <w:pPr>
        <w:numPr>
          <w:ilvl w:val="0"/>
          <w:numId w:val="30"/>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 xml:space="preserve">analytickou část – včetně SWOT analýzy, problémové analýzy, </w:t>
      </w:r>
      <w:proofErr w:type="spellStart"/>
      <w:r w:rsidRPr="002715CE">
        <w:rPr>
          <w:rFonts w:ascii="Calibri" w:hAnsi="Calibri"/>
          <w:sz w:val="22"/>
        </w:rPr>
        <w:t>stakeholder</w:t>
      </w:r>
      <w:proofErr w:type="spellEnd"/>
      <w:r w:rsidRPr="002715CE">
        <w:rPr>
          <w:rFonts w:ascii="Calibri" w:hAnsi="Calibri"/>
          <w:sz w:val="22"/>
        </w:rPr>
        <w:t xml:space="preserve"> analýzy klíčových aktérů napříč triple/</w:t>
      </w:r>
      <w:proofErr w:type="spellStart"/>
      <w:r w:rsidRPr="002715CE">
        <w:rPr>
          <w:rFonts w:ascii="Calibri" w:hAnsi="Calibri"/>
          <w:sz w:val="22"/>
        </w:rPr>
        <w:t>quadruple</w:t>
      </w:r>
      <w:proofErr w:type="spellEnd"/>
      <w:r w:rsidRPr="002715CE">
        <w:rPr>
          <w:rFonts w:ascii="Calibri" w:hAnsi="Calibri"/>
          <w:sz w:val="22"/>
        </w:rPr>
        <w:t xml:space="preserve"> helix, přehledu již existujících relevantních analýz a nástrojů pro podporu inovačního podnikání a jejich zhodnocení, a</w:t>
      </w:r>
    </w:p>
    <w:p w:rsidR="001060DD" w:rsidRPr="002715CE" w:rsidRDefault="001060DD" w:rsidP="001060DD">
      <w:pPr>
        <w:numPr>
          <w:ilvl w:val="0"/>
          <w:numId w:val="30"/>
        </w:numPr>
        <w:overflowPunct/>
        <w:autoSpaceDE/>
        <w:autoSpaceDN/>
        <w:adjustRightInd/>
        <w:spacing w:after="200" w:line="276" w:lineRule="auto"/>
        <w:contextualSpacing/>
        <w:jc w:val="both"/>
        <w:textAlignment w:val="auto"/>
        <w:rPr>
          <w:rFonts w:ascii="Calibri" w:hAnsi="Calibri"/>
          <w:sz w:val="22"/>
        </w:rPr>
      </w:pPr>
      <w:r w:rsidRPr="002715CE">
        <w:rPr>
          <w:rFonts w:ascii="Calibri" w:hAnsi="Calibri"/>
          <w:sz w:val="22"/>
        </w:rPr>
        <w:t xml:space="preserve"> strategickou část – strategické i specifické cíle a typové plánované aktivity/intervence/nástroje a také návrh řídicích/implementačních struktur. </w:t>
      </w:r>
    </w:p>
    <w:p w:rsidR="001060DD" w:rsidRPr="002715CE" w:rsidRDefault="001060DD" w:rsidP="001060DD">
      <w:pPr>
        <w:spacing w:line="280" w:lineRule="exact"/>
        <w:ind w:left="-360"/>
        <w:jc w:val="both"/>
        <w:rPr>
          <w:rFonts w:ascii="Calibri" w:hAnsi="Calibri"/>
          <w:b/>
          <w:color w:val="0070C0"/>
          <w:sz w:val="22"/>
        </w:rPr>
      </w:pPr>
      <w:r w:rsidRPr="002715CE">
        <w:rPr>
          <w:rFonts w:ascii="Calibri" w:hAnsi="Calibri"/>
          <w:b/>
          <w:color w:val="0070C0"/>
          <w:sz w:val="22"/>
        </w:rPr>
        <w:t>3.2. Proces budování partnerství &amp; projednávání a dopracovávání krajských příloh</w:t>
      </w:r>
    </w:p>
    <w:p w:rsidR="001060DD" w:rsidRPr="002715CE" w:rsidRDefault="001060DD" w:rsidP="001060DD">
      <w:pPr>
        <w:spacing w:line="280" w:lineRule="exact"/>
        <w:contextualSpacing/>
        <w:jc w:val="both"/>
        <w:rPr>
          <w:rFonts w:ascii="Calibri" w:hAnsi="Calibri"/>
          <w:sz w:val="22"/>
        </w:rPr>
      </w:pPr>
      <w:r w:rsidRPr="002715CE">
        <w:rPr>
          <w:rFonts w:ascii="Calibri" w:hAnsi="Calibri"/>
          <w:b/>
          <w:sz w:val="22"/>
        </w:rPr>
        <w:t>Struktura pro řízení a implementaci RIS3 strategie</w:t>
      </w:r>
      <w:r w:rsidRPr="002715CE">
        <w:rPr>
          <w:rFonts w:ascii="Calibri" w:hAnsi="Calibri"/>
          <w:sz w:val="22"/>
        </w:rPr>
        <w:t xml:space="preserve"> by měla mít ve výsledku v každém kraji (dle centrálního metodického doporučení ze strany MŠMT, kterým se kraje řídí) obdobnou – víceúrovňovou – podobu zajišťujících </w:t>
      </w:r>
      <w:r w:rsidRPr="002715CE">
        <w:rPr>
          <w:rFonts w:ascii="Calibri" w:hAnsi="Calibri"/>
          <w:b/>
          <w:sz w:val="22"/>
        </w:rPr>
        <w:t>5 základních funkcí</w:t>
      </w:r>
      <w:r w:rsidRPr="002715CE">
        <w:rPr>
          <w:rFonts w:ascii="Calibri" w:hAnsi="Calibri"/>
          <w:sz w:val="22"/>
        </w:rPr>
        <w:t>:</w:t>
      </w:r>
    </w:p>
    <w:p w:rsidR="001060DD" w:rsidRPr="002715CE" w:rsidRDefault="001060DD" w:rsidP="001060DD">
      <w:pPr>
        <w:numPr>
          <w:ilvl w:val="0"/>
          <w:numId w:val="31"/>
        </w:numPr>
        <w:overflowPunct/>
        <w:autoSpaceDE/>
        <w:autoSpaceDN/>
        <w:adjustRightInd/>
        <w:spacing w:after="200" w:line="280" w:lineRule="exact"/>
        <w:contextualSpacing/>
        <w:jc w:val="both"/>
        <w:textAlignment w:val="auto"/>
        <w:rPr>
          <w:rFonts w:ascii="Calibri" w:hAnsi="Calibri"/>
          <w:sz w:val="22"/>
        </w:rPr>
      </w:pPr>
      <w:r w:rsidRPr="002715CE">
        <w:rPr>
          <w:rFonts w:ascii="Calibri" w:hAnsi="Calibri"/>
          <w:sz w:val="22"/>
        </w:rPr>
        <w:t xml:space="preserve">řídicí (jejíž nositelem je např. krajská rada pro inovace/konkurenceschopnost či její obdoba), </w:t>
      </w:r>
    </w:p>
    <w:p w:rsidR="001060DD" w:rsidRPr="002715CE" w:rsidRDefault="001060DD" w:rsidP="001060DD">
      <w:pPr>
        <w:numPr>
          <w:ilvl w:val="0"/>
          <w:numId w:val="31"/>
        </w:numPr>
        <w:overflowPunct/>
        <w:autoSpaceDE/>
        <w:autoSpaceDN/>
        <w:adjustRightInd/>
        <w:spacing w:after="200" w:line="280" w:lineRule="exact"/>
        <w:contextualSpacing/>
        <w:jc w:val="both"/>
        <w:textAlignment w:val="auto"/>
        <w:rPr>
          <w:rFonts w:ascii="Calibri" w:hAnsi="Calibri"/>
          <w:sz w:val="22"/>
        </w:rPr>
      </w:pPr>
      <w:r w:rsidRPr="002715CE">
        <w:rPr>
          <w:rFonts w:ascii="Calibri" w:hAnsi="Calibri"/>
          <w:sz w:val="22"/>
        </w:rPr>
        <w:t>výkonnou (jejíž nositelem je implementující subjekt – ve většině případů specializovaná agentura typu regionální rozvojové agentury, inovačního centra apod., popřípadě relevantní odbor krajského úřadu),</w:t>
      </w:r>
    </w:p>
    <w:p w:rsidR="001060DD" w:rsidRPr="002715CE" w:rsidRDefault="001060DD" w:rsidP="001060DD">
      <w:pPr>
        <w:numPr>
          <w:ilvl w:val="0"/>
          <w:numId w:val="31"/>
        </w:numPr>
        <w:overflowPunct/>
        <w:autoSpaceDE/>
        <w:autoSpaceDN/>
        <w:adjustRightInd/>
        <w:spacing w:after="200" w:line="280" w:lineRule="exact"/>
        <w:contextualSpacing/>
        <w:jc w:val="both"/>
        <w:textAlignment w:val="auto"/>
        <w:rPr>
          <w:rFonts w:ascii="Calibri" w:hAnsi="Calibri"/>
          <w:sz w:val="22"/>
        </w:rPr>
      </w:pPr>
      <w:r w:rsidRPr="002715CE">
        <w:rPr>
          <w:rFonts w:ascii="Calibri" w:hAnsi="Calibri"/>
          <w:sz w:val="22"/>
        </w:rPr>
        <w:t>konzultační ve smyslu „</w:t>
      </w:r>
      <w:proofErr w:type="spellStart"/>
      <w:r w:rsidRPr="002715CE">
        <w:rPr>
          <w:rFonts w:ascii="Calibri" w:hAnsi="Calibri"/>
          <w:sz w:val="22"/>
        </w:rPr>
        <w:t>enterpreneurial</w:t>
      </w:r>
      <w:proofErr w:type="spellEnd"/>
      <w:r w:rsidRPr="002715CE">
        <w:rPr>
          <w:rFonts w:ascii="Calibri" w:hAnsi="Calibri"/>
          <w:sz w:val="22"/>
        </w:rPr>
        <w:t xml:space="preserve"> </w:t>
      </w:r>
      <w:proofErr w:type="spellStart"/>
      <w:r w:rsidRPr="002715CE">
        <w:rPr>
          <w:rFonts w:ascii="Calibri" w:hAnsi="Calibri"/>
          <w:sz w:val="22"/>
        </w:rPr>
        <w:t>discovery</w:t>
      </w:r>
      <w:proofErr w:type="spellEnd"/>
      <w:r w:rsidRPr="002715CE">
        <w:rPr>
          <w:rFonts w:ascii="Calibri" w:hAnsi="Calibri"/>
          <w:sz w:val="22"/>
        </w:rPr>
        <w:t>“ procesu (jejíž nositelem jsou inovační platformy sdružující klíčové aktéry ze všech sfér triple/</w:t>
      </w:r>
      <w:proofErr w:type="spellStart"/>
      <w:r w:rsidRPr="002715CE">
        <w:rPr>
          <w:rFonts w:ascii="Calibri" w:hAnsi="Calibri"/>
          <w:sz w:val="22"/>
        </w:rPr>
        <w:t>quadruple</w:t>
      </w:r>
      <w:proofErr w:type="spellEnd"/>
      <w:r w:rsidRPr="002715CE">
        <w:rPr>
          <w:rFonts w:ascii="Calibri" w:hAnsi="Calibri"/>
          <w:sz w:val="22"/>
        </w:rPr>
        <w:t xml:space="preserve"> helix, zejména však podnikatele),</w:t>
      </w:r>
    </w:p>
    <w:p w:rsidR="001060DD" w:rsidRPr="002715CE" w:rsidRDefault="001060DD" w:rsidP="001060DD">
      <w:pPr>
        <w:numPr>
          <w:ilvl w:val="0"/>
          <w:numId w:val="31"/>
        </w:numPr>
        <w:overflowPunct/>
        <w:autoSpaceDE/>
        <w:autoSpaceDN/>
        <w:adjustRightInd/>
        <w:spacing w:after="200" w:line="280" w:lineRule="exact"/>
        <w:contextualSpacing/>
        <w:jc w:val="both"/>
        <w:textAlignment w:val="auto"/>
        <w:rPr>
          <w:rFonts w:ascii="Calibri" w:hAnsi="Calibri"/>
          <w:sz w:val="22"/>
        </w:rPr>
      </w:pPr>
      <w:r w:rsidRPr="002715CE">
        <w:rPr>
          <w:rFonts w:ascii="Calibri" w:hAnsi="Calibri"/>
          <w:sz w:val="22"/>
        </w:rPr>
        <w:t>koordinační (jejíž nositelem je zejm. RIS3 manažer a jeho tým) a</w:t>
      </w:r>
    </w:p>
    <w:p w:rsidR="001060DD" w:rsidRPr="002715CE" w:rsidRDefault="001060DD" w:rsidP="001060DD">
      <w:pPr>
        <w:numPr>
          <w:ilvl w:val="0"/>
          <w:numId w:val="31"/>
        </w:numPr>
        <w:overflowPunct/>
        <w:autoSpaceDE/>
        <w:autoSpaceDN/>
        <w:adjustRightInd/>
        <w:spacing w:after="200" w:line="280" w:lineRule="exact"/>
        <w:contextualSpacing/>
        <w:jc w:val="both"/>
        <w:textAlignment w:val="auto"/>
        <w:rPr>
          <w:rFonts w:ascii="Calibri" w:hAnsi="Calibri"/>
          <w:sz w:val="22"/>
        </w:rPr>
      </w:pPr>
      <w:r w:rsidRPr="002715CE">
        <w:rPr>
          <w:rFonts w:ascii="Calibri" w:hAnsi="Calibri"/>
          <w:sz w:val="22"/>
        </w:rPr>
        <w:t>monitorovací/evaluační,</w:t>
      </w:r>
    </w:p>
    <w:p w:rsidR="001060DD" w:rsidRDefault="001060DD" w:rsidP="001060DD">
      <w:pPr>
        <w:spacing w:line="280" w:lineRule="exact"/>
        <w:ind w:left="45"/>
        <w:jc w:val="both"/>
        <w:rPr>
          <w:rFonts w:ascii="Calibri" w:hAnsi="Calibri"/>
          <w:sz w:val="22"/>
        </w:rPr>
      </w:pPr>
      <w:r w:rsidRPr="002715CE">
        <w:rPr>
          <w:rFonts w:ascii="Calibri" w:hAnsi="Calibri"/>
          <w:sz w:val="22"/>
        </w:rPr>
        <w:t>přičemž konkrétní způsob zajištění těchto funkcí a navržení zodpovědných subjektů sdružených na jednotlivých úrovních této struktury jsou již individuálním řešením v každém kraji.</w:t>
      </w:r>
    </w:p>
    <w:p w:rsidR="001060DD" w:rsidRPr="002715CE" w:rsidRDefault="001060DD" w:rsidP="001060DD">
      <w:pPr>
        <w:spacing w:line="280" w:lineRule="exact"/>
        <w:ind w:left="45"/>
        <w:jc w:val="both"/>
        <w:rPr>
          <w:rFonts w:ascii="Calibri" w:hAnsi="Calibri"/>
          <w:sz w:val="22"/>
        </w:rPr>
      </w:pPr>
    </w:p>
    <w:p w:rsidR="001060DD" w:rsidRPr="002715CE" w:rsidDel="00A721A9" w:rsidRDefault="001060DD" w:rsidP="001060DD">
      <w:pPr>
        <w:jc w:val="both"/>
        <w:rPr>
          <w:rFonts w:ascii="Calibri" w:hAnsi="Calibri"/>
          <w:sz w:val="22"/>
        </w:rPr>
      </w:pPr>
      <w:r w:rsidRPr="002715CE">
        <w:rPr>
          <w:rFonts w:ascii="Calibri" w:hAnsi="Calibri"/>
          <w:b/>
          <w:sz w:val="22"/>
        </w:rPr>
        <w:t>Výchozí s</w:t>
      </w:r>
      <w:r w:rsidRPr="002715CE" w:rsidDel="00A721A9">
        <w:rPr>
          <w:rFonts w:ascii="Calibri" w:hAnsi="Calibri"/>
          <w:b/>
          <w:sz w:val="22"/>
        </w:rPr>
        <w:t xml:space="preserve">tav </w:t>
      </w:r>
      <w:r w:rsidRPr="002715CE">
        <w:rPr>
          <w:rFonts w:ascii="Calibri" w:hAnsi="Calibri"/>
          <w:b/>
          <w:sz w:val="22"/>
        </w:rPr>
        <w:t xml:space="preserve">pro </w:t>
      </w:r>
      <w:r w:rsidRPr="002715CE" w:rsidDel="00A721A9">
        <w:rPr>
          <w:rFonts w:ascii="Calibri" w:hAnsi="Calibri"/>
          <w:b/>
          <w:sz w:val="22"/>
        </w:rPr>
        <w:t>vytváření</w:t>
      </w:r>
      <w:r w:rsidRPr="002715CE">
        <w:rPr>
          <w:rFonts w:ascii="Calibri" w:hAnsi="Calibri"/>
          <w:b/>
          <w:sz w:val="22"/>
        </w:rPr>
        <w:t>/stabilizaci</w:t>
      </w:r>
      <w:r w:rsidRPr="002715CE" w:rsidDel="00A721A9">
        <w:rPr>
          <w:rFonts w:ascii="Calibri" w:hAnsi="Calibri"/>
          <w:b/>
          <w:sz w:val="22"/>
        </w:rPr>
        <w:t xml:space="preserve"> krajských </w:t>
      </w:r>
      <w:r w:rsidRPr="002715CE">
        <w:rPr>
          <w:rFonts w:ascii="Calibri" w:hAnsi="Calibri"/>
          <w:b/>
          <w:sz w:val="22"/>
        </w:rPr>
        <w:t>struktur/</w:t>
      </w:r>
      <w:r w:rsidRPr="002715CE" w:rsidDel="00A721A9">
        <w:rPr>
          <w:rFonts w:ascii="Calibri" w:hAnsi="Calibri"/>
          <w:b/>
          <w:sz w:val="22"/>
        </w:rPr>
        <w:t>partnerství</w:t>
      </w:r>
      <w:r w:rsidRPr="002715CE" w:rsidDel="00A721A9">
        <w:rPr>
          <w:rFonts w:ascii="Calibri" w:hAnsi="Calibri"/>
          <w:sz w:val="22"/>
        </w:rPr>
        <w:t xml:space="preserve"> pro přípravu a realizaci intervencí pro inteligentní specializaci </w:t>
      </w:r>
      <w:r w:rsidRPr="002715CE">
        <w:rPr>
          <w:rFonts w:ascii="Calibri" w:hAnsi="Calibri"/>
          <w:b/>
          <w:sz w:val="22"/>
        </w:rPr>
        <w:t>byl  a z velké míry stále ještě je</w:t>
      </w:r>
      <w:r w:rsidRPr="002715CE" w:rsidDel="00A721A9">
        <w:rPr>
          <w:rFonts w:ascii="Calibri" w:hAnsi="Calibri"/>
          <w:b/>
          <w:sz w:val="22"/>
        </w:rPr>
        <w:t xml:space="preserve"> v jednotlivých krajích ČR odlišný</w:t>
      </w:r>
      <w:r w:rsidRPr="002715CE" w:rsidDel="00A721A9">
        <w:rPr>
          <w:rFonts w:ascii="Calibri" w:hAnsi="Calibri"/>
          <w:sz w:val="22"/>
        </w:rPr>
        <w:t xml:space="preserve">. Tato odlišnost odráží jak (i) </w:t>
      </w:r>
      <w:r w:rsidRPr="002715CE" w:rsidDel="00A721A9">
        <w:rPr>
          <w:rFonts w:ascii="Calibri" w:hAnsi="Calibri"/>
          <w:i/>
          <w:sz w:val="22"/>
        </w:rPr>
        <w:t>institucionální situaci</w:t>
      </w:r>
      <w:r w:rsidRPr="002715CE" w:rsidDel="00A721A9">
        <w:rPr>
          <w:rFonts w:ascii="Calibri" w:hAnsi="Calibri"/>
          <w:sz w:val="22"/>
        </w:rPr>
        <w:t xml:space="preserve"> v různých krajích, tedy zejména připravenost jednotlivých hráčů triple/</w:t>
      </w:r>
      <w:proofErr w:type="spellStart"/>
      <w:r w:rsidRPr="002715CE" w:rsidDel="00A721A9">
        <w:rPr>
          <w:rFonts w:ascii="Calibri" w:hAnsi="Calibri"/>
          <w:sz w:val="22"/>
        </w:rPr>
        <w:t>quadruple</w:t>
      </w:r>
      <w:proofErr w:type="spellEnd"/>
      <w:r w:rsidRPr="002715CE" w:rsidDel="00A721A9">
        <w:rPr>
          <w:rFonts w:ascii="Calibri" w:hAnsi="Calibri"/>
          <w:sz w:val="22"/>
        </w:rPr>
        <w:t xml:space="preserve"> helix a politického vedení v kraji pro tento typ partnerství, tak (ii) existenci různorodých </w:t>
      </w:r>
      <w:r w:rsidRPr="002715CE" w:rsidDel="00A721A9">
        <w:rPr>
          <w:rFonts w:ascii="Calibri" w:hAnsi="Calibri"/>
          <w:i/>
          <w:sz w:val="22"/>
        </w:rPr>
        <w:t>plánovacích a strategických dokumentů</w:t>
      </w:r>
      <w:r w:rsidRPr="002715CE" w:rsidDel="00A721A9">
        <w:rPr>
          <w:rFonts w:ascii="Calibri" w:hAnsi="Calibri"/>
          <w:sz w:val="22"/>
        </w:rPr>
        <w:t xml:space="preserve"> v jednotlivých krajích. Některé kraje jsou připraveny lépe než jiné z obou hledisek, protože již připravovaly a realizovaly své inovační strategie v minulosti, v některých krajích je rozběhnutí aktivit pro přípravu </w:t>
      </w:r>
      <w:r w:rsidRPr="002715CE">
        <w:rPr>
          <w:rFonts w:ascii="Calibri" w:hAnsi="Calibri"/>
          <w:sz w:val="22"/>
        </w:rPr>
        <w:t xml:space="preserve">a pozdější implementaci </w:t>
      </w:r>
      <w:r w:rsidRPr="002715CE" w:rsidDel="00A721A9">
        <w:rPr>
          <w:rFonts w:ascii="Calibri" w:hAnsi="Calibri"/>
          <w:sz w:val="22"/>
        </w:rPr>
        <w:t xml:space="preserve">krajských </w:t>
      </w:r>
      <w:r w:rsidRPr="002715CE">
        <w:rPr>
          <w:rFonts w:ascii="Calibri" w:hAnsi="Calibri"/>
          <w:sz w:val="22"/>
        </w:rPr>
        <w:t>příloh</w:t>
      </w:r>
      <w:r w:rsidRPr="002715CE" w:rsidDel="00A721A9">
        <w:rPr>
          <w:rFonts w:ascii="Calibri" w:hAnsi="Calibri"/>
          <w:sz w:val="22"/>
        </w:rPr>
        <w:t xml:space="preserve"> obtížnější, protože aktivity a intervence na podporu </w:t>
      </w:r>
      <w:proofErr w:type="spellStart"/>
      <w:r w:rsidRPr="002715CE" w:rsidDel="00A721A9">
        <w:rPr>
          <w:rFonts w:ascii="Calibri" w:hAnsi="Calibri"/>
          <w:sz w:val="22"/>
        </w:rPr>
        <w:t>VaVaI</w:t>
      </w:r>
      <w:proofErr w:type="spellEnd"/>
      <w:r w:rsidRPr="002715CE" w:rsidDel="00A721A9">
        <w:rPr>
          <w:rFonts w:ascii="Calibri" w:hAnsi="Calibri"/>
          <w:sz w:val="22"/>
        </w:rPr>
        <w:t xml:space="preserve"> (a inteligentní specializace) dosud nikdy nepřipravovaly, nezabývaly se jimi a nově předkládaná RIS3 koncepce tak klade nároky na často značné změny v přístupu těchto krajů k podpoře regionálního rozvoje a konkurenceschopnosti. </w:t>
      </w:r>
    </w:p>
    <w:p w:rsidR="001060DD" w:rsidRDefault="001060DD" w:rsidP="001060DD">
      <w:pPr>
        <w:jc w:val="both"/>
        <w:rPr>
          <w:rFonts w:ascii="Calibri" w:hAnsi="Calibri"/>
          <w:sz w:val="22"/>
        </w:rPr>
      </w:pPr>
      <w:r w:rsidRPr="002715CE">
        <w:rPr>
          <w:rFonts w:ascii="Calibri" w:hAnsi="Calibri"/>
          <w:sz w:val="22"/>
        </w:rPr>
        <w:lastRenderedPageBreak/>
        <w:t xml:space="preserve">V únoru 2014 bylo pod vedením MŠMT započato projednávání krajských příloh krajskými partnerstvími. Krajské rady pro inovace/konkurenceschopnost, se ve většině krajů začaly formovat a scházet již v roce 2013, v roce 2014 pak byly ustaveny ve většině krajů též krajské inovační platformy, jejichž neformální setkávání začalo v některých krajích již ve 2. pol. r. 2013. Krajské </w:t>
      </w:r>
      <w:proofErr w:type="spellStart"/>
      <w:r w:rsidRPr="002715CE">
        <w:rPr>
          <w:rFonts w:ascii="Calibri" w:hAnsi="Calibri"/>
          <w:sz w:val="22"/>
        </w:rPr>
        <w:t>projednávací</w:t>
      </w:r>
      <w:proofErr w:type="spellEnd"/>
      <w:r w:rsidRPr="002715CE">
        <w:rPr>
          <w:rFonts w:ascii="Calibri" w:hAnsi="Calibri"/>
          <w:sz w:val="22"/>
        </w:rPr>
        <w:t xml:space="preserve"> procesy v těchto strukturách vedly během 1. pol. 2014 k postupnému dopracování a zpřesnění krajských RIS3 příloh.</w:t>
      </w:r>
    </w:p>
    <w:p w:rsidR="001060DD" w:rsidRPr="002715CE" w:rsidRDefault="001060DD" w:rsidP="001060DD">
      <w:pPr>
        <w:jc w:val="both"/>
        <w:rPr>
          <w:rFonts w:ascii="Calibri" w:hAnsi="Calibri"/>
          <w:sz w:val="22"/>
        </w:rPr>
      </w:pPr>
    </w:p>
    <w:p w:rsidR="001060DD" w:rsidRDefault="001060DD" w:rsidP="001060DD">
      <w:pPr>
        <w:jc w:val="both"/>
        <w:rPr>
          <w:rFonts w:ascii="Calibri" w:hAnsi="Calibri"/>
          <w:sz w:val="22"/>
        </w:rPr>
      </w:pPr>
      <w:r w:rsidRPr="002715CE">
        <w:rPr>
          <w:rFonts w:ascii="Calibri" w:hAnsi="Calibri"/>
          <w:sz w:val="22"/>
        </w:rPr>
        <w:t xml:space="preserve">Krajské přílohy Národní RIS3 strategie podléhají schvalování na krajské úrovni a všech 14 příloh již bylo schváleno příslušnými krajskými zastupitelstvy v červnu-září 2014. Stejně jako je tomu na národní úrovni, i krajské přílohy Národní RIS3 strategie budou v následujících letech pravidelně aktualizovány a doplňovány pravidelně o krajské akční plány navrhující konkrétní intervence/opatření implementující RIS3 pro nadcházející rok. </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sz w:val="22"/>
        </w:rPr>
      </w:pPr>
      <w:r w:rsidRPr="002715CE">
        <w:rPr>
          <w:rFonts w:ascii="Calibri" w:hAnsi="Calibri"/>
          <w:sz w:val="22"/>
        </w:rPr>
        <w:t>V procesu budování partnerství a RIS3 struktur v krajích bude krajským RIS3 manažerům ze strany MŠMT a Úřadu vlády nadále poskytována podpora tak, aby v době zahajování implementace byla partnerství v maximální možné míře funkční, a aby umožňovala a usnadňovala spolupráci různých subjektů (triple/</w:t>
      </w:r>
      <w:proofErr w:type="spellStart"/>
      <w:r w:rsidRPr="002715CE">
        <w:rPr>
          <w:rFonts w:ascii="Calibri" w:hAnsi="Calibri"/>
          <w:sz w:val="22"/>
        </w:rPr>
        <w:t>quadruple</w:t>
      </w:r>
      <w:proofErr w:type="spellEnd"/>
      <w:r w:rsidRPr="002715CE">
        <w:rPr>
          <w:rFonts w:ascii="Calibri" w:hAnsi="Calibri"/>
          <w:sz w:val="22"/>
        </w:rPr>
        <w:t xml:space="preserve"> helix) při rozhodování o obsahu krajských RIS3 příloh i při plánování, koordinaci a realizaci jednotlivých intervencí. Mezi jinými aktivitami krajských RIS3 manažerů bude pokračovat praxe pravidelných vícedenních školení pod vedením ÚV a MŠMT (blíže viz kap. 5).</w:t>
      </w:r>
    </w:p>
    <w:p w:rsidR="001060DD" w:rsidRPr="002715CE" w:rsidRDefault="001060DD" w:rsidP="001060DD">
      <w:pPr>
        <w:jc w:val="both"/>
        <w:rPr>
          <w:rFonts w:ascii="Calibri" w:hAnsi="Calibri"/>
          <w:i/>
          <w:sz w:val="22"/>
          <w:u w:val="single"/>
        </w:rPr>
      </w:pPr>
      <w:r w:rsidRPr="002715CE">
        <w:rPr>
          <w:rFonts w:ascii="Calibri" w:hAnsi="Calibri"/>
          <w:b/>
          <w:i/>
          <w:sz w:val="22"/>
          <w:u w:val="single"/>
        </w:rPr>
        <w:t>Předpokládané termíny dalších kroků (v gesci krajských manažerů koordinovaných Úřadem vlády)</w:t>
      </w:r>
      <w:r w:rsidRPr="002715CE">
        <w:rPr>
          <w:rFonts w:ascii="Calibri" w:hAnsi="Calibri"/>
          <w:i/>
          <w:sz w:val="22"/>
          <w:u w:val="single"/>
        </w:rPr>
        <w:t>:</w:t>
      </w:r>
    </w:p>
    <w:p w:rsidR="001060DD" w:rsidRDefault="001060DD" w:rsidP="001060DD">
      <w:pPr>
        <w:jc w:val="both"/>
        <w:rPr>
          <w:rFonts w:ascii="Calibri" w:hAnsi="Calibri"/>
          <w:sz w:val="22"/>
        </w:rPr>
      </w:pPr>
      <w:r w:rsidRPr="002715CE">
        <w:rPr>
          <w:rFonts w:ascii="Calibri" w:hAnsi="Calibri"/>
          <w:b/>
          <w:sz w:val="22"/>
        </w:rPr>
        <w:t xml:space="preserve">5/2015 </w:t>
      </w:r>
      <w:r w:rsidRPr="002715CE">
        <w:rPr>
          <w:rFonts w:ascii="Calibri" w:hAnsi="Calibri"/>
          <w:sz w:val="22"/>
        </w:rPr>
        <w:t>– příprava krajských akčních plánů pro první rok implementace krajských RIS3 příloh</w:t>
      </w:r>
    </w:p>
    <w:p w:rsidR="001060DD" w:rsidRPr="002715CE" w:rsidRDefault="001060DD" w:rsidP="001060DD">
      <w:pPr>
        <w:jc w:val="both"/>
        <w:rPr>
          <w:rFonts w:ascii="Calibri" w:hAnsi="Calibri"/>
          <w:sz w:val="22"/>
        </w:rPr>
      </w:pPr>
    </w:p>
    <w:p w:rsidR="001060DD" w:rsidRPr="002715CE" w:rsidRDefault="001060DD" w:rsidP="001060DD">
      <w:pPr>
        <w:jc w:val="both"/>
        <w:rPr>
          <w:rFonts w:ascii="Cambria" w:hAnsi="Cambria"/>
          <w:b/>
          <w:color w:val="0070C0"/>
          <w:sz w:val="28"/>
          <w:szCs w:val="24"/>
        </w:rPr>
      </w:pPr>
      <w:r w:rsidRPr="002715CE">
        <w:rPr>
          <w:rFonts w:ascii="Cambria" w:hAnsi="Cambria"/>
          <w:b/>
          <w:color w:val="0070C0"/>
          <w:sz w:val="28"/>
          <w:szCs w:val="24"/>
        </w:rPr>
        <w:t>4. Národní příspěvek k finančnímu rámci RIS3</w:t>
      </w:r>
    </w:p>
    <w:p w:rsidR="001060DD" w:rsidRPr="002715CE" w:rsidRDefault="001060DD" w:rsidP="001060DD">
      <w:pPr>
        <w:spacing w:line="280" w:lineRule="exact"/>
        <w:jc w:val="both"/>
        <w:rPr>
          <w:rFonts w:ascii="Calibri" w:hAnsi="Calibri"/>
          <w:sz w:val="22"/>
        </w:rPr>
      </w:pPr>
      <w:r w:rsidRPr="002715CE">
        <w:rPr>
          <w:rFonts w:ascii="Calibri" w:hAnsi="Calibri"/>
          <w:sz w:val="22"/>
        </w:rPr>
        <w:t xml:space="preserve">Kromě operačních programů financovaných z ESIF zdrojů, pro které je RIS3 strategie ex-ante </w:t>
      </w:r>
      <w:proofErr w:type="spellStart"/>
      <w:r w:rsidRPr="002715CE">
        <w:rPr>
          <w:rFonts w:ascii="Calibri" w:hAnsi="Calibri"/>
          <w:sz w:val="22"/>
        </w:rPr>
        <w:t>kondicionalitou</w:t>
      </w:r>
      <w:proofErr w:type="spellEnd"/>
      <w:r w:rsidRPr="002715CE">
        <w:rPr>
          <w:rFonts w:ascii="Calibri" w:hAnsi="Calibri"/>
          <w:sz w:val="22"/>
        </w:rPr>
        <w:t xml:space="preserve">, jsou na RIS3 strategii navázány i některé národní programy/tituly podpory a prostředky poskytované z krajské úrovně.  </w:t>
      </w:r>
    </w:p>
    <w:p w:rsidR="001060DD" w:rsidRPr="002715CE" w:rsidRDefault="001060DD" w:rsidP="001060DD">
      <w:pPr>
        <w:jc w:val="both"/>
        <w:rPr>
          <w:rFonts w:ascii="Calibri" w:hAnsi="Calibri"/>
          <w:sz w:val="22"/>
        </w:rPr>
      </w:pPr>
      <w:r w:rsidRPr="002715CE">
        <w:rPr>
          <w:rFonts w:ascii="Calibri" w:hAnsi="Calibri"/>
          <w:sz w:val="22"/>
        </w:rPr>
        <w:t xml:space="preserve">Vládou schválený návrh zákona o státním rozpočtu na rok 2015 s výhledem na roky 2016 a 2017 v ukazateli "Výdaje na výzkum, vývoj a inovace" obsahuje tyto hodnoty: </w:t>
      </w:r>
    </w:p>
    <w:p w:rsidR="001060DD" w:rsidRPr="002715CE" w:rsidRDefault="001060DD" w:rsidP="001060DD">
      <w:pPr>
        <w:jc w:val="both"/>
        <w:rPr>
          <w:rFonts w:ascii="Calibri" w:hAnsi="Calibri"/>
          <w:sz w:val="22"/>
        </w:rPr>
      </w:pPr>
      <w:r w:rsidRPr="002715CE">
        <w:rPr>
          <w:rFonts w:ascii="Calibri" w:hAnsi="Calibri"/>
          <w:sz w:val="22"/>
        </w:rPr>
        <w:t xml:space="preserve">2015: 26,90 mld. Kč </w:t>
      </w:r>
    </w:p>
    <w:p w:rsidR="001060DD" w:rsidRPr="002715CE" w:rsidRDefault="001060DD" w:rsidP="001060DD">
      <w:pPr>
        <w:jc w:val="both"/>
        <w:rPr>
          <w:rFonts w:ascii="Calibri" w:hAnsi="Calibri"/>
          <w:sz w:val="22"/>
        </w:rPr>
      </w:pPr>
      <w:r w:rsidRPr="002715CE">
        <w:rPr>
          <w:rFonts w:ascii="Calibri" w:hAnsi="Calibri"/>
          <w:sz w:val="22"/>
        </w:rPr>
        <w:t xml:space="preserve">2016: 26,56 mld. Kč </w:t>
      </w:r>
    </w:p>
    <w:p w:rsidR="001060DD" w:rsidRPr="002715CE" w:rsidRDefault="001060DD" w:rsidP="001060DD">
      <w:pPr>
        <w:jc w:val="both"/>
        <w:rPr>
          <w:rFonts w:ascii="Calibri" w:hAnsi="Calibri"/>
          <w:sz w:val="22"/>
        </w:rPr>
      </w:pPr>
      <w:r w:rsidRPr="002715CE">
        <w:rPr>
          <w:rFonts w:ascii="Calibri" w:hAnsi="Calibri"/>
          <w:sz w:val="22"/>
        </w:rPr>
        <w:t xml:space="preserve">2017: 26,56 mld. Kč </w:t>
      </w:r>
    </w:p>
    <w:p w:rsidR="001060DD" w:rsidRDefault="001060DD" w:rsidP="001060DD">
      <w:pPr>
        <w:jc w:val="both"/>
        <w:rPr>
          <w:rFonts w:ascii="Calibri" w:hAnsi="Calibri"/>
          <w:sz w:val="22"/>
        </w:rPr>
      </w:pPr>
      <w:r w:rsidRPr="002715CE">
        <w:rPr>
          <w:rFonts w:ascii="Calibri" w:hAnsi="Calibri"/>
          <w:sz w:val="22"/>
        </w:rPr>
        <w:t xml:space="preserve">Tyto prostředky budou využívány v souladu se zákonem 130/2002 Sb., o podpoře výzkumu, experimentálního vývoje a inovací a zahrnují krom prostředků určených na implementaci RIS3 strategie i další národní podporu </w:t>
      </w:r>
      <w:proofErr w:type="spellStart"/>
      <w:r w:rsidRPr="002715CE">
        <w:rPr>
          <w:rFonts w:ascii="Calibri" w:hAnsi="Calibri"/>
          <w:sz w:val="22"/>
        </w:rPr>
        <w:t>VaVaI</w:t>
      </w:r>
      <w:proofErr w:type="spellEnd"/>
      <w:r w:rsidRPr="002715CE">
        <w:rPr>
          <w:rFonts w:ascii="Calibri" w:hAnsi="Calibri"/>
          <w:sz w:val="22"/>
        </w:rPr>
        <w:t xml:space="preserve">. </w:t>
      </w:r>
    </w:p>
    <w:p w:rsidR="001060DD" w:rsidRPr="002715CE" w:rsidRDefault="001060DD" w:rsidP="001060DD">
      <w:pPr>
        <w:jc w:val="both"/>
        <w:rPr>
          <w:rFonts w:ascii="Calibri" w:hAnsi="Calibri"/>
          <w:sz w:val="22"/>
        </w:rPr>
      </w:pPr>
    </w:p>
    <w:p w:rsidR="001060DD" w:rsidRPr="002715CE" w:rsidRDefault="001060DD" w:rsidP="001060DD">
      <w:pPr>
        <w:spacing w:line="280" w:lineRule="exact"/>
        <w:jc w:val="both"/>
        <w:rPr>
          <w:rFonts w:ascii="Calibri" w:hAnsi="Calibri"/>
          <w:b/>
          <w:i/>
          <w:sz w:val="22"/>
        </w:rPr>
      </w:pPr>
      <w:r w:rsidRPr="002715CE">
        <w:rPr>
          <w:rFonts w:ascii="Calibri" w:hAnsi="Calibri"/>
          <w:b/>
          <w:i/>
          <w:sz w:val="22"/>
        </w:rPr>
        <w:t xml:space="preserve">V průběhu roku 2015 bude provedena revize zdrojů veřejných rozpočtů na podporu </w:t>
      </w:r>
      <w:proofErr w:type="spellStart"/>
      <w:r w:rsidRPr="002715CE">
        <w:rPr>
          <w:rFonts w:ascii="Calibri" w:hAnsi="Calibri"/>
          <w:b/>
          <w:i/>
          <w:sz w:val="22"/>
        </w:rPr>
        <w:t>VaVaI</w:t>
      </w:r>
      <w:proofErr w:type="spellEnd"/>
      <w:r w:rsidRPr="002715CE">
        <w:rPr>
          <w:rFonts w:ascii="Calibri" w:hAnsi="Calibri"/>
          <w:b/>
          <w:i/>
          <w:sz w:val="22"/>
        </w:rPr>
        <w:t xml:space="preserve"> (národních i krajských) tak, aby bylo možno diferencovat zdroje určené na implementaci RIS3 a zdroje ostatní.</w:t>
      </w:r>
    </w:p>
    <w:p w:rsidR="001060DD" w:rsidRDefault="001060DD" w:rsidP="001060DD">
      <w:pPr>
        <w:jc w:val="both"/>
        <w:rPr>
          <w:rFonts w:ascii="Calibri" w:hAnsi="Calibri"/>
          <w:sz w:val="22"/>
        </w:rPr>
      </w:pPr>
      <w:r w:rsidRPr="002715CE">
        <w:rPr>
          <w:rFonts w:ascii="Calibri" w:hAnsi="Calibri"/>
          <w:sz w:val="22"/>
        </w:rPr>
        <w:t xml:space="preserve">Konkrétní částky národního podílu financování RIS3 budou zároveň vycházet z průběžné evaluace realizované Úřadem vlády vždy k uplynulému roku. </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sz w:val="22"/>
        </w:rPr>
      </w:pPr>
      <w:r w:rsidRPr="002715CE">
        <w:rPr>
          <w:rFonts w:ascii="Calibri" w:hAnsi="Calibri"/>
          <w:sz w:val="22"/>
        </w:rPr>
        <w:t>Při financování intervencí podporovaných v jednotlivých strategických a specifických cílech strategie inteligentní specializace se kromě prostředků ESIF a národních zdrojů počítá rovněž s využitím prostředků některých komunitárních programů (např. Horizontu 2020 a COSME).</w:t>
      </w:r>
    </w:p>
    <w:p w:rsidR="001060DD" w:rsidRDefault="001060DD" w:rsidP="001060DD">
      <w:pPr>
        <w:jc w:val="both"/>
        <w:rPr>
          <w:rFonts w:ascii="Calibri" w:hAnsi="Calibri"/>
          <w:b/>
          <w:i/>
          <w:sz w:val="22"/>
          <w:u w:val="single"/>
        </w:rPr>
      </w:pPr>
      <w:r w:rsidRPr="002715CE">
        <w:rPr>
          <w:rFonts w:ascii="Calibri" w:hAnsi="Calibri"/>
          <w:b/>
          <w:i/>
          <w:sz w:val="22"/>
          <w:u w:val="single"/>
        </w:rPr>
        <w:t>Předpokládané termíny dalších kroků (v gesci Úřadu vlády):</w:t>
      </w:r>
    </w:p>
    <w:p w:rsidR="001060DD" w:rsidRPr="002715CE" w:rsidRDefault="001060DD" w:rsidP="001060DD">
      <w:pPr>
        <w:jc w:val="both"/>
        <w:rPr>
          <w:rFonts w:ascii="Calibri" w:hAnsi="Calibri"/>
          <w:b/>
          <w:i/>
          <w:sz w:val="22"/>
          <w:u w:val="single"/>
        </w:rPr>
      </w:pP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t xml:space="preserve">3/2015 </w:t>
      </w:r>
      <w:r w:rsidRPr="002715CE">
        <w:rPr>
          <w:rFonts w:ascii="Calibri" w:hAnsi="Calibri"/>
          <w:bCs/>
          <w:sz w:val="22"/>
        </w:rPr>
        <w:t>– kvantifikace příspěvků krajských rozpočtů k implementaci RIS3 pro rok 2015</w:t>
      </w: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t>9/2015</w:t>
      </w:r>
      <w:r w:rsidRPr="002715CE">
        <w:rPr>
          <w:rFonts w:ascii="Calibri" w:hAnsi="Calibri"/>
          <w:bCs/>
          <w:sz w:val="22"/>
        </w:rPr>
        <w:t xml:space="preserve"> – přiřazení národních zdrojů financování k jednotlivým prioritám (klíčovým oblastem změn) RIS3 pro rok 2015 (s výhledem na roky 2016 a 2017)</w:t>
      </w: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t>9/2015</w:t>
      </w:r>
      <w:r w:rsidRPr="002715CE">
        <w:rPr>
          <w:rFonts w:ascii="Calibri" w:hAnsi="Calibri"/>
          <w:bCs/>
          <w:sz w:val="22"/>
        </w:rPr>
        <w:t xml:space="preserve"> – </w:t>
      </w:r>
      <w:proofErr w:type="spellStart"/>
      <w:r w:rsidRPr="002715CE">
        <w:rPr>
          <w:rFonts w:ascii="Calibri" w:hAnsi="Calibri"/>
          <w:bCs/>
          <w:sz w:val="22"/>
        </w:rPr>
        <w:t>crosscheck</w:t>
      </w:r>
      <w:proofErr w:type="spellEnd"/>
      <w:r w:rsidRPr="002715CE">
        <w:rPr>
          <w:rFonts w:ascii="Calibri" w:hAnsi="Calibri"/>
          <w:bCs/>
          <w:sz w:val="22"/>
        </w:rPr>
        <w:t xml:space="preserve"> priorit RIS3 a priorit dle EAC 1.2</w:t>
      </w:r>
    </w:p>
    <w:p w:rsidR="001060DD" w:rsidRPr="002715CE" w:rsidRDefault="001060DD" w:rsidP="001060DD">
      <w:pPr>
        <w:jc w:val="both"/>
        <w:rPr>
          <w:rFonts w:ascii="Calibri" w:hAnsi="Calibri"/>
          <w:b/>
          <w:color w:val="0070C0"/>
          <w:sz w:val="22"/>
        </w:rPr>
      </w:pPr>
    </w:p>
    <w:p w:rsidR="001060DD" w:rsidRPr="002715CE" w:rsidRDefault="001060DD" w:rsidP="001060DD">
      <w:pPr>
        <w:jc w:val="both"/>
        <w:rPr>
          <w:rFonts w:ascii="Calibri" w:hAnsi="Calibri"/>
          <w:b/>
          <w:color w:val="0070C0"/>
          <w:sz w:val="22"/>
        </w:rPr>
      </w:pPr>
      <w:r w:rsidRPr="002715CE">
        <w:rPr>
          <w:rFonts w:ascii="Cambria" w:hAnsi="Cambria"/>
          <w:b/>
          <w:color w:val="0070C0"/>
          <w:sz w:val="28"/>
          <w:szCs w:val="24"/>
        </w:rPr>
        <w:lastRenderedPageBreak/>
        <w:t>5. Facilitace zahájení implementace RIS3 strategie</w:t>
      </w:r>
      <w:r w:rsidRPr="002715CE">
        <w:rPr>
          <w:rFonts w:ascii="Calibri" w:hAnsi="Calibri"/>
          <w:b/>
          <w:color w:val="0070C0"/>
          <w:sz w:val="22"/>
        </w:rPr>
        <w:t xml:space="preserve"> </w:t>
      </w:r>
      <w:r w:rsidRPr="002715CE">
        <w:rPr>
          <w:rFonts w:ascii="Cambria" w:hAnsi="Cambria"/>
          <w:b/>
          <w:color w:val="0070C0"/>
          <w:sz w:val="28"/>
          <w:szCs w:val="24"/>
        </w:rPr>
        <w:t> na národní i krajské úrovni</w:t>
      </w:r>
    </w:p>
    <w:p w:rsidR="001060DD" w:rsidRPr="002715CE" w:rsidRDefault="001060DD" w:rsidP="001060DD">
      <w:pPr>
        <w:jc w:val="both"/>
        <w:rPr>
          <w:rFonts w:ascii="Calibri" w:hAnsi="Calibri"/>
          <w:sz w:val="22"/>
        </w:rPr>
      </w:pPr>
      <w:r w:rsidRPr="002715CE">
        <w:rPr>
          <w:rFonts w:ascii="Calibri" w:hAnsi="Calibri"/>
          <w:sz w:val="22"/>
        </w:rPr>
        <w:t xml:space="preserve">Jak již bylo zmíněno výše v dokumentu, po schválení a zahájení implementace RIS3 strategie přešla agenda jejího řízení na Úřad vlády – z důvodu nadresortního charakteru agendy a nutnosti provázání evropských a národních zdrojů při realizaci a koordinaci národní politiky v oblasti </w:t>
      </w:r>
      <w:proofErr w:type="spellStart"/>
      <w:r w:rsidRPr="002715CE">
        <w:rPr>
          <w:rFonts w:ascii="Calibri" w:hAnsi="Calibri"/>
          <w:sz w:val="22"/>
        </w:rPr>
        <w:t>VaVaI</w:t>
      </w:r>
      <w:proofErr w:type="spellEnd"/>
      <w:r w:rsidRPr="002715CE">
        <w:rPr>
          <w:rFonts w:ascii="Calibri" w:hAnsi="Calibri"/>
          <w:sz w:val="22"/>
        </w:rPr>
        <w:t xml:space="preserve">. </w:t>
      </w:r>
    </w:p>
    <w:p w:rsidR="001060DD" w:rsidRPr="002715CE" w:rsidRDefault="001060DD" w:rsidP="001060DD">
      <w:pPr>
        <w:jc w:val="both"/>
        <w:rPr>
          <w:rFonts w:ascii="Calibri" w:hAnsi="Calibri"/>
          <w:sz w:val="22"/>
        </w:rPr>
      </w:pPr>
      <w:r w:rsidRPr="002715CE">
        <w:rPr>
          <w:rFonts w:ascii="Calibri" w:hAnsi="Calibri"/>
          <w:sz w:val="22"/>
        </w:rPr>
        <w:t xml:space="preserve">Za účelem </w:t>
      </w:r>
      <w:r w:rsidRPr="002715CE">
        <w:rPr>
          <w:rFonts w:ascii="Calibri" w:hAnsi="Calibri"/>
          <w:b/>
          <w:sz w:val="22"/>
        </w:rPr>
        <w:t>nastavení mechanismů pro implementaci RIS3 strategie prostřednictvím klíčových operačních programů</w:t>
      </w:r>
      <w:r w:rsidRPr="002715CE">
        <w:rPr>
          <w:rFonts w:ascii="Calibri" w:hAnsi="Calibri"/>
          <w:sz w:val="22"/>
        </w:rPr>
        <w:t xml:space="preserve"> (OP VVV, OP PIK a OP PPR) probíhají od února 2014 jednání s příslušnými řídicími orgány (MŠMT, MPO a Magistrát hl. m. Prahy). Výstupy z těchto jednání budou promítnuty do prováděcích/metodických/implementačních dokumentů jednotlivých operačních programů.</w:t>
      </w:r>
    </w:p>
    <w:p w:rsidR="001060DD" w:rsidRDefault="001060DD" w:rsidP="001060DD">
      <w:pPr>
        <w:jc w:val="both"/>
        <w:rPr>
          <w:rFonts w:ascii="Calibri" w:hAnsi="Calibri"/>
          <w:sz w:val="22"/>
        </w:rPr>
      </w:pPr>
      <w:r w:rsidRPr="002715CE">
        <w:rPr>
          <w:rFonts w:ascii="Calibri" w:hAnsi="Calibri"/>
          <w:sz w:val="22"/>
        </w:rPr>
        <w:t xml:space="preserve">Zároveň probíhala od května 2014 jednání mezi MŠMT, Úřadem vlády a MPO za účelem budování a </w:t>
      </w:r>
      <w:r w:rsidRPr="002715CE">
        <w:rPr>
          <w:rFonts w:ascii="Calibri" w:hAnsi="Calibri"/>
          <w:b/>
          <w:sz w:val="22"/>
        </w:rPr>
        <w:t>usazení struktury pro řízení a implementaci RIS3 strategie</w:t>
      </w:r>
      <w:r w:rsidRPr="002715CE">
        <w:rPr>
          <w:rFonts w:ascii="Calibri" w:hAnsi="Calibri"/>
          <w:sz w:val="22"/>
        </w:rPr>
        <w:t xml:space="preserve"> na národní úrovni (včetně </w:t>
      </w:r>
      <w:proofErr w:type="spellStart"/>
      <w:r w:rsidRPr="002715CE">
        <w:rPr>
          <w:rFonts w:ascii="Calibri" w:hAnsi="Calibri"/>
          <w:sz w:val="22"/>
        </w:rPr>
        <w:t>provazeb</w:t>
      </w:r>
      <w:proofErr w:type="spellEnd"/>
      <w:r w:rsidRPr="002715CE">
        <w:rPr>
          <w:rFonts w:ascii="Calibri" w:hAnsi="Calibri"/>
          <w:sz w:val="22"/>
        </w:rPr>
        <w:t xml:space="preserve"> s úrovní krajskou), jejíž výsledná dohodnutá podoba je popsána v textu samotné Národní RIS3 strategie (kapitola 7). </w:t>
      </w:r>
    </w:p>
    <w:p w:rsidR="001060DD" w:rsidRPr="002715CE" w:rsidRDefault="001060DD" w:rsidP="001060DD">
      <w:pPr>
        <w:jc w:val="both"/>
        <w:rPr>
          <w:rFonts w:ascii="Calibri" w:hAnsi="Calibri"/>
          <w:sz w:val="22"/>
        </w:rPr>
      </w:pPr>
    </w:p>
    <w:p w:rsidR="001060DD" w:rsidRDefault="001060DD" w:rsidP="001060DD">
      <w:pPr>
        <w:jc w:val="both"/>
        <w:rPr>
          <w:rFonts w:ascii="Calibri" w:hAnsi="Calibri"/>
          <w:sz w:val="22"/>
        </w:rPr>
      </w:pPr>
      <w:r w:rsidRPr="002715CE">
        <w:rPr>
          <w:rFonts w:ascii="Calibri" w:hAnsi="Calibri"/>
          <w:sz w:val="22"/>
        </w:rPr>
        <w:t>Za účelem facilitace spuštění implementace RIS3 strategie na krajské úrovni byl v říjnu 2014 zahájen cyklus odborných seminářů v režii MŠMT, v rámci kterého bude krajům poskytnuta podpora při rozpracovávání konkrétních intervencí (projektů/programů/aktivit) na základě návrhů v  krajských přílohách RIS3 strategie. Konkrétně se jedná o rozpracování 1-2 nejslibnějších projektů/programů/aktivit (o jejichž realizaci/řízení je uvažováno na krajské úrovni) v každém kraji tak, aby byly včas připraveny k realizaci se spuštěním programového období 2014</w:t>
      </w:r>
      <w:r>
        <w:rPr>
          <w:rFonts w:ascii="Calibri" w:hAnsi="Calibri"/>
          <w:sz w:val="22"/>
        </w:rPr>
        <w:t>-</w:t>
      </w:r>
      <w:r w:rsidRPr="002715CE">
        <w:rPr>
          <w:rFonts w:ascii="Calibri" w:hAnsi="Calibri"/>
          <w:sz w:val="22"/>
        </w:rPr>
        <w:t xml:space="preserve">2020. Za účelem pokrytí této agendy byli ze strany MŠMT v dubnu/květnu 2014 angažováni </w:t>
      </w:r>
      <w:r w:rsidRPr="002715CE">
        <w:rPr>
          <w:rFonts w:ascii="Calibri" w:hAnsi="Calibri"/>
          <w:bCs/>
          <w:sz w:val="22"/>
        </w:rPr>
        <w:t>„RIS3 projektoví manažeři“</w:t>
      </w:r>
      <w:r w:rsidRPr="002715CE">
        <w:rPr>
          <w:rFonts w:ascii="Calibri" w:hAnsi="Calibri"/>
          <w:sz w:val="22"/>
        </w:rPr>
        <w:t xml:space="preserve"> (jeden v každém kraji), aby posílili kapacitu stávajících RIS3 manažerů a doplnili jejich aktivity o výše uvedené rozpracovávání konkrétních projektových </w:t>
      </w:r>
      <w:proofErr w:type="spellStart"/>
      <w:r w:rsidRPr="002715CE">
        <w:rPr>
          <w:rFonts w:ascii="Calibri" w:hAnsi="Calibri"/>
          <w:sz w:val="22"/>
        </w:rPr>
        <w:t>fichí</w:t>
      </w:r>
      <w:proofErr w:type="spellEnd"/>
      <w:r w:rsidRPr="002715CE">
        <w:rPr>
          <w:rFonts w:ascii="Calibri" w:hAnsi="Calibri"/>
          <w:sz w:val="22"/>
        </w:rPr>
        <w:t xml:space="preserve"> v návaznosti na krajské RIS3 přílohy. </w:t>
      </w:r>
    </w:p>
    <w:p w:rsidR="001060DD" w:rsidRPr="002715CE" w:rsidRDefault="001060DD" w:rsidP="001060DD">
      <w:pPr>
        <w:jc w:val="both"/>
        <w:rPr>
          <w:rFonts w:ascii="Calibri" w:hAnsi="Calibri"/>
          <w:sz w:val="22"/>
        </w:rPr>
      </w:pPr>
    </w:p>
    <w:p w:rsidR="001060DD" w:rsidRPr="002715CE" w:rsidRDefault="001060DD" w:rsidP="001060DD">
      <w:pPr>
        <w:jc w:val="both"/>
        <w:rPr>
          <w:rFonts w:ascii="Calibri" w:hAnsi="Calibri"/>
          <w:b/>
          <w:i/>
          <w:sz w:val="22"/>
          <w:u w:val="single"/>
        </w:rPr>
      </w:pPr>
      <w:r w:rsidRPr="002715CE">
        <w:rPr>
          <w:rFonts w:ascii="Calibri" w:hAnsi="Calibri"/>
          <w:b/>
          <w:i/>
          <w:sz w:val="22"/>
          <w:u w:val="single"/>
        </w:rPr>
        <w:t>Předpokládané termíny dalších kroků:</w:t>
      </w: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t xml:space="preserve">6/2015 - </w:t>
      </w:r>
      <w:r w:rsidRPr="002715CE">
        <w:rPr>
          <w:rFonts w:ascii="Calibri" w:hAnsi="Calibri"/>
          <w:bCs/>
          <w:sz w:val="22"/>
        </w:rPr>
        <w:t>Usazení implementačních mechanismů pro RIS3 strategii v prováděcích/metodických/</w:t>
      </w:r>
    </w:p>
    <w:p w:rsidR="001060DD" w:rsidRPr="002715CE" w:rsidRDefault="001060DD" w:rsidP="001060DD">
      <w:pPr>
        <w:ind w:left="720"/>
        <w:contextualSpacing/>
        <w:jc w:val="both"/>
        <w:rPr>
          <w:rFonts w:ascii="Calibri" w:hAnsi="Calibri"/>
          <w:bCs/>
          <w:sz w:val="22"/>
        </w:rPr>
      </w:pPr>
      <w:r w:rsidRPr="002715CE">
        <w:rPr>
          <w:rFonts w:ascii="Calibri" w:hAnsi="Calibri"/>
          <w:bCs/>
          <w:sz w:val="22"/>
        </w:rPr>
        <w:t>implementačních dokumentech relevantních operačních programů ESIF (v gesci relevantních řídicích orgánů)</w:t>
      </w:r>
    </w:p>
    <w:p w:rsidR="001060DD" w:rsidRPr="002715CE" w:rsidRDefault="001060DD" w:rsidP="001060DD">
      <w:pPr>
        <w:ind w:left="720"/>
        <w:contextualSpacing/>
        <w:jc w:val="both"/>
        <w:rPr>
          <w:rFonts w:ascii="Calibri" w:hAnsi="Calibri"/>
          <w:bCs/>
          <w:sz w:val="22"/>
        </w:rPr>
      </w:pPr>
      <w:r w:rsidRPr="002715CE">
        <w:rPr>
          <w:rFonts w:ascii="Calibri" w:hAnsi="Calibri"/>
          <w:b/>
          <w:bCs/>
          <w:sz w:val="22"/>
        </w:rPr>
        <w:t xml:space="preserve">10/ 2014 – 11/ 2015 </w:t>
      </w:r>
      <w:r w:rsidRPr="002715CE">
        <w:rPr>
          <w:rFonts w:ascii="Calibri" w:hAnsi="Calibri"/>
          <w:bCs/>
          <w:sz w:val="22"/>
        </w:rPr>
        <w:t>- Školení RIS3 manažerů a projektových manažerů s cílem zajistit přípravu a rozpracování operací/intervencí naplňujících RIS3 krajské přílohy (v gesci MŠMT a Úřadu vlády)</w:t>
      </w:r>
    </w:p>
    <w:p w:rsidR="00B96F3D" w:rsidRDefault="00B96F3D">
      <w:pPr>
        <w:overflowPunct/>
        <w:autoSpaceDE/>
        <w:autoSpaceDN/>
        <w:adjustRightInd/>
        <w:textAlignment w:val="auto"/>
        <w:rPr>
          <w:rFonts w:asciiTheme="minorHAnsi" w:hAnsiTheme="minorHAnsi" w:cstheme="minorHAnsi"/>
          <w:sz w:val="22"/>
          <w:szCs w:val="22"/>
        </w:rPr>
      </w:pPr>
    </w:p>
    <w:p w:rsidR="001060DD" w:rsidRDefault="001060DD">
      <w:pPr>
        <w:overflowPunct/>
        <w:autoSpaceDE/>
        <w:autoSpaceDN/>
        <w:adjustRightInd/>
        <w:textAlignment w:val="auto"/>
        <w:rPr>
          <w:rFonts w:asciiTheme="minorHAnsi" w:hAnsiTheme="minorHAnsi" w:cstheme="minorHAnsi"/>
          <w:sz w:val="22"/>
          <w:szCs w:val="22"/>
        </w:rPr>
      </w:pPr>
    </w:p>
    <w:p w:rsidR="001060DD" w:rsidRDefault="001060DD">
      <w:pPr>
        <w:overflowPunct/>
        <w:autoSpaceDE/>
        <w:autoSpaceDN/>
        <w:adjustRightInd/>
        <w:textAlignment w:val="auto"/>
        <w:rPr>
          <w:rFonts w:asciiTheme="minorHAnsi" w:hAnsiTheme="minorHAnsi" w:cstheme="minorHAnsi"/>
          <w:sz w:val="22"/>
          <w:szCs w:val="22"/>
        </w:rPr>
        <w:sectPr w:rsidR="001060DD" w:rsidSect="00DF40FA">
          <w:pgSz w:w="11906" w:h="16838"/>
          <w:pgMar w:top="1418" w:right="1418" w:bottom="1418" w:left="1418" w:header="709" w:footer="709" w:gutter="0"/>
          <w:cols w:space="708"/>
          <w:docGrid w:linePitch="299"/>
        </w:sectPr>
      </w:pPr>
      <w:r>
        <w:rPr>
          <w:rFonts w:asciiTheme="minorHAnsi" w:hAnsiTheme="minorHAnsi" w:cstheme="minorHAnsi"/>
          <w:sz w:val="22"/>
          <w:szCs w:val="22"/>
        </w:rPr>
        <w:t>Verze Akčního polánu obdržená z MŠMT dne 17.2.2015</w:t>
      </w:r>
    </w:p>
    <w:p w:rsidR="00235340" w:rsidRDefault="00235340">
      <w:pPr>
        <w:overflowPunct/>
        <w:autoSpaceDE/>
        <w:autoSpaceDN/>
        <w:adjustRightInd/>
        <w:textAlignment w:val="auto"/>
        <w:rPr>
          <w:rFonts w:cstheme="minorHAnsi"/>
          <w:b/>
          <w:smallCaps/>
          <w:szCs w:val="22"/>
        </w:rPr>
      </w:pPr>
    </w:p>
    <w:p w:rsidR="006E6B3F" w:rsidRDefault="006E6B3F">
      <w:pPr>
        <w:overflowPunct/>
        <w:autoSpaceDE/>
        <w:autoSpaceDN/>
        <w:adjustRightInd/>
        <w:textAlignment w:val="auto"/>
        <w:rPr>
          <w:rFonts w:cstheme="minorHAnsi"/>
          <w:b/>
          <w:smallCaps/>
          <w:szCs w:val="22"/>
        </w:rPr>
      </w:pPr>
    </w:p>
    <w:p w:rsidR="006E6B3F" w:rsidRDefault="006E6B3F">
      <w:pPr>
        <w:overflowPunct/>
        <w:autoSpaceDE/>
        <w:autoSpaceDN/>
        <w:adjustRightInd/>
        <w:textAlignment w:val="auto"/>
        <w:rPr>
          <w:rFonts w:cstheme="minorHAnsi"/>
          <w:b/>
          <w:smallCaps/>
          <w:szCs w:val="22"/>
        </w:rPr>
        <w:sectPr w:rsidR="006E6B3F" w:rsidSect="006D00D4">
          <w:pgSz w:w="11906" w:h="16838"/>
          <w:pgMar w:top="1418" w:right="1418" w:bottom="1418" w:left="1418" w:header="709" w:footer="709" w:gutter="0"/>
          <w:cols w:space="708"/>
          <w:docGrid w:linePitch="299"/>
        </w:sectPr>
      </w:pPr>
    </w:p>
    <w:p w:rsidR="006D00D4" w:rsidRDefault="006D00D4" w:rsidP="006D00D4">
      <w:pPr>
        <w:spacing w:after="100" w:afterAutospacing="1"/>
        <w:jc w:val="center"/>
        <w:rPr>
          <w:rFonts w:cstheme="minorHAnsi"/>
          <w:b/>
          <w:smallCaps/>
          <w:szCs w:val="22"/>
        </w:rPr>
      </w:pPr>
    </w:p>
    <w:p w:rsidR="006D00D4" w:rsidRPr="006D00D4" w:rsidRDefault="006D00D4" w:rsidP="00956687">
      <w:pPr>
        <w:pStyle w:val="Odstavecseseznamem"/>
        <w:numPr>
          <w:ilvl w:val="0"/>
          <w:numId w:val="22"/>
        </w:numPr>
        <w:spacing w:after="100" w:afterAutospacing="1"/>
        <w:jc w:val="center"/>
        <w:rPr>
          <w:rFonts w:cstheme="minorHAnsi"/>
          <w:b/>
          <w:smallCaps/>
          <w:szCs w:val="22"/>
        </w:rPr>
      </w:pPr>
      <w:r w:rsidRPr="006D00D4">
        <w:rPr>
          <w:rFonts w:cstheme="minorHAnsi"/>
          <w:b/>
          <w:smallCaps/>
          <w:szCs w:val="22"/>
        </w:rPr>
        <w:t>Akční plán pro předběžnou podmínku 2.1</w:t>
      </w:r>
    </w:p>
    <w:p w:rsidR="006D00D4" w:rsidRDefault="006D00D4" w:rsidP="006D00D4">
      <w:pPr>
        <w:spacing w:after="100" w:afterAutospacing="1"/>
        <w:jc w:val="center"/>
        <w:rPr>
          <w:rFonts w:cstheme="minorHAnsi"/>
          <w:b/>
          <w:smallCaps/>
          <w:szCs w:val="22"/>
        </w:rPr>
      </w:pPr>
    </w:p>
    <w:p w:rsidR="006D00D4" w:rsidRPr="006D00D4" w:rsidRDefault="006D00D4" w:rsidP="006D00D4">
      <w:pPr>
        <w:jc w:val="both"/>
        <w:rPr>
          <w:rFonts w:asciiTheme="minorHAnsi" w:hAnsiTheme="minorHAnsi" w:cstheme="minorHAnsi"/>
          <w:b/>
          <w:sz w:val="22"/>
          <w:szCs w:val="22"/>
          <w:u w:val="single"/>
        </w:rPr>
      </w:pPr>
      <w:r w:rsidRPr="006D00D4">
        <w:rPr>
          <w:rFonts w:asciiTheme="minorHAnsi" w:hAnsiTheme="minorHAnsi" w:cstheme="minorHAnsi"/>
          <w:b/>
          <w:sz w:val="22"/>
          <w:szCs w:val="22"/>
          <w:u w:val="single"/>
        </w:rPr>
        <w:t>Úvod</w:t>
      </w:r>
    </w:p>
    <w:p w:rsidR="006D00D4" w:rsidRPr="006D00D4" w:rsidRDefault="006D00D4" w:rsidP="006D00D4">
      <w:pPr>
        <w:jc w:val="both"/>
        <w:rPr>
          <w:rFonts w:asciiTheme="minorHAnsi" w:hAnsiTheme="minorHAnsi" w:cstheme="minorHAnsi"/>
          <w:sz w:val="22"/>
          <w:szCs w:val="22"/>
        </w:rPr>
      </w:pPr>
      <w:r w:rsidRPr="006D00D4">
        <w:rPr>
          <w:rFonts w:asciiTheme="minorHAnsi" w:hAnsiTheme="minorHAnsi" w:cstheme="minorHAnsi"/>
          <w:sz w:val="22"/>
          <w:szCs w:val="22"/>
        </w:rPr>
        <w:t>Předběžné podmínky jsou definovány v  tzv. obecném nařízení</w:t>
      </w:r>
      <w:r w:rsidRPr="006D00D4">
        <w:rPr>
          <w:rStyle w:val="Znakapoznpodarou"/>
          <w:rFonts w:asciiTheme="minorHAnsi" w:hAnsiTheme="minorHAnsi" w:cstheme="minorHAnsi"/>
          <w:sz w:val="22"/>
          <w:szCs w:val="22"/>
        </w:rPr>
        <w:footnoteReference w:id="5"/>
      </w:r>
      <w:r w:rsidRPr="006D00D4">
        <w:rPr>
          <w:rFonts w:asciiTheme="minorHAnsi" w:hAnsiTheme="minorHAnsi" w:cstheme="minorHAnsi"/>
          <w:sz w:val="22"/>
          <w:szCs w:val="22"/>
        </w:rPr>
        <w:t xml:space="preserve"> pro evropské strukturální a investiční fondy (čl. 19).  Jejich zavedení vyplývá z požadavku EK z</w:t>
      </w:r>
      <w:r w:rsidRPr="006D00D4">
        <w:rPr>
          <w:rFonts w:asciiTheme="minorHAnsi" w:eastAsia="Arial Unicode MS" w:hAnsiTheme="minorHAnsi" w:cstheme="minorHAnsi"/>
          <w:sz w:val="22"/>
          <w:szCs w:val="22"/>
        </w:rPr>
        <w:t>ajistit dosahování prokazatelných výsledků intervencí z Evropských strukturálních a investičních fondů (ESIF) v programovacím období 2014-2020. Cílem předběžných podmínek je zajistit, aby byly v</w:t>
      </w:r>
      <w:r w:rsidRPr="006D00D4">
        <w:rPr>
          <w:rFonts w:asciiTheme="minorHAnsi" w:hAnsiTheme="minorHAnsi" w:cstheme="minorHAnsi"/>
          <w:sz w:val="22"/>
          <w:szCs w:val="22"/>
        </w:rPr>
        <w:t>ytvořeny v členských státech EU nezbytné rámcové podmínky pro účinné využívání podpory z ESIF.</w:t>
      </w:r>
    </w:p>
    <w:p w:rsidR="006D00D4" w:rsidRPr="006D00D4" w:rsidRDefault="006D00D4" w:rsidP="006D00D4">
      <w:pPr>
        <w:jc w:val="both"/>
        <w:rPr>
          <w:rFonts w:asciiTheme="minorHAnsi" w:hAnsiTheme="minorHAnsi" w:cstheme="minorHAnsi"/>
          <w:sz w:val="22"/>
          <w:szCs w:val="22"/>
        </w:rPr>
      </w:pPr>
      <w:r w:rsidRPr="006D00D4">
        <w:rPr>
          <w:rFonts w:asciiTheme="minorHAnsi" w:hAnsiTheme="minorHAnsi" w:cstheme="minorHAnsi"/>
          <w:sz w:val="22"/>
          <w:szCs w:val="22"/>
        </w:rPr>
        <w:t xml:space="preserve">Příloha XI obecného nařízení obsahuje výčet tematických předběžných podmínek pro jednotlivé tematické cíle dle čl. 9 návrhu obecného nařízení. Koncept předběžných podmínek je dále rozpracován v dokumentu EK „Draft </w:t>
      </w:r>
      <w:proofErr w:type="spellStart"/>
      <w:r w:rsidRPr="006D00D4">
        <w:rPr>
          <w:rFonts w:asciiTheme="minorHAnsi" w:hAnsiTheme="minorHAnsi" w:cstheme="minorHAnsi"/>
          <w:sz w:val="22"/>
          <w:szCs w:val="22"/>
        </w:rPr>
        <w:t>Guidance</w:t>
      </w:r>
      <w:proofErr w:type="spellEnd"/>
      <w:r w:rsidRPr="006D00D4">
        <w:rPr>
          <w:rFonts w:asciiTheme="minorHAnsi" w:hAnsiTheme="minorHAnsi" w:cstheme="minorHAnsi"/>
          <w:sz w:val="22"/>
          <w:szCs w:val="22"/>
        </w:rPr>
        <w:t xml:space="preserve"> on Ex Ante </w:t>
      </w:r>
      <w:proofErr w:type="spellStart"/>
      <w:r w:rsidRPr="006D00D4">
        <w:rPr>
          <w:rFonts w:asciiTheme="minorHAnsi" w:hAnsiTheme="minorHAnsi" w:cstheme="minorHAnsi"/>
          <w:sz w:val="22"/>
          <w:szCs w:val="22"/>
        </w:rPr>
        <w:t>Conditionalities</w:t>
      </w:r>
      <w:proofErr w:type="spellEnd"/>
      <w:r w:rsidRPr="006D00D4">
        <w:rPr>
          <w:rFonts w:asciiTheme="minorHAnsi" w:hAnsiTheme="minorHAnsi" w:cstheme="minorHAnsi"/>
          <w:sz w:val="22"/>
          <w:szCs w:val="22"/>
        </w:rPr>
        <w:t xml:space="preserve"> </w:t>
      </w:r>
      <w:proofErr w:type="spellStart"/>
      <w:r w:rsidRPr="006D00D4">
        <w:rPr>
          <w:rFonts w:asciiTheme="minorHAnsi" w:hAnsiTheme="minorHAnsi" w:cstheme="minorHAnsi"/>
          <w:sz w:val="22"/>
          <w:szCs w:val="22"/>
        </w:rPr>
        <w:t>for</w:t>
      </w:r>
      <w:proofErr w:type="spellEnd"/>
      <w:r w:rsidRPr="006D00D4">
        <w:rPr>
          <w:rFonts w:asciiTheme="minorHAnsi" w:hAnsiTheme="minorHAnsi" w:cstheme="minorHAnsi"/>
          <w:sz w:val="22"/>
          <w:szCs w:val="22"/>
        </w:rPr>
        <w:t xml:space="preserve"> </w:t>
      </w:r>
      <w:proofErr w:type="spellStart"/>
      <w:r w:rsidRPr="006D00D4">
        <w:rPr>
          <w:rFonts w:asciiTheme="minorHAnsi" w:hAnsiTheme="minorHAnsi" w:cstheme="minorHAnsi"/>
          <w:sz w:val="22"/>
          <w:szCs w:val="22"/>
        </w:rPr>
        <w:t>the</w:t>
      </w:r>
      <w:proofErr w:type="spellEnd"/>
      <w:r w:rsidRPr="006D00D4">
        <w:rPr>
          <w:rFonts w:asciiTheme="minorHAnsi" w:hAnsiTheme="minorHAnsi" w:cstheme="minorHAnsi"/>
          <w:sz w:val="22"/>
          <w:szCs w:val="22"/>
        </w:rPr>
        <w:t xml:space="preserve"> </w:t>
      </w:r>
      <w:proofErr w:type="spellStart"/>
      <w:r w:rsidRPr="006D00D4">
        <w:rPr>
          <w:rFonts w:asciiTheme="minorHAnsi" w:hAnsiTheme="minorHAnsi" w:cstheme="minorHAnsi"/>
          <w:sz w:val="22"/>
          <w:szCs w:val="22"/>
        </w:rPr>
        <w:t>European</w:t>
      </w:r>
      <w:proofErr w:type="spellEnd"/>
      <w:r w:rsidRPr="006D00D4">
        <w:rPr>
          <w:rFonts w:asciiTheme="minorHAnsi" w:hAnsiTheme="minorHAnsi" w:cstheme="minorHAnsi"/>
          <w:sz w:val="22"/>
          <w:szCs w:val="22"/>
        </w:rPr>
        <w:t xml:space="preserve"> </w:t>
      </w:r>
      <w:proofErr w:type="spellStart"/>
      <w:r w:rsidRPr="006D00D4">
        <w:rPr>
          <w:rFonts w:asciiTheme="minorHAnsi" w:hAnsiTheme="minorHAnsi" w:cstheme="minorHAnsi"/>
          <w:sz w:val="22"/>
          <w:szCs w:val="22"/>
        </w:rPr>
        <w:t>Structural</w:t>
      </w:r>
      <w:proofErr w:type="spellEnd"/>
      <w:r w:rsidRPr="006D00D4">
        <w:rPr>
          <w:rFonts w:asciiTheme="minorHAnsi" w:hAnsiTheme="minorHAnsi" w:cstheme="minorHAnsi"/>
          <w:sz w:val="22"/>
          <w:szCs w:val="22"/>
        </w:rPr>
        <w:t xml:space="preserve"> and </w:t>
      </w:r>
      <w:proofErr w:type="spellStart"/>
      <w:r w:rsidRPr="006D00D4">
        <w:rPr>
          <w:rFonts w:asciiTheme="minorHAnsi" w:hAnsiTheme="minorHAnsi" w:cstheme="minorHAnsi"/>
          <w:sz w:val="22"/>
          <w:szCs w:val="22"/>
        </w:rPr>
        <w:t>Investment</w:t>
      </w:r>
      <w:proofErr w:type="spellEnd"/>
      <w:r w:rsidRPr="006D00D4">
        <w:rPr>
          <w:rFonts w:asciiTheme="minorHAnsi" w:hAnsiTheme="minorHAnsi" w:cstheme="minorHAnsi"/>
          <w:sz w:val="22"/>
          <w:szCs w:val="22"/>
        </w:rPr>
        <w:t xml:space="preserve"> </w:t>
      </w:r>
      <w:proofErr w:type="spellStart"/>
      <w:r w:rsidRPr="006D00D4">
        <w:rPr>
          <w:rFonts w:asciiTheme="minorHAnsi" w:hAnsiTheme="minorHAnsi" w:cstheme="minorHAnsi"/>
          <w:sz w:val="22"/>
          <w:szCs w:val="22"/>
        </w:rPr>
        <w:t>Funds</w:t>
      </w:r>
      <w:proofErr w:type="spellEnd"/>
      <w:r w:rsidRPr="006D00D4">
        <w:rPr>
          <w:rFonts w:asciiTheme="minorHAnsi" w:hAnsiTheme="minorHAnsi" w:cstheme="minorHAnsi"/>
          <w:sz w:val="22"/>
          <w:szCs w:val="22"/>
        </w:rPr>
        <w:t xml:space="preserve"> (ESI)“ (EK, únor 2014). Tento dokument ve větším detailu rozpracovává mj. otázku aplikovatelnosti či naplnění kritérií předběžných podmínek. Předběžné podmínky by měly obecně splněny do konce r. 2013, nebo při schválení operačního programu. Pokud předběžná podmínka není splněna, musí být přijata opatření k jejímu splnění. Nejzazším termínem pro splnění podmínek je 31. 12. 2016.</w:t>
      </w:r>
    </w:p>
    <w:p w:rsidR="00F8551C" w:rsidRDefault="00F8551C" w:rsidP="006D00D4">
      <w:pPr>
        <w:overflowPunct/>
        <w:autoSpaceDE/>
        <w:autoSpaceDN/>
        <w:adjustRightInd/>
        <w:textAlignment w:val="auto"/>
        <w:rPr>
          <w:rFonts w:asciiTheme="minorHAnsi" w:hAnsiTheme="minorHAnsi" w:cstheme="minorHAnsi"/>
          <w:b/>
          <w:smallCaps/>
          <w:sz w:val="22"/>
          <w:szCs w:val="22"/>
        </w:rPr>
      </w:pPr>
    </w:p>
    <w:p w:rsidR="006D00D4" w:rsidRPr="006D00D4" w:rsidRDefault="006D00D4" w:rsidP="006D00D4">
      <w:pPr>
        <w:overflowPunct/>
        <w:autoSpaceDE/>
        <w:autoSpaceDN/>
        <w:adjustRightInd/>
        <w:textAlignment w:val="auto"/>
        <w:rPr>
          <w:rFonts w:asciiTheme="minorHAnsi" w:hAnsiTheme="minorHAnsi" w:cstheme="minorHAnsi"/>
          <w:b/>
          <w:sz w:val="22"/>
          <w:szCs w:val="22"/>
          <w:u w:val="single"/>
        </w:rPr>
      </w:pPr>
      <w:r w:rsidRPr="006D00D4">
        <w:rPr>
          <w:rFonts w:asciiTheme="minorHAnsi" w:hAnsiTheme="minorHAnsi" w:cstheme="minorHAnsi"/>
          <w:b/>
          <w:sz w:val="22"/>
          <w:szCs w:val="22"/>
          <w:u w:val="single"/>
        </w:rPr>
        <w:t xml:space="preserve">Předběžná  podmínka </w:t>
      </w:r>
      <w:r w:rsidR="00F8551C">
        <w:rPr>
          <w:rFonts w:asciiTheme="minorHAnsi" w:hAnsiTheme="minorHAnsi" w:cstheme="minorHAnsi"/>
          <w:b/>
          <w:sz w:val="22"/>
          <w:szCs w:val="22"/>
          <w:u w:val="single"/>
        </w:rPr>
        <w:t xml:space="preserve"> </w:t>
      </w:r>
      <w:r w:rsidRPr="006D00D4">
        <w:rPr>
          <w:rFonts w:asciiTheme="minorHAnsi" w:hAnsiTheme="minorHAnsi" w:cstheme="minorHAnsi"/>
          <w:b/>
          <w:sz w:val="22"/>
          <w:szCs w:val="22"/>
          <w:u w:val="single"/>
        </w:rPr>
        <w:t xml:space="preserve">2.1 </w:t>
      </w:r>
    </w:p>
    <w:p w:rsidR="006D00D4" w:rsidRPr="006D00D4" w:rsidRDefault="006D00D4" w:rsidP="006D00D4">
      <w:pPr>
        <w:overflowPunct/>
        <w:autoSpaceDE/>
        <w:autoSpaceDN/>
        <w:adjustRightInd/>
        <w:textAlignment w:val="auto"/>
        <w:rPr>
          <w:rFonts w:asciiTheme="minorHAnsi" w:hAnsiTheme="minorHAnsi" w:cstheme="minorHAnsi"/>
          <w:b/>
          <w:sz w:val="22"/>
          <w:szCs w:val="22"/>
          <w:u w:val="single"/>
        </w:rPr>
      </w:pPr>
    </w:p>
    <w:p w:rsidR="006D00D4" w:rsidRPr="006D00D4" w:rsidRDefault="006D00D4" w:rsidP="006D00D4">
      <w:pPr>
        <w:spacing w:after="100" w:afterAutospacing="1"/>
        <w:jc w:val="both"/>
        <w:rPr>
          <w:rFonts w:asciiTheme="minorHAnsi" w:hAnsiTheme="minorHAnsi" w:cstheme="minorHAnsi"/>
          <w:b/>
          <w:i/>
          <w:sz w:val="22"/>
          <w:szCs w:val="22"/>
        </w:rPr>
      </w:pPr>
      <w:r w:rsidRPr="006D00D4">
        <w:rPr>
          <w:rFonts w:asciiTheme="minorHAnsi" w:hAnsiTheme="minorHAnsi" w:cstheme="minorHAnsi"/>
          <w:b/>
          <w:i/>
          <w:sz w:val="22"/>
          <w:szCs w:val="22"/>
        </w:rPr>
        <w:t>Digitální růst: Strategický rámec politiky pro digitální růst, který má podněcovat cenově dostupné, kvalitní a interoperabilní soukromé a veřejné služby v oblasti IKT a zvýšit míru jejich využívání občany (včetně zranitelných skupin), podniky a orgány veřejné správy včetně přeshraničních iniciativ</w:t>
      </w:r>
    </w:p>
    <w:p w:rsidR="006D00D4" w:rsidRPr="006D00D4" w:rsidRDefault="006D00D4" w:rsidP="006D00D4">
      <w:pPr>
        <w:jc w:val="both"/>
        <w:rPr>
          <w:rFonts w:asciiTheme="minorHAnsi" w:hAnsiTheme="minorHAnsi" w:cstheme="minorHAnsi"/>
          <w:sz w:val="22"/>
          <w:szCs w:val="22"/>
        </w:rPr>
      </w:pPr>
      <w:r w:rsidRPr="006D00D4">
        <w:rPr>
          <w:rFonts w:asciiTheme="minorHAnsi" w:hAnsiTheme="minorHAnsi" w:cstheme="minorHAnsi"/>
          <w:sz w:val="22"/>
          <w:szCs w:val="22"/>
        </w:rPr>
        <w:t>Kritéria předběžné podmínky jsou detailně uvedena dále v tabulkách naplňování předběžné podmínky.</w:t>
      </w:r>
    </w:p>
    <w:p w:rsidR="006D00D4" w:rsidRDefault="006D00D4" w:rsidP="006D00D4">
      <w:pPr>
        <w:jc w:val="both"/>
        <w:rPr>
          <w:rFonts w:asciiTheme="minorHAnsi" w:hAnsiTheme="minorHAnsi" w:cstheme="minorHAnsi"/>
          <w:sz w:val="22"/>
          <w:szCs w:val="22"/>
        </w:rPr>
      </w:pPr>
      <w:r w:rsidRPr="006D00D4">
        <w:rPr>
          <w:rFonts w:asciiTheme="minorHAnsi" w:hAnsiTheme="minorHAnsi" w:cstheme="minorHAnsi"/>
          <w:sz w:val="22"/>
          <w:szCs w:val="22"/>
        </w:rPr>
        <w:t>V souladu s Akčním plánem řízení a koordinace předběžných podmínek v programovém období 2014-2020 (MMR, verze III, 11. 10. 2013) bylo MPO určeno jako gestor celkového splnění předběžné podmínky 2.1.</w:t>
      </w:r>
    </w:p>
    <w:p w:rsidR="00F8551C" w:rsidRPr="006D00D4" w:rsidRDefault="00F8551C"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b/>
          <w:sz w:val="22"/>
          <w:szCs w:val="22"/>
          <w:u w:val="single"/>
        </w:rPr>
      </w:pPr>
      <w:r w:rsidRPr="006D00D4">
        <w:rPr>
          <w:rFonts w:asciiTheme="minorHAnsi" w:hAnsiTheme="minorHAnsi" w:cstheme="minorHAnsi"/>
          <w:b/>
          <w:sz w:val="22"/>
          <w:szCs w:val="22"/>
          <w:u w:val="single"/>
        </w:rPr>
        <w:t>Aktuální stav</w:t>
      </w:r>
    </w:p>
    <w:p w:rsidR="006D00D4" w:rsidRPr="006D00D4" w:rsidRDefault="006D00D4" w:rsidP="006D00D4">
      <w:pPr>
        <w:spacing w:after="60"/>
        <w:jc w:val="both"/>
        <w:rPr>
          <w:rFonts w:asciiTheme="minorHAnsi" w:hAnsiTheme="minorHAnsi" w:cstheme="minorHAnsi"/>
          <w:sz w:val="22"/>
          <w:szCs w:val="22"/>
        </w:rPr>
      </w:pPr>
      <w:r w:rsidRPr="006D00D4">
        <w:rPr>
          <w:rFonts w:asciiTheme="minorHAnsi" w:hAnsiTheme="minorHAnsi" w:cstheme="minorHAnsi"/>
          <w:sz w:val="22"/>
          <w:szCs w:val="22"/>
        </w:rPr>
        <w:t xml:space="preserve">Strategický rámec je doposud tvořen strategickými dokumenty </w:t>
      </w:r>
      <w:r w:rsidRPr="006D00D4">
        <w:rPr>
          <w:rFonts w:asciiTheme="minorHAnsi" w:hAnsiTheme="minorHAnsi" w:cstheme="minorHAnsi"/>
          <w:b/>
          <w:sz w:val="22"/>
          <w:szCs w:val="22"/>
        </w:rPr>
        <w:t>„Státní politika v elektronických komunikacích - Digitální Česko“</w:t>
      </w:r>
      <w:r w:rsidRPr="006D00D4">
        <w:rPr>
          <w:rFonts w:asciiTheme="minorHAnsi" w:hAnsiTheme="minorHAnsi" w:cstheme="minorHAnsi"/>
          <w:sz w:val="22"/>
          <w:szCs w:val="22"/>
        </w:rPr>
        <w:t xml:space="preserve">(dále jen Digitální Česko) a </w:t>
      </w:r>
      <w:r w:rsidRPr="006D00D4">
        <w:rPr>
          <w:rFonts w:asciiTheme="minorHAnsi" w:hAnsiTheme="minorHAnsi" w:cstheme="minorHAnsi"/>
          <w:b/>
          <w:sz w:val="22"/>
          <w:szCs w:val="22"/>
        </w:rPr>
        <w:t xml:space="preserve">„Digitální Česko v.  2.0 – Cesta k digitální ekonomice“ </w:t>
      </w:r>
      <w:r w:rsidRPr="006D00D4">
        <w:rPr>
          <w:rFonts w:asciiTheme="minorHAnsi" w:hAnsiTheme="minorHAnsi" w:cstheme="minorHAnsi"/>
          <w:sz w:val="22"/>
          <w:szCs w:val="22"/>
        </w:rPr>
        <w:t xml:space="preserve">(dále jen Digitální Česko 2), resp. požadavky předběžné podmínky jsou také naplňovány </w:t>
      </w:r>
      <w:r w:rsidRPr="006D00D4">
        <w:rPr>
          <w:rFonts w:asciiTheme="minorHAnsi" w:hAnsiTheme="minorHAnsi" w:cstheme="minorHAnsi"/>
          <w:b/>
          <w:sz w:val="22"/>
          <w:szCs w:val="22"/>
        </w:rPr>
        <w:t xml:space="preserve">Koncepcí podpory MSP 2014-2020. </w:t>
      </w:r>
      <w:r w:rsidRPr="006D00D4">
        <w:rPr>
          <w:rFonts w:asciiTheme="minorHAnsi" w:hAnsiTheme="minorHAnsi" w:cstheme="minorHAnsi"/>
          <w:sz w:val="22"/>
          <w:szCs w:val="22"/>
        </w:rPr>
        <w:t>Tyto strategické dokumenty tvoří rámec zejména pro intervence v rámci Operačního programu Podnikání a inovace pro konkurenceschopnosti (OP PIK).</w:t>
      </w:r>
    </w:p>
    <w:p w:rsidR="006D00D4" w:rsidRPr="006D00D4" w:rsidRDefault="006D00D4" w:rsidP="006D00D4">
      <w:pPr>
        <w:spacing w:after="60"/>
        <w:jc w:val="both"/>
        <w:rPr>
          <w:rFonts w:asciiTheme="minorHAnsi" w:hAnsiTheme="minorHAnsi" w:cstheme="minorHAnsi"/>
          <w:sz w:val="22"/>
          <w:szCs w:val="22"/>
        </w:rPr>
      </w:pPr>
    </w:p>
    <w:p w:rsidR="006D00D4" w:rsidRPr="006D00D4" w:rsidRDefault="006D00D4" w:rsidP="006D00D4">
      <w:pPr>
        <w:spacing w:after="60"/>
        <w:jc w:val="both"/>
        <w:rPr>
          <w:rFonts w:asciiTheme="minorHAnsi" w:hAnsiTheme="minorHAnsi" w:cstheme="minorHAnsi"/>
          <w:b/>
          <w:sz w:val="22"/>
          <w:szCs w:val="22"/>
        </w:rPr>
      </w:pPr>
      <w:r w:rsidRPr="006D00D4">
        <w:rPr>
          <w:rFonts w:asciiTheme="minorHAnsi" w:hAnsiTheme="minorHAnsi" w:cstheme="minorHAnsi"/>
          <w:b/>
          <w:sz w:val="22"/>
          <w:szCs w:val="22"/>
        </w:rPr>
        <w:t>K dotvoření strategického rámce by měly přispět také další strategické dokumenty:</w:t>
      </w:r>
    </w:p>
    <w:p w:rsidR="006D00D4" w:rsidRPr="006D00D4" w:rsidRDefault="002D0748" w:rsidP="00A31D34">
      <w:pPr>
        <w:pStyle w:val="Odstavecseseznamem"/>
        <w:numPr>
          <w:ilvl w:val="0"/>
          <w:numId w:val="37"/>
        </w:numPr>
        <w:spacing w:after="60" w:line="240" w:lineRule="auto"/>
        <w:jc w:val="both"/>
        <w:rPr>
          <w:rFonts w:cstheme="minorHAnsi"/>
          <w:szCs w:val="22"/>
        </w:rPr>
      </w:pPr>
      <w:r w:rsidRPr="00F6593C">
        <w:rPr>
          <w:rFonts w:cstheme="minorHAnsi"/>
          <w:color w:val="303030"/>
          <w:szCs w:val="22"/>
        </w:rPr>
        <w:t xml:space="preserve">Národní výzkumná a inovační strategie pro inteligentní specializaci České republiky (Národní RIS3 strategie), která byla schválena vládou 8. </w:t>
      </w:r>
      <w:r w:rsidRPr="00ED3B73">
        <w:rPr>
          <w:rFonts w:cstheme="minorHAnsi"/>
          <w:color w:val="303030"/>
          <w:szCs w:val="22"/>
        </w:rPr>
        <w:t xml:space="preserve">12. 2014 (Usnesení vlády </w:t>
      </w:r>
      <w:r w:rsidRPr="00CC0E7C">
        <w:rPr>
          <w:rFonts w:cstheme="minorHAnsi"/>
          <w:color w:val="303030"/>
          <w:szCs w:val="22"/>
        </w:rPr>
        <w:t>č. 1028/2014)</w:t>
      </w:r>
      <w:r w:rsidRPr="00F6593C">
        <w:rPr>
          <w:rFonts w:cstheme="minorHAnsi"/>
          <w:color w:val="303030"/>
          <w:szCs w:val="22"/>
        </w:rPr>
        <w:t xml:space="preserve"> a </w:t>
      </w:r>
      <w:r w:rsidRPr="00F6593C">
        <w:rPr>
          <w:rFonts w:cstheme="minorHAnsi"/>
          <w:color w:val="303030"/>
          <w:szCs w:val="22"/>
        </w:rPr>
        <w:lastRenderedPageBreak/>
        <w:t xml:space="preserve">řízením implementace byl pověřen </w:t>
      </w:r>
      <w:r w:rsidRPr="00F6593C">
        <w:rPr>
          <w:rFonts w:cstheme="minorHAnsi"/>
          <w:szCs w:val="22"/>
        </w:rPr>
        <w:t>místopředseda vlády pro vědu, výzkum a inovace.</w:t>
      </w:r>
      <w:r w:rsidRPr="006D00D4" w:rsidDel="002D0748">
        <w:rPr>
          <w:rFonts w:cstheme="minorHAnsi"/>
          <w:szCs w:val="22"/>
        </w:rPr>
        <w:t xml:space="preserve"> </w:t>
      </w:r>
      <w:r w:rsidR="006D00D4" w:rsidRPr="006D00D4">
        <w:rPr>
          <w:rFonts w:cstheme="minorHAnsi"/>
          <w:szCs w:val="22"/>
        </w:rPr>
        <w:t xml:space="preserve">dne 27. 8. 2014 vláda České republiky (dále jen „vláda ČR“) schválila usnesením č. 680  </w:t>
      </w:r>
      <w:r>
        <w:rPr>
          <w:rFonts w:cstheme="minorHAnsi"/>
          <w:szCs w:val="22"/>
        </w:rPr>
        <w:t>„</w:t>
      </w:r>
      <w:r w:rsidR="006D00D4" w:rsidRPr="006D00D4">
        <w:rPr>
          <w:rFonts w:cstheme="minorHAnsi"/>
          <w:b/>
          <w:szCs w:val="22"/>
        </w:rPr>
        <w:t>Strategický rámec rozvoje veřejné správy České republiky</w:t>
      </w:r>
      <w:r>
        <w:rPr>
          <w:rFonts w:cstheme="minorHAnsi"/>
          <w:b/>
          <w:szCs w:val="22"/>
        </w:rPr>
        <w:t xml:space="preserve"> </w:t>
      </w:r>
      <w:r w:rsidR="006D00D4" w:rsidRPr="006D00D4">
        <w:rPr>
          <w:rFonts w:cstheme="minorHAnsi"/>
          <w:b/>
          <w:szCs w:val="22"/>
        </w:rPr>
        <w:t>pro období 2014 - 2020</w:t>
      </w:r>
      <w:r w:rsidR="006D00D4" w:rsidRPr="006D00D4">
        <w:rPr>
          <w:rFonts w:cstheme="minorHAnsi"/>
          <w:szCs w:val="22"/>
        </w:rPr>
        <w:t>“</w:t>
      </w:r>
      <w:r w:rsidR="006D00D4" w:rsidRPr="006D00D4">
        <w:rPr>
          <w:rFonts w:cstheme="minorHAnsi"/>
          <w:b/>
          <w:szCs w:val="22"/>
        </w:rPr>
        <w:t xml:space="preserve">, </w:t>
      </w:r>
      <w:r w:rsidR="006D00D4" w:rsidRPr="006D00D4">
        <w:rPr>
          <w:rFonts w:cstheme="minorHAnsi"/>
          <w:szCs w:val="22"/>
        </w:rPr>
        <w:t xml:space="preserve">který je stěžejní pro intervence v rámci Integrovaného regionálního operačního programu (IROP) v oblasti veřejné správy </w:t>
      </w:r>
    </w:p>
    <w:p w:rsidR="006D00D4" w:rsidRPr="006D00D4" w:rsidRDefault="006D00D4" w:rsidP="00A31D34">
      <w:pPr>
        <w:pStyle w:val="Odstavecseseznamem"/>
        <w:numPr>
          <w:ilvl w:val="0"/>
          <w:numId w:val="34"/>
        </w:numPr>
        <w:spacing w:after="100" w:afterAutospacing="1" w:line="240" w:lineRule="auto"/>
        <w:jc w:val="both"/>
        <w:rPr>
          <w:rFonts w:cstheme="minorHAnsi"/>
          <w:szCs w:val="22"/>
        </w:rPr>
      </w:pPr>
      <w:r w:rsidRPr="006D00D4">
        <w:rPr>
          <w:rFonts w:cstheme="minorHAnsi"/>
          <w:szCs w:val="22"/>
        </w:rPr>
        <w:t xml:space="preserve">dále </w:t>
      </w:r>
      <w:r w:rsidR="002D0748" w:rsidRPr="008028A0">
        <w:rPr>
          <w:rFonts w:cstheme="minorHAnsi"/>
          <w:szCs w:val="22"/>
        </w:rPr>
        <w:t xml:space="preserve">je v přípravě </w:t>
      </w:r>
      <w:r w:rsidR="002D0748" w:rsidRPr="00A31D34">
        <w:rPr>
          <w:rFonts w:cs="Calibri"/>
          <w:b/>
        </w:rPr>
        <w:t>„Strategie digitální gramotnosti ČR na období 2015 – 2020“</w:t>
      </w:r>
      <w:r w:rsidR="002D0748" w:rsidRPr="006D00D4">
        <w:rPr>
          <w:rFonts w:cstheme="minorHAnsi"/>
          <w:szCs w:val="22"/>
        </w:rPr>
        <w:t xml:space="preserve"> </w:t>
      </w:r>
      <w:r w:rsidRPr="006D00D4">
        <w:rPr>
          <w:rFonts w:cstheme="minorHAnsi"/>
          <w:szCs w:val="22"/>
        </w:rPr>
        <w:t>(MPSV</w:t>
      </w:r>
      <w:r w:rsidR="002D0748">
        <w:rPr>
          <w:rFonts w:cstheme="minorHAnsi"/>
          <w:szCs w:val="22"/>
        </w:rPr>
        <w:t>, MŠMT</w:t>
      </w:r>
      <w:r w:rsidRPr="006D00D4">
        <w:rPr>
          <w:rFonts w:cstheme="minorHAnsi"/>
          <w:szCs w:val="22"/>
        </w:rPr>
        <w:t>), která fakticky naplňuje opatření v kapitole 5.6. Digitální gramotnost, elektronické dovednosti (e-</w:t>
      </w:r>
      <w:proofErr w:type="spellStart"/>
      <w:r w:rsidRPr="006D00D4">
        <w:rPr>
          <w:rFonts w:cstheme="minorHAnsi"/>
          <w:szCs w:val="22"/>
        </w:rPr>
        <w:t>skills</w:t>
      </w:r>
      <w:proofErr w:type="spellEnd"/>
      <w:r w:rsidRPr="006D00D4">
        <w:rPr>
          <w:rFonts w:cstheme="minorHAnsi"/>
          <w:szCs w:val="22"/>
        </w:rPr>
        <w:t xml:space="preserve">) v zastřešující strategii Digitální Česko 2.0. Termín daný usnesením vlády je červen 2015. </w:t>
      </w:r>
      <w:r w:rsidR="002D0748" w:rsidRPr="00973415">
        <w:rPr>
          <w:rFonts w:cs="Calibri"/>
          <w:b/>
        </w:rPr>
        <w:t>„Strategie digitální gramotnosti ČR na období 2015 – 2020“</w:t>
      </w:r>
      <w:r w:rsidR="002D0748" w:rsidRPr="006D00D4">
        <w:rPr>
          <w:rFonts w:cstheme="minorHAnsi"/>
          <w:szCs w:val="22"/>
        </w:rPr>
        <w:t xml:space="preserve"> </w:t>
      </w:r>
      <w:r w:rsidR="002D0748">
        <w:rPr>
          <w:rFonts w:cstheme="minorHAnsi"/>
          <w:szCs w:val="22"/>
        </w:rPr>
        <w:t xml:space="preserve">navazuje </w:t>
      </w:r>
      <w:r w:rsidRPr="006D00D4">
        <w:rPr>
          <w:rFonts w:cstheme="minorHAnsi"/>
          <w:szCs w:val="22"/>
        </w:rPr>
        <w:t xml:space="preserve">na </w:t>
      </w:r>
      <w:r w:rsidRPr="006D00D4">
        <w:rPr>
          <w:rFonts w:cstheme="minorHAnsi"/>
          <w:b/>
          <w:szCs w:val="22"/>
        </w:rPr>
        <w:t xml:space="preserve">Strategii digitálního vzdělávání </w:t>
      </w:r>
      <w:r w:rsidRPr="006D00D4">
        <w:rPr>
          <w:rFonts w:cstheme="minorHAnsi"/>
          <w:szCs w:val="22"/>
        </w:rPr>
        <w:t xml:space="preserve">(gesce MŠMT), která byla </w:t>
      </w:r>
      <w:r w:rsidR="002D0748" w:rsidRPr="008028A0">
        <w:rPr>
          <w:rFonts w:cstheme="minorHAnsi"/>
          <w:szCs w:val="22"/>
        </w:rPr>
        <w:t>schválena 12. 11. 2014</w:t>
      </w:r>
      <w:r w:rsidR="002D0748">
        <w:rPr>
          <w:rFonts w:cstheme="minorHAnsi"/>
          <w:szCs w:val="22"/>
        </w:rPr>
        <w:t xml:space="preserve">  </w:t>
      </w:r>
      <w:r w:rsidRPr="006D00D4">
        <w:rPr>
          <w:rFonts w:cstheme="minorHAnsi"/>
          <w:szCs w:val="22"/>
        </w:rPr>
        <w:t xml:space="preserve"> vládou ČR</w:t>
      </w:r>
      <w:r w:rsidR="002D0748">
        <w:rPr>
          <w:rFonts w:cstheme="minorHAnsi"/>
          <w:szCs w:val="22"/>
        </w:rPr>
        <w:t xml:space="preserve"> </w:t>
      </w:r>
      <w:r w:rsidR="002D0748" w:rsidRPr="008028A0">
        <w:rPr>
          <w:rFonts w:cstheme="minorHAnsi"/>
          <w:szCs w:val="22"/>
        </w:rPr>
        <w:t>(usnesení vlády č. 927/2014)</w:t>
      </w:r>
      <w:r w:rsidRPr="006D00D4">
        <w:rPr>
          <w:rFonts w:cstheme="minorHAnsi"/>
          <w:szCs w:val="22"/>
        </w:rPr>
        <w:t xml:space="preserve">. </w:t>
      </w:r>
    </w:p>
    <w:p w:rsidR="006D00D4" w:rsidRPr="006D00D4" w:rsidRDefault="006D00D4" w:rsidP="006D00D4">
      <w:pPr>
        <w:pStyle w:val="Odstavecseseznamem"/>
        <w:spacing w:after="100" w:afterAutospacing="1" w:line="240" w:lineRule="auto"/>
        <w:jc w:val="both"/>
        <w:rPr>
          <w:rFonts w:cstheme="minorHAnsi"/>
          <w:szCs w:val="22"/>
        </w:rPr>
      </w:pPr>
    </w:p>
    <w:tbl>
      <w:tblPr>
        <w:tblW w:w="0" w:type="auto"/>
        <w:tblInd w:w="817" w:type="dxa"/>
        <w:tblLook w:val="04A0" w:firstRow="1" w:lastRow="0" w:firstColumn="1" w:lastColumn="0" w:noHBand="0" w:noVBand="1"/>
      </w:tblPr>
      <w:tblGrid>
        <w:gridCol w:w="2136"/>
        <w:gridCol w:w="5028"/>
        <w:gridCol w:w="1307"/>
      </w:tblGrid>
      <w:tr w:rsidR="006D00D4" w:rsidRPr="006D00D4" w:rsidTr="006D00D4">
        <w:tc>
          <w:tcPr>
            <w:tcW w:w="2268" w:type="dxa"/>
            <w:tcBorders>
              <w:top w:val="single" w:sz="4" w:space="0" w:color="auto"/>
              <w:left w:val="single" w:sz="4" w:space="0" w:color="auto"/>
              <w:bottom w:val="single" w:sz="4" w:space="0" w:color="auto"/>
              <w:right w:val="single" w:sz="4" w:space="0" w:color="auto"/>
            </w:tcBorders>
            <w:hideMark/>
          </w:tcPr>
          <w:p w:rsidR="006D00D4" w:rsidRPr="006D00D4" w:rsidRDefault="006D00D4" w:rsidP="006D00D4">
            <w:pPr>
              <w:rPr>
                <w:rFonts w:asciiTheme="minorHAnsi" w:hAnsiTheme="minorHAnsi" w:cstheme="minorHAnsi"/>
                <w:b/>
                <w:sz w:val="22"/>
                <w:szCs w:val="22"/>
              </w:rPr>
            </w:pPr>
            <w:r w:rsidRPr="006D00D4">
              <w:rPr>
                <w:rFonts w:asciiTheme="minorHAnsi" w:hAnsiTheme="minorHAnsi" w:cstheme="minorHAnsi"/>
                <w:b/>
                <w:sz w:val="22"/>
                <w:szCs w:val="22"/>
              </w:rPr>
              <w:t xml:space="preserve">Předběžná  podmínka </w:t>
            </w:r>
          </w:p>
        </w:tc>
        <w:tc>
          <w:tcPr>
            <w:tcW w:w="5516" w:type="dxa"/>
            <w:tcBorders>
              <w:top w:val="single" w:sz="4" w:space="0" w:color="auto"/>
              <w:left w:val="single" w:sz="4" w:space="0" w:color="auto"/>
              <w:bottom w:val="single" w:sz="4" w:space="0" w:color="auto"/>
              <w:right w:val="single" w:sz="4" w:space="0" w:color="auto"/>
            </w:tcBorders>
            <w:hideMark/>
          </w:tcPr>
          <w:p w:rsidR="006D00D4" w:rsidRPr="006D00D4" w:rsidRDefault="006D00D4" w:rsidP="006D00D4">
            <w:pPr>
              <w:ind w:left="284" w:hanging="284"/>
              <w:rPr>
                <w:rFonts w:asciiTheme="minorHAnsi" w:hAnsiTheme="minorHAnsi" w:cstheme="minorHAnsi"/>
                <w:b/>
                <w:sz w:val="22"/>
                <w:szCs w:val="22"/>
              </w:rPr>
            </w:pPr>
            <w:r w:rsidRPr="006D00D4">
              <w:rPr>
                <w:rFonts w:asciiTheme="minorHAnsi" w:hAnsiTheme="minorHAnsi" w:cstheme="minorHAnsi"/>
                <w:b/>
                <w:sz w:val="22"/>
                <w:szCs w:val="22"/>
              </w:rPr>
              <w:t>Oblast</w:t>
            </w:r>
          </w:p>
        </w:tc>
        <w:tc>
          <w:tcPr>
            <w:tcW w:w="1304" w:type="dxa"/>
            <w:tcBorders>
              <w:top w:val="single" w:sz="4" w:space="0" w:color="auto"/>
              <w:left w:val="single" w:sz="4" w:space="0" w:color="auto"/>
              <w:bottom w:val="single" w:sz="4" w:space="0" w:color="auto"/>
              <w:right w:val="single" w:sz="4" w:space="0" w:color="auto"/>
            </w:tcBorders>
            <w:hideMark/>
          </w:tcPr>
          <w:p w:rsidR="006D00D4" w:rsidRPr="006D00D4" w:rsidRDefault="006D00D4" w:rsidP="006D00D4">
            <w:pPr>
              <w:ind w:left="284" w:hanging="284"/>
              <w:rPr>
                <w:rFonts w:asciiTheme="minorHAnsi" w:hAnsiTheme="minorHAnsi" w:cstheme="minorHAnsi"/>
                <w:b/>
                <w:sz w:val="22"/>
                <w:szCs w:val="22"/>
              </w:rPr>
            </w:pPr>
            <w:proofErr w:type="spellStart"/>
            <w:r w:rsidRPr="006D00D4">
              <w:rPr>
                <w:rFonts w:asciiTheme="minorHAnsi" w:hAnsiTheme="minorHAnsi" w:cstheme="minorHAnsi"/>
                <w:b/>
                <w:sz w:val="22"/>
                <w:szCs w:val="22"/>
              </w:rPr>
              <w:t>Spolugestor</w:t>
            </w:r>
            <w:proofErr w:type="spellEnd"/>
          </w:p>
        </w:tc>
      </w:tr>
      <w:tr w:rsidR="006D00D4" w:rsidRPr="006D00D4" w:rsidTr="006D00D4">
        <w:tc>
          <w:tcPr>
            <w:tcW w:w="2268" w:type="dxa"/>
            <w:vMerge w:val="restart"/>
            <w:tcBorders>
              <w:top w:val="single" w:sz="4" w:space="0" w:color="auto"/>
              <w:left w:val="single" w:sz="4" w:space="0" w:color="auto"/>
              <w:right w:val="single" w:sz="4" w:space="0" w:color="auto"/>
            </w:tcBorders>
            <w:hideMark/>
          </w:tcPr>
          <w:p w:rsidR="006D00D4" w:rsidRPr="006D00D4" w:rsidRDefault="006D00D4" w:rsidP="006D00D4">
            <w:pPr>
              <w:ind w:left="284" w:hanging="284"/>
              <w:rPr>
                <w:rFonts w:asciiTheme="minorHAnsi" w:hAnsiTheme="minorHAnsi" w:cstheme="minorHAnsi"/>
                <w:sz w:val="22"/>
                <w:szCs w:val="22"/>
              </w:rPr>
            </w:pPr>
            <w:r w:rsidRPr="006D00D4">
              <w:rPr>
                <w:rFonts w:asciiTheme="minorHAnsi" w:hAnsiTheme="minorHAnsi" w:cstheme="minorHAnsi"/>
                <w:sz w:val="22"/>
                <w:szCs w:val="22"/>
              </w:rPr>
              <w:t xml:space="preserve">2.1 </w:t>
            </w:r>
          </w:p>
        </w:tc>
        <w:tc>
          <w:tcPr>
            <w:tcW w:w="5516" w:type="dxa"/>
            <w:tcBorders>
              <w:top w:val="single" w:sz="4" w:space="0" w:color="auto"/>
              <w:left w:val="single" w:sz="4" w:space="0" w:color="auto"/>
              <w:bottom w:val="single" w:sz="4" w:space="0" w:color="auto"/>
              <w:right w:val="single" w:sz="4" w:space="0" w:color="auto"/>
            </w:tcBorders>
            <w:hideMark/>
          </w:tcPr>
          <w:p w:rsidR="006D00D4" w:rsidRPr="006D00D4" w:rsidRDefault="006D00D4" w:rsidP="006D00D4">
            <w:pPr>
              <w:ind w:left="284" w:hanging="284"/>
              <w:rPr>
                <w:rFonts w:asciiTheme="minorHAnsi" w:hAnsiTheme="minorHAnsi" w:cstheme="minorHAnsi"/>
                <w:sz w:val="22"/>
                <w:szCs w:val="22"/>
              </w:rPr>
            </w:pPr>
            <w:r w:rsidRPr="006D00D4">
              <w:rPr>
                <w:rFonts w:asciiTheme="minorHAnsi" w:hAnsiTheme="minorHAnsi" w:cstheme="minorHAnsi"/>
                <w:sz w:val="22"/>
                <w:szCs w:val="22"/>
              </w:rPr>
              <w:t>Strategický rámec pro digitální růst:</w:t>
            </w:r>
          </w:p>
        </w:tc>
        <w:tc>
          <w:tcPr>
            <w:tcW w:w="1304" w:type="dxa"/>
            <w:tcBorders>
              <w:top w:val="single" w:sz="4" w:space="0" w:color="auto"/>
              <w:left w:val="single" w:sz="4" w:space="0" w:color="auto"/>
              <w:bottom w:val="single" w:sz="4" w:space="0" w:color="auto"/>
              <w:right w:val="single" w:sz="4" w:space="0" w:color="auto"/>
            </w:tcBorders>
          </w:tcPr>
          <w:p w:rsidR="006D00D4" w:rsidRPr="006D00D4" w:rsidRDefault="006D00D4" w:rsidP="006D00D4">
            <w:pPr>
              <w:ind w:left="284" w:hanging="284"/>
              <w:rPr>
                <w:rFonts w:asciiTheme="minorHAnsi" w:hAnsiTheme="minorHAnsi" w:cstheme="minorHAnsi"/>
                <w:sz w:val="22"/>
                <w:szCs w:val="22"/>
              </w:rPr>
            </w:pPr>
          </w:p>
        </w:tc>
      </w:tr>
      <w:tr w:rsidR="006D00D4" w:rsidRPr="006D00D4" w:rsidTr="006D00D4">
        <w:tc>
          <w:tcPr>
            <w:tcW w:w="2268" w:type="dxa"/>
            <w:vMerge/>
            <w:tcBorders>
              <w:left w:val="single" w:sz="4" w:space="0" w:color="auto"/>
              <w:right w:val="single" w:sz="4" w:space="0" w:color="auto"/>
            </w:tcBorders>
            <w:vAlign w:val="center"/>
            <w:hideMark/>
          </w:tcPr>
          <w:p w:rsidR="006D00D4" w:rsidRPr="006D00D4" w:rsidRDefault="006D00D4" w:rsidP="006D00D4">
            <w:pPr>
              <w:overflowPunct/>
              <w:autoSpaceDE/>
              <w:autoSpaceDN/>
              <w:adjustRightInd/>
              <w:rPr>
                <w:rFonts w:asciiTheme="minorHAnsi" w:hAnsiTheme="minorHAnsi" w:cstheme="minorHAnsi"/>
                <w:sz w:val="22"/>
                <w:szCs w:val="22"/>
              </w:rPr>
            </w:pPr>
          </w:p>
        </w:tc>
        <w:tc>
          <w:tcPr>
            <w:tcW w:w="5516" w:type="dxa"/>
            <w:tcBorders>
              <w:top w:val="single" w:sz="4" w:space="0" w:color="auto"/>
              <w:left w:val="single" w:sz="4" w:space="0" w:color="auto"/>
              <w:bottom w:val="single" w:sz="4" w:space="0" w:color="auto"/>
              <w:right w:val="single" w:sz="4" w:space="0" w:color="auto"/>
            </w:tcBorders>
            <w:hideMark/>
          </w:tcPr>
          <w:p w:rsidR="006D00D4" w:rsidRPr="006D00D4" w:rsidRDefault="002A1CA3" w:rsidP="00A31D34">
            <w:pPr>
              <w:numPr>
                <w:ilvl w:val="0"/>
                <w:numId w:val="34"/>
              </w:numPr>
              <w:spacing w:after="160"/>
              <w:ind w:left="317" w:hanging="317"/>
              <w:contextualSpacing/>
              <w:textAlignment w:val="auto"/>
              <w:rPr>
                <w:rFonts w:asciiTheme="minorHAnsi" w:hAnsiTheme="minorHAnsi" w:cstheme="minorHAnsi"/>
                <w:sz w:val="22"/>
                <w:szCs w:val="22"/>
              </w:rPr>
            </w:pPr>
            <w:r w:rsidRPr="002A1CA3">
              <w:rPr>
                <w:rFonts w:asciiTheme="minorHAnsi" w:hAnsiTheme="minorHAnsi" w:cstheme="minorHAnsi"/>
                <w:sz w:val="22"/>
                <w:szCs w:val="22"/>
              </w:rPr>
              <w:t xml:space="preserve">Strategie digitální gramotnosti ČR na období 2015 – 2020 </w:t>
            </w:r>
          </w:p>
        </w:tc>
        <w:tc>
          <w:tcPr>
            <w:tcW w:w="1304" w:type="dxa"/>
            <w:tcBorders>
              <w:top w:val="single" w:sz="4" w:space="0" w:color="auto"/>
              <w:left w:val="single" w:sz="4" w:space="0" w:color="auto"/>
              <w:bottom w:val="single" w:sz="4" w:space="0" w:color="auto"/>
              <w:right w:val="single" w:sz="4" w:space="0" w:color="auto"/>
            </w:tcBorders>
            <w:hideMark/>
          </w:tcPr>
          <w:p w:rsidR="006D00D4" w:rsidRPr="006D00D4" w:rsidRDefault="006D00D4" w:rsidP="006D00D4">
            <w:pPr>
              <w:ind w:left="-92"/>
              <w:rPr>
                <w:rFonts w:asciiTheme="minorHAnsi" w:hAnsiTheme="minorHAnsi" w:cstheme="minorHAnsi"/>
                <w:sz w:val="22"/>
                <w:szCs w:val="22"/>
              </w:rPr>
            </w:pPr>
            <w:r w:rsidRPr="006D00D4">
              <w:rPr>
                <w:rFonts w:asciiTheme="minorHAnsi" w:hAnsiTheme="minorHAnsi" w:cstheme="minorHAnsi"/>
                <w:sz w:val="22"/>
                <w:szCs w:val="22"/>
              </w:rPr>
              <w:t>MPSV (gestor), MŠMT (</w:t>
            </w:r>
            <w:proofErr w:type="spellStart"/>
            <w:r w:rsidRPr="006D00D4">
              <w:rPr>
                <w:rFonts w:asciiTheme="minorHAnsi" w:hAnsiTheme="minorHAnsi" w:cstheme="minorHAnsi"/>
                <w:sz w:val="22"/>
                <w:szCs w:val="22"/>
              </w:rPr>
              <w:t>spolugestor</w:t>
            </w:r>
            <w:proofErr w:type="spellEnd"/>
            <w:r w:rsidRPr="006D00D4">
              <w:rPr>
                <w:rFonts w:asciiTheme="minorHAnsi" w:hAnsiTheme="minorHAnsi" w:cstheme="minorHAnsi"/>
                <w:sz w:val="22"/>
                <w:szCs w:val="22"/>
              </w:rPr>
              <w:t>)</w:t>
            </w:r>
          </w:p>
        </w:tc>
      </w:tr>
      <w:tr w:rsidR="006D00D4" w:rsidRPr="006D00D4" w:rsidTr="006D00D4">
        <w:tc>
          <w:tcPr>
            <w:tcW w:w="2268" w:type="dxa"/>
            <w:vMerge/>
            <w:tcBorders>
              <w:left w:val="single" w:sz="4" w:space="0" w:color="auto"/>
              <w:right w:val="single" w:sz="4" w:space="0" w:color="auto"/>
            </w:tcBorders>
            <w:vAlign w:val="center"/>
            <w:hideMark/>
          </w:tcPr>
          <w:p w:rsidR="006D00D4" w:rsidRPr="006D00D4" w:rsidRDefault="006D00D4" w:rsidP="006D00D4">
            <w:pPr>
              <w:overflowPunct/>
              <w:autoSpaceDE/>
              <w:autoSpaceDN/>
              <w:adjustRightInd/>
              <w:rPr>
                <w:rFonts w:asciiTheme="minorHAnsi" w:hAnsiTheme="minorHAnsi" w:cstheme="minorHAnsi"/>
                <w:sz w:val="22"/>
                <w:szCs w:val="22"/>
              </w:rPr>
            </w:pPr>
          </w:p>
        </w:tc>
        <w:tc>
          <w:tcPr>
            <w:tcW w:w="5516" w:type="dxa"/>
            <w:tcBorders>
              <w:top w:val="single" w:sz="4" w:space="0" w:color="auto"/>
              <w:left w:val="single" w:sz="4" w:space="0" w:color="auto"/>
              <w:bottom w:val="single" w:sz="4" w:space="0" w:color="auto"/>
              <w:right w:val="single" w:sz="4" w:space="0" w:color="auto"/>
            </w:tcBorders>
            <w:hideMark/>
          </w:tcPr>
          <w:p w:rsidR="006D00D4" w:rsidRPr="00AC2D69" w:rsidRDefault="006D00D4" w:rsidP="00A31D34">
            <w:pPr>
              <w:numPr>
                <w:ilvl w:val="0"/>
                <w:numId w:val="34"/>
              </w:numPr>
              <w:spacing w:after="160"/>
              <w:ind w:left="317" w:hanging="317"/>
              <w:contextualSpacing/>
              <w:textAlignment w:val="auto"/>
              <w:rPr>
                <w:rFonts w:asciiTheme="minorHAnsi" w:hAnsiTheme="minorHAnsi" w:cstheme="minorHAnsi"/>
                <w:b/>
                <w:sz w:val="22"/>
                <w:szCs w:val="22"/>
              </w:rPr>
            </w:pPr>
            <w:r w:rsidRPr="00AC2D69">
              <w:rPr>
                <w:rStyle w:val="Siln"/>
                <w:rFonts w:asciiTheme="minorHAnsi" w:hAnsiTheme="minorHAnsi" w:cstheme="minorHAnsi"/>
                <w:b w:val="0"/>
                <w:sz w:val="22"/>
                <w:szCs w:val="22"/>
              </w:rPr>
              <w:t>Strategický rámec rozvoje veřejné správy České republiky  pro období 2014 - 2020</w:t>
            </w:r>
          </w:p>
        </w:tc>
        <w:tc>
          <w:tcPr>
            <w:tcW w:w="1304" w:type="dxa"/>
            <w:tcBorders>
              <w:top w:val="single" w:sz="4" w:space="0" w:color="auto"/>
              <w:left w:val="single" w:sz="4" w:space="0" w:color="auto"/>
              <w:bottom w:val="single" w:sz="4" w:space="0" w:color="auto"/>
              <w:right w:val="single" w:sz="4" w:space="0" w:color="auto"/>
            </w:tcBorders>
            <w:hideMark/>
          </w:tcPr>
          <w:p w:rsidR="006D00D4" w:rsidRPr="006D00D4" w:rsidRDefault="006D00D4" w:rsidP="006D00D4">
            <w:pPr>
              <w:ind w:left="284" w:hanging="284"/>
              <w:rPr>
                <w:rFonts w:asciiTheme="minorHAnsi" w:hAnsiTheme="minorHAnsi" w:cstheme="minorHAnsi"/>
                <w:sz w:val="22"/>
                <w:szCs w:val="22"/>
              </w:rPr>
            </w:pPr>
            <w:r w:rsidRPr="006D00D4">
              <w:rPr>
                <w:rFonts w:asciiTheme="minorHAnsi" w:hAnsiTheme="minorHAnsi" w:cstheme="minorHAnsi"/>
                <w:sz w:val="22"/>
                <w:szCs w:val="22"/>
              </w:rPr>
              <w:t>MV</w:t>
            </w:r>
          </w:p>
        </w:tc>
      </w:tr>
      <w:tr w:rsidR="006D00D4" w:rsidRPr="006D00D4" w:rsidTr="006D00D4">
        <w:tc>
          <w:tcPr>
            <w:tcW w:w="2268" w:type="dxa"/>
            <w:vMerge/>
            <w:tcBorders>
              <w:left w:val="single" w:sz="4" w:space="0" w:color="auto"/>
              <w:bottom w:val="single" w:sz="4" w:space="0" w:color="auto"/>
              <w:right w:val="single" w:sz="4" w:space="0" w:color="auto"/>
            </w:tcBorders>
            <w:vAlign w:val="center"/>
          </w:tcPr>
          <w:p w:rsidR="006D00D4" w:rsidRPr="006D00D4" w:rsidRDefault="006D00D4" w:rsidP="006D00D4">
            <w:pPr>
              <w:overflowPunct/>
              <w:autoSpaceDE/>
              <w:autoSpaceDN/>
              <w:adjustRightInd/>
              <w:rPr>
                <w:rFonts w:asciiTheme="minorHAnsi" w:hAnsiTheme="minorHAnsi" w:cstheme="minorHAnsi"/>
                <w:sz w:val="22"/>
                <w:szCs w:val="22"/>
              </w:rPr>
            </w:pPr>
          </w:p>
        </w:tc>
        <w:tc>
          <w:tcPr>
            <w:tcW w:w="5516" w:type="dxa"/>
            <w:tcBorders>
              <w:top w:val="single" w:sz="4" w:space="0" w:color="auto"/>
              <w:left w:val="single" w:sz="4" w:space="0" w:color="auto"/>
              <w:bottom w:val="single" w:sz="4" w:space="0" w:color="auto"/>
              <w:right w:val="single" w:sz="4" w:space="0" w:color="auto"/>
            </w:tcBorders>
          </w:tcPr>
          <w:p w:rsidR="006D00D4" w:rsidRPr="006D00D4" w:rsidRDefault="006D00D4" w:rsidP="002A1CA3">
            <w:pPr>
              <w:ind w:left="317" w:hanging="317"/>
              <w:rPr>
                <w:rFonts w:asciiTheme="minorHAnsi" w:hAnsiTheme="minorHAnsi" w:cstheme="minorHAnsi"/>
                <w:sz w:val="22"/>
                <w:szCs w:val="22"/>
              </w:rPr>
            </w:pPr>
            <w:r w:rsidRPr="006D00D4">
              <w:rPr>
                <w:rFonts w:asciiTheme="minorHAnsi" w:hAnsiTheme="minorHAnsi" w:cstheme="minorHAnsi"/>
                <w:sz w:val="22"/>
                <w:szCs w:val="22"/>
              </w:rPr>
              <w:t xml:space="preserve">-     </w:t>
            </w:r>
            <w:r w:rsidR="002A1CA3" w:rsidRPr="00F6593C">
              <w:rPr>
                <w:rFonts w:asciiTheme="minorHAnsi" w:hAnsiTheme="minorHAnsi" w:cstheme="minorHAnsi"/>
                <w:sz w:val="22"/>
                <w:szCs w:val="22"/>
              </w:rPr>
              <w:t xml:space="preserve">Národní výzkumná a inovační strategie pro inteligentní specializaci České republiky </w:t>
            </w:r>
            <w:r w:rsidR="002A1CA3" w:rsidRPr="008028A0">
              <w:rPr>
                <w:rFonts w:asciiTheme="minorHAnsi" w:hAnsiTheme="minorHAnsi" w:cstheme="minorHAnsi"/>
                <w:sz w:val="22"/>
                <w:szCs w:val="22"/>
              </w:rPr>
              <w:t>(Národní RIS3 strategie)</w:t>
            </w:r>
          </w:p>
        </w:tc>
        <w:tc>
          <w:tcPr>
            <w:tcW w:w="1304" w:type="dxa"/>
            <w:tcBorders>
              <w:top w:val="single" w:sz="4" w:space="0" w:color="auto"/>
              <w:left w:val="single" w:sz="4" w:space="0" w:color="auto"/>
              <w:bottom w:val="single" w:sz="4" w:space="0" w:color="auto"/>
              <w:right w:val="single" w:sz="4" w:space="0" w:color="auto"/>
            </w:tcBorders>
          </w:tcPr>
          <w:p w:rsidR="006D00D4" w:rsidRPr="006D00D4" w:rsidRDefault="006D00D4" w:rsidP="006D00D4">
            <w:pPr>
              <w:ind w:left="284" w:hanging="284"/>
              <w:rPr>
                <w:rFonts w:asciiTheme="minorHAnsi" w:hAnsiTheme="minorHAnsi" w:cstheme="minorHAnsi"/>
                <w:sz w:val="22"/>
                <w:szCs w:val="22"/>
              </w:rPr>
            </w:pPr>
            <w:r w:rsidRPr="006D00D4">
              <w:rPr>
                <w:rFonts w:asciiTheme="minorHAnsi" w:hAnsiTheme="minorHAnsi" w:cstheme="minorHAnsi"/>
                <w:sz w:val="22"/>
                <w:szCs w:val="22"/>
              </w:rPr>
              <w:t xml:space="preserve">MŠMT </w:t>
            </w:r>
          </w:p>
        </w:tc>
      </w:tr>
    </w:tbl>
    <w:p w:rsidR="006D00D4" w:rsidRPr="006D00D4" w:rsidRDefault="006D00D4" w:rsidP="006D00D4">
      <w:pPr>
        <w:spacing w:after="100" w:afterAutospacing="1"/>
        <w:jc w:val="both"/>
        <w:rPr>
          <w:rFonts w:asciiTheme="minorHAnsi" w:hAnsiTheme="minorHAnsi" w:cstheme="minorHAnsi"/>
          <w:sz w:val="22"/>
          <w:szCs w:val="22"/>
        </w:rPr>
      </w:pPr>
    </w:p>
    <w:p w:rsidR="006D00D4" w:rsidRPr="006D00D4" w:rsidRDefault="006D00D4" w:rsidP="006D00D4">
      <w:pPr>
        <w:spacing w:after="100" w:afterAutospacing="1"/>
        <w:jc w:val="both"/>
        <w:rPr>
          <w:rFonts w:asciiTheme="minorHAnsi" w:hAnsiTheme="minorHAnsi" w:cstheme="minorHAnsi"/>
          <w:sz w:val="22"/>
          <w:szCs w:val="22"/>
        </w:rPr>
      </w:pPr>
      <w:r w:rsidRPr="006D00D4">
        <w:rPr>
          <w:rFonts w:asciiTheme="minorHAnsi" w:hAnsiTheme="minorHAnsi" w:cstheme="minorHAnsi"/>
          <w:b/>
          <w:sz w:val="22"/>
          <w:szCs w:val="22"/>
          <w:u w:val="single"/>
        </w:rPr>
        <w:t>Připomínky EK k naplňování PP 2.1 (z jednání 19.3.2014 k předběžným podmínkám v rámci Dohody o partnerství)</w:t>
      </w:r>
    </w:p>
    <w:p w:rsidR="006D00D4" w:rsidRPr="006D00D4" w:rsidRDefault="006D00D4" w:rsidP="006D00D4">
      <w:pPr>
        <w:jc w:val="both"/>
        <w:rPr>
          <w:rFonts w:asciiTheme="minorHAnsi" w:hAnsiTheme="minorHAnsi" w:cstheme="minorHAnsi"/>
          <w:i/>
          <w:sz w:val="22"/>
          <w:szCs w:val="22"/>
          <w:lang w:val="en-GB"/>
        </w:rPr>
      </w:pPr>
      <w:r w:rsidRPr="006D00D4">
        <w:rPr>
          <w:rFonts w:asciiTheme="minorHAnsi" w:hAnsiTheme="minorHAnsi" w:cstheme="minorHAnsi"/>
          <w:b/>
          <w:i/>
          <w:sz w:val="22"/>
          <w:szCs w:val="22"/>
          <w:lang w:val="en-GB"/>
        </w:rPr>
        <w:t>EAC 2.1 Digital growth</w:t>
      </w:r>
      <w:r w:rsidRPr="006D00D4">
        <w:rPr>
          <w:rFonts w:asciiTheme="minorHAnsi" w:hAnsiTheme="minorHAnsi" w:cstheme="minorHAnsi"/>
          <w:i/>
          <w:sz w:val="22"/>
          <w:szCs w:val="22"/>
          <w:lang w:val="en-GB"/>
        </w:rPr>
        <w:t>- The strategic policy framework for digital growth as required by this EAC was submitted to the EC. However it contains no information on SWOT or similar analysis, no description of corresponding methodology, no information on the allocation of budget, on analysis of supply and demand and, on monitoring and indicators to measure progress of interventions in areas such as digital literacy, e-inclusion, e-accessibility, and of e-health.</w:t>
      </w:r>
    </w:p>
    <w:p w:rsidR="006D00D4" w:rsidRPr="006D00D4" w:rsidRDefault="006D00D4" w:rsidP="00A31D34">
      <w:pPr>
        <w:pStyle w:val="Odstavecseseznamem"/>
        <w:numPr>
          <w:ilvl w:val="0"/>
          <w:numId w:val="36"/>
        </w:numPr>
        <w:spacing w:after="120"/>
        <w:ind w:left="709" w:hanging="425"/>
        <w:jc w:val="both"/>
        <w:rPr>
          <w:rFonts w:cstheme="minorHAnsi"/>
          <w:b/>
          <w:i/>
          <w:szCs w:val="22"/>
        </w:rPr>
      </w:pPr>
      <w:r w:rsidRPr="006D00D4">
        <w:rPr>
          <w:rFonts w:cstheme="minorHAnsi"/>
          <w:szCs w:val="22"/>
        </w:rPr>
        <w:t xml:space="preserve">EK konstatovala, že tuto PP považuje za </w:t>
      </w:r>
      <w:r w:rsidRPr="006D00D4">
        <w:rPr>
          <w:rFonts w:cstheme="minorHAnsi"/>
          <w:b/>
          <w:szCs w:val="22"/>
        </w:rPr>
        <w:t>částečně splněnou</w:t>
      </w:r>
    </w:p>
    <w:p w:rsidR="006D00D4" w:rsidRPr="006D00D4" w:rsidRDefault="006D00D4" w:rsidP="00A31D34">
      <w:pPr>
        <w:pStyle w:val="Odstavecseseznamem"/>
        <w:numPr>
          <w:ilvl w:val="0"/>
          <w:numId w:val="36"/>
        </w:numPr>
        <w:spacing w:after="120"/>
        <w:ind w:left="709" w:hanging="425"/>
        <w:jc w:val="both"/>
        <w:rPr>
          <w:rFonts w:cstheme="minorHAnsi"/>
          <w:b/>
          <w:i/>
          <w:szCs w:val="22"/>
        </w:rPr>
      </w:pPr>
      <w:r w:rsidRPr="006D00D4">
        <w:rPr>
          <w:rFonts w:cstheme="minorHAnsi"/>
          <w:szCs w:val="22"/>
        </w:rPr>
        <w:t xml:space="preserve">Na základě připomínky EK </w:t>
      </w:r>
      <w:r w:rsidRPr="006D00D4">
        <w:rPr>
          <w:rFonts w:cstheme="minorHAnsi"/>
          <w:b/>
          <w:szCs w:val="22"/>
        </w:rPr>
        <w:t xml:space="preserve">byla ze strany MPO pro potřeby Dohody o partnerství doplněna vyjádření k jednotlivým kritériím podmínky za oblast dokumentů Digitální Česko tak, aby vyjádření více směřovalo k požadavkům kritérií </w:t>
      </w:r>
      <w:r w:rsidRPr="006D00D4">
        <w:rPr>
          <w:rFonts w:cstheme="minorHAnsi"/>
          <w:szCs w:val="22"/>
        </w:rPr>
        <w:t>(zasláno MMR dne 24. 3. 2014), nicméně dokument Digitální Česko nemůže pokrýt všechny části kritérií, která by měla naplňována také dalšími strategickými dokumenty (viz výše).</w:t>
      </w:r>
    </w:p>
    <w:p w:rsidR="006D00D4" w:rsidRPr="006D00D4" w:rsidRDefault="006D00D4" w:rsidP="006D00D4">
      <w:pPr>
        <w:pStyle w:val="Odstavecseseznamem"/>
        <w:spacing w:after="120"/>
        <w:ind w:left="0"/>
        <w:jc w:val="both"/>
        <w:rPr>
          <w:rFonts w:cstheme="minorHAnsi"/>
          <w:szCs w:val="22"/>
          <w:highlight w:val="yellow"/>
        </w:rPr>
      </w:pPr>
    </w:p>
    <w:p w:rsidR="006D00D4" w:rsidRPr="006D00D4" w:rsidRDefault="006D00D4" w:rsidP="006D00D4">
      <w:pPr>
        <w:spacing w:after="120"/>
        <w:jc w:val="both"/>
        <w:rPr>
          <w:rFonts w:asciiTheme="minorHAnsi" w:hAnsiTheme="minorHAnsi" w:cstheme="minorHAnsi"/>
          <w:b/>
          <w:sz w:val="22"/>
          <w:szCs w:val="22"/>
          <w:u w:val="single"/>
        </w:rPr>
      </w:pPr>
      <w:r w:rsidRPr="006D00D4">
        <w:rPr>
          <w:rFonts w:asciiTheme="minorHAnsi" w:hAnsiTheme="minorHAnsi" w:cstheme="minorHAnsi"/>
          <w:b/>
          <w:sz w:val="22"/>
          <w:szCs w:val="22"/>
          <w:u w:val="single"/>
        </w:rPr>
        <w:t>Další kroky a opatření ke splnění podmínky</w:t>
      </w:r>
    </w:p>
    <w:p w:rsidR="006D00D4" w:rsidRPr="006D00D4" w:rsidRDefault="006D00D4" w:rsidP="006D00D4">
      <w:pPr>
        <w:spacing w:after="120"/>
        <w:jc w:val="both"/>
        <w:rPr>
          <w:rFonts w:asciiTheme="minorHAnsi" w:hAnsiTheme="minorHAnsi" w:cstheme="minorHAnsi"/>
          <w:sz w:val="22"/>
          <w:szCs w:val="22"/>
        </w:rPr>
      </w:pPr>
      <w:r w:rsidRPr="006D00D4">
        <w:rPr>
          <w:rFonts w:asciiTheme="minorHAnsi" w:hAnsiTheme="minorHAnsi" w:cstheme="minorHAnsi"/>
          <w:sz w:val="22"/>
          <w:szCs w:val="22"/>
        </w:rPr>
        <w:t xml:space="preserve">K řešení připomínek a návrhu dalšího postupu v naplňování předběžné podmínky iniciovalo MPO společné jednání zástupců resortů, do jejich působnosti spadají další strategické dokumenty v rámci této podmínky, které se uskutečnilo dne 16. 4.2014 na MPO. Na základě tohoto jednání bylo detailněji rozpracováno naplňování předběžné podmínky a opatření ke splnění podmínky vč. podrobnějšího harmonogramu (požadavek EK na úpravu tzv. akčního plánu podmínky v rámci šablon EK pro operační programy a tzv. </w:t>
      </w:r>
      <w:proofErr w:type="spellStart"/>
      <w:r w:rsidRPr="006D00D4">
        <w:rPr>
          <w:rFonts w:asciiTheme="minorHAnsi" w:hAnsiTheme="minorHAnsi" w:cstheme="minorHAnsi"/>
          <w:sz w:val="22"/>
          <w:szCs w:val="22"/>
        </w:rPr>
        <w:t>assessment</w:t>
      </w:r>
      <w:proofErr w:type="spellEnd"/>
      <w:r w:rsidRPr="006D00D4">
        <w:rPr>
          <w:rFonts w:asciiTheme="minorHAnsi" w:hAnsiTheme="minorHAnsi" w:cstheme="minorHAnsi"/>
          <w:sz w:val="22"/>
          <w:szCs w:val="22"/>
        </w:rPr>
        <w:t xml:space="preserve"> </w:t>
      </w:r>
      <w:proofErr w:type="spellStart"/>
      <w:r w:rsidRPr="006D00D4">
        <w:rPr>
          <w:rFonts w:asciiTheme="minorHAnsi" w:hAnsiTheme="minorHAnsi" w:cstheme="minorHAnsi"/>
          <w:sz w:val="22"/>
          <w:szCs w:val="22"/>
        </w:rPr>
        <w:t>grid</w:t>
      </w:r>
      <w:proofErr w:type="spellEnd"/>
      <w:r w:rsidRPr="006D00D4">
        <w:rPr>
          <w:rFonts w:asciiTheme="minorHAnsi" w:hAnsiTheme="minorHAnsi" w:cstheme="minorHAnsi"/>
          <w:sz w:val="22"/>
          <w:szCs w:val="22"/>
        </w:rPr>
        <w:t xml:space="preserve"> dle </w:t>
      </w:r>
      <w:proofErr w:type="spellStart"/>
      <w:r w:rsidRPr="006D00D4">
        <w:rPr>
          <w:rFonts w:asciiTheme="minorHAnsi" w:hAnsiTheme="minorHAnsi" w:cstheme="minorHAnsi"/>
          <w:sz w:val="22"/>
          <w:szCs w:val="22"/>
        </w:rPr>
        <w:t>Guidance</w:t>
      </w:r>
      <w:proofErr w:type="spellEnd"/>
      <w:r w:rsidRPr="006D00D4">
        <w:rPr>
          <w:rFonts w:asciiTheme="minorHAnsi" w:hAnsiTheme="minorHAnsi" w:cstheme="minorHAnsi"/>
          <w:sz w:val="22"/>
          <w:szCs w:val="22"/>
        </w:rPr>
        <w:t xml:space="preserve"> od Ex-ante </w:t>
      </w:r>
      <w:proofErr w:type="spellStart"/>
      <w:r w:rsidRPr="006D00D4">
        <w:rPr>
          <w:rFonts w:asciiTheme="minorHAnsi" w:hAnsiTheme="minorHAnsi" w:cstheme="minorHAnsi"/>
          <w:sz w:val="22"/>
          <w:szCs w:val="22"/>
        </w:rPr>
        <w:t>Conditionalities</w:t>
      </w:r>
      <w:proofErr w:type="spellEnd"/>
      <w:r w:rsidRPr="006D00D4">
        <w:rPr>
          <w:rFonts w:asciiTheme="minorHAnsi" w:hAnsiTheme="minorHAnsi" w:cstheme="minorHAnsi"/>
          <w:sz w:val="22"/>
          <w:szCs w:val="22"/>
        </w:rPr>
        <w:t xml:space="preserve"> EK).</w:t>
      </w:r>
    </w:p>
    <w:p w:rsidR="006D00D4" w:rsidRPr="006D00D4" w:rsidRDefault="006D00D4" w:rsidP="006D00D4">
      <w:pPr>
        <w:spacing w:after="120"/>
        <w:jc w:val="both"/>
        <w:rPr>
          <w:rFonts w:asciiTheme="minorHAnsi" w:hAnsiTheme="minorHAnsi" w:cstheme="minorHAnsi"/>
          <w:sz w:val="22"/>
          <w:szCs w:val="22"/>
          <w:highlight w:val="yellow"/>
        </w:rPr>
      </w:pPr>
    </w:p>
    <w:p w:rsidR="006D00D4" w:rsidRPr="006D00D4" w:rsidRDefault="006D00D4" w:rsidP="006D00D4">
      <w:pPr>
        <w:rPr>
          <w:rFonts w:asciiTheme="minorHAnsi" w:hAnsiTheme="minorHAnsi" w:cstheme="minorHAnsi"/>
          <w:b/>
          <w:sz w:val="22"/>
          <w:szCs w:val="22"/>
        </w:rPr>
      </w:pPr>
      <w:r w:rsidRPr="006D00D4">
        <w:rPr>
          <w:rStyle w:val="Siln"/>
          <w:rFonts w:asciiTheme="minorHAnsi" w:hAnsiTheme="minorHAnsi" w:cstheme="minorHAnsi"/>
          <w:sz w:val="22"/>
          <w:szCs w:val="22"/>
        </w:rPr>
        <w:t>Strategický rámec rozvoje veřejné správy České republiky pro období 2014 - 2020</w:t>
      </w:r>
    </w:p>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Gesce: Ministerstvo vnitra</w:t>
      </w:r>
    </w:p>
    <w:p w:rsidR="006D00D4" w:rsidRPr="006D00D4" w:rsidRDefault="006D00D4" w:rsidP="006D00D4">
      <w:pPr>
        <w:spacing w:before="240" w:after="100" w:afterAutospacing="1"/>
        <w:jc w:val="both"/>
        <w:rPr>
          <w:rFonts w:asciiTheme="minorHAnsi" w:hAnsiTheme="minorHAnsi" w:cstheme="minorHAnsi"/>
          <w:sz w:val="22"/>
          <w:szCs w:val="22"/>
        </w:rPr>
      </w:pPr>
      <w:r w:rsidRPr="006D00D4">
        <w:rPr>
          <w:rFonts w:asciiTheme="minorHAnsi" w:hAnsiTheme="minorHAnsi" w:cstheme="minorHAnsi"/>
          <w:sz w:val="22"/>
          <w:szCs w:val="22"/>
        </w:rPr>
        <w:t xml:space="preserve">Původní záměr Ministerstva vnitra spočíval v přijetí dvou strategických dokumentů pro období let 2014+, které budou samostatně pokrývat oblast veřejné správy a její elektronizace. Jednalo se o </w:t>
      </w:r>
      <w:r w:rsidRPr="006D00D4">
        <w:rPr>
          <w:rFonts w:asciiTheme="minorHAnsi" w:hAnsiTheme="minorHAnsi" w:cstheme="minorHAnsi"/>
          <w:i/>
          <w:sz w:val="22"/>
          <w:szCs w:val="22"/>
        </w:rPr>
        <w:t>Strategický rámec rozvoje veřejné správy ČR 2014+</w:t>
      </w:r>
      <w:r w:rsidRPr="006D00D4">
        <w:rPr>
          <w:rFonts w:asciiTheme="minorHAnsi" w:hAnsiTheme="minorHAnsi" w:cstheme="minorHAnsi"/>
          <w:sz w:val="22"/>
          <w:szCs w:val="22"/>
        </w:rPr>
        <w:t xml:space="preserve">, který zahrnoval právě oblast rozvoje veřejné správy a dále se jednalo o </w:t>
      </w:r>
      <w:r w:rsidRPr="006D00D4">
        <w:rPr>
          <w:rFonts w:asciiTheme="minorHAnsi" w:hAnsiTheme="minorHAnsi" w:cstheme="minorHAnsi"/>
          <w:i/>
          <w:sz w:val="22"/>
          <w:szCs w:val="22"/>
        </w:rPr>
        <w:t xml:space="preserve">Strategický rámec rozvoje </w:t>
      </w:r>
      <w:proofErr w:type="spellStart"/>
      <w:r w:rsidRPr="006D00D4">
        <w:rPr>
          <w:rFonts w:asciiTheme="minorHAnsi" w:hAnsiTheme="minorHAnsi" w:cstheme="minorHAnsi"/>
          <w:i/>
          <w:sz w:val="22"/>
          <w:szCs w:val="22"/>
        </w:rPr>
        <w:t>eGovernmentu</w:t>
      </w:r>
      <w:proofErr w:type="spellEnd"/>
      <w:r w:rsidRPr="006D00D4">
        <w:rPr>
          <w:rFonts w:asciiTheme="minorHAnsi" w:hAnsiTheme="minorHAnsi" w:cstheme="minorHAnsi"/>
          <w:i/>
          <w:sz w:val="22"/>
          <w:szCs w:val="22"/>
        </w:rPr>
        <w:t xml:space="preserve"> 2014+</w:t>
      </w:r>
      <w:r w:rsidRPr="006D00D4">
        <w:rPr>
          <w:rFonts w:asciiTheme="minorHAnsi" w:hAnsiTheme="minorHAnsi" w:cstheme="minorHAnsi"/>
          <w:sz w:val="22"/>
          <w:szCs w:val="22"/>
        </w:rPr>
        <w:t xml:space="preserve">, který se zabýval otázkou rozvoje </w:t>
      </w:r>
      <w:proofErr w:type="spellStart"/>
      <w:r w:rsidRPr="006D00D4">
        <w:rPr>
          <w:rFonts w:asciiTheme="minorHAnsi" w:hAnsiTheme="minorHAnsi" w:cstheme="minorHAnsi"/>
          <w:sz w:val="22"/>
          <w:szCs w:val="22"/>
        </w:rPr>
        <w:t>eGovernmentu</w:t>
      </w:r>
      <w:proofErr w:type="spellEnd"/>
      <w:r w:rsidRPr="006D00D4">
        <w:rPr>
          <w:rFonts w:asciiTheme="minorHAnsi" w:hAnsiTheme="minorHAnsi" w:cstheme="minorHAnsi"/>
          <w:sz w:val="22"/>
          <w:szCs w:val="22"/>
        </w:rPr>
        <w:t>, tj. elektronizací výkonu veřejné správy. V květnu 2014 rozhodlo Ministerstvo vnitra o sloučení těchto dvou dokumentů v jeden, přičemž však byly zachovány jejich základní prvky.  Strategický rámec rozvoje veřejné správy České republiky pro období 2014 - 2020“ (dále jen „Strategický rámec rozvoje VS“)</w:t>
      </w:r>
      <w:r w:rsidRPr="006D00D4">
        <w:rPr>
          <w:rFonts w:asciiTheme="minorHAnsi" w:hAnsiTheme="minorHAnsi" w:cstheme="minorHAnsi"/>
          <w:b/>
          <w:sz w:val="22"/>
          <w:szCs w:val="22"/>
        </w:rPr>
        <w:t xml:space="preserve"> </w:t>
      </w:r>
      <w:r w:rsidRPr="006D00D4">
        <w:rPr>
          <w:rFonts w:asciiTheme="minorHAnsi" w:hAnsiTheme="minorHAnsi" w:cstheme="minorHAnsi"/>
          <w:sz w:val="22"/>
          <w:szCs w:val="22"/>
        </w:rPr>
        <w:t xml:space="preserve"> zahrnuje obě zmiňované oblasti. </w:t>
      </w:r>
    </w:p>
    <w:p w:rsidR="006D00D4" w:rsidRPr="006D00D4" w:rsidRDefault="006D00D4" w:rsidP="006D00D4">
      <w:pPr>
        <w:spacing w:before="240" w:after="100" w:afterAutospacing="1"/>
        <w:jc w:val="both"/>
        <w:rPr>
          <w:rFonts w:asciiTheme="minorHAnsi" w:hAnsiTheme="minorHAnsi" w:cstheme="minorHAnsi"/>
          <w:sz w:val="22"/>
          <w:szCs w:val="22"/>
        </w:rPr>
      </w:pPr>
      <w:r w:rsidRPr="006D00D4">
        <w:rPr>
          <w:rFonts w:asciiTheme="minorHAnsi" w:hAnsiTheme="minorHAnsi" w:cstheme="minorHAnsi"/>
          <w:sz w:val="22"/>
          <w:szCs w:val="22"/>
        </w:rPr>
        <w:t>Dne 27. srpna 2014 vláda ČR usnesením č. 680 Strategický rámec rozvoje VS schválila. Tento dokument zahrnuje 4 strategické cíle, a to:</w:t>
      </w:r>
    </w:p>
    <w:p w:rsidR="006D00D4" w:rsidRPr="006D00D4" w:rsidRDefault="006D00D4" w:rsidP="00A31D34">
      <w:pPr>
        <w:pStyle w:val="Odstavecseseznamem"/>
        <w:numPr>
          <w:ilvl w:val="0"/>
          <w:numId w:val="39"/>
        </w:numPr>
        <w:spacing w:before="240" w:after="100" w:afterAutospacing="1"/>
        <w:jc w:val="both"/>
        <w:rPr>
          <w:rFonts w:cstheme="minorHAnsi"/>
          <w:szCs w:val="22"/>
        </w:rPr>
      </w:pPr>
      <w:r w:rsidRPr="006D00D4">
        <w:rPr>
          <w:rFonts w:cstheme="minorHAnsi"/>
          <w:szCs w:val="22"/>
        </w:rPr>
        <w:t>Modernizace veřejné správy,</w:t>
      </w:r>
    </w:p>
    <w:p w:rsidR="006D00D4" w:rsidRPr="006D00D4" w:rsidRDefault="006D00D4" w:rsidP="00A31D34">
      <w:pPr>
        <w:pStyle w:val="Odstavecseseznamem"/>
        <w:numPr>
          <w:ilvl w:val="0"/>
          <w:numId w:val="39"/>
        </w:numPr>
        <w:spacing w:before="240" w:after="100" w:afterAutospacing="1"/>
        <w:jc w:val="both"/>
        <w:rPr>
          <w:rFonts w:cstheme="minorHAnsi"/>
          <w:szCs w:val="22"/>
        </w:rPr>
      </w:pPr>
      <w:r w:rsidRPr="006D00D4">
        <w:rPr>
          <w:rFonts w:cstheme="minorHAnsi"/>
          <w:szCs w:val="22"/>
        </w:rPr>
        <w:t>Revize a optimalizace výkonu veřejné správy v území,</w:t>
      </w:r>
    </w:p>
    <w:p w:rsidR="006D00D4" w:rsidRPr="006D00D4" w:rsidRDefault="006D00D4" w:rsidP="00A31D34">
      <w:pPr>
        <w:pStyle w:val="Odstavecseseznamem"/>
        <w:numPr>
          <w:ilvl w:val="0"/>
          <w:numId w:val="39"/>
        </w:numPr>
        <w:spacing w:before="240" w:after="100" w:afterAutospacing="1"/>
        <w:jc w:val="both"/>
        <w:rPr>
          <w:rFonts w:cstheme="minorHAnsi"/>
          <w:szCs w:val="22"/>
        </w:rPr>
      </w:pPr>
      <w:r w:rsidRPr="006D00D4">
        <w:rPr>
          <w:rFonts w:cstheme="minorHAnsi"/>
          <w:szCs w:val="22"/>
        </w:rPr>
        <w:t xml:space="preserve">Zvýšení dostupnosti a transparentnosti veřejné správy prostřednictvím nástrojů </w:t>
      </w:r>
      <w:proofErr w:type="spellStart"/>
      <w:r w:rsidRPr="006D00D4">
        <w:rPr>
          <w:rFonts w:cstheme="minorHAnsi"/>
          <w:szCs w:val="22"/>
        </w:rPr>
        <w:t>eGovernmentu</w:t>
      </w:r>
      <w:proofErr w:type="spellEnd"/>
      <w:r w:rsidRPr="006D00D4">
        <w:rPr>
          <w:rFonts w:cstheme="minorHAnsi"/>
          <w:szCs w:val="22"/>
        </w:rPr>
        <w:t>,</w:t>
      </w:r>
    </w:p>
    <w:p w:rsidR="006D00D4" w:rsidRPr="006D00D4" w:rsidRDefault="006D00D4" w:rsidP="00A31D34">
      <w:pPr>
        <w:pStyle w:val="Odstavecseseznamem"/>
        <w:numPr>
          <w:ilvl w:val="0"/>
          <w:numId w:val="39"/>
        </w:numPr>
        <w:spacing w:before="240" w:after="100" w:afterAutospacing="1"/>
        <w:jc w:val="both"/>
        <w:rPr>
          <w:rFonts w:cstheme="minorHAnsi"/>
          <w:szCs w:val="22"/>
        </w:rPr>
      </w:pPr>
      <w:r w:rsidRPr="006D00D4">
        <w:rPr>
          <w:rFonts w:cstheme="minorHAnsi"/>
          <w:szCs w:val="22"/>
        </w:rPr>
        <w:t>Profesionalizace a rozvoj lidských zdrojů ve veřejné správě.</w:t>
      </w:r>
    </w:p>
    <w:p w:rsidR="006D00D4" w:rsidRPr="006D00D4" w:rsidRDefault="006D00D4" w:rsidP="006D00D4">
      <w:pPr>
        <w:spacing w:before="240" w:after="100" w:afterAutospacing="1"/>
        <w:jc w:val="both"/>
        <w:rPr>
          <w:rFonts w:asciiTheme="minorHAnsi" w:hAnsiTheme="minorHAnsi" w:cstheme="minorHAnsi"/>
          <w:sz w:val="22"/>
          <w:szCs w:val="22"/>
        </w:rPr>
      </w:pPr>
      <w:r w:rsidRPr="006D00D4">
        <w:rPr>
          <w:rFonts w:asciiTheme="minorHAnsi" w:hAnsiTheme="minorHAnsi" w:cstheme="minorHAnsi"/>
          <w:sz w:val="22"/>
          <w:szCs w:val="22"/>
        </w:rPr>
        <w:t xml:space="preserve">Každý ze strategických cílů v dokumentu nastiňuje rámcový popis opatření a aktivit k naplnění daného cíle. V návaznosti na tento schválený Strategický rámec rozvoje VS </w:t>
      </w:r>
      <w:r w:rsidR="002A1CA3">
        <w:rPr>
          <w:rFonts w:asciiTheme="minorHAnsi" w:hAnsiTheme="minorHAnsi" w:cstheme="minorHAnsi"/>
          <w:sz w:val="22"/>
          <w:szCs w:val="22"/>
        </w:rPr>
        <w:t xml:space="preserve">byly </w:t>
      </w:r>
      <w:r w:rsidRPr="006D00D4">
        <w:rPr>
          <w:rFonts w:asciiTheme="minorHAnsi" w:hAnsiTheme="minorHAnsi" w:cstheme="minorHAnsi"/>
          <w:sz w:val="22"/>
          <w:szCs w:val="22"/>
        </w:rPr>
        <w:t>Ministerstvem vnitra vypracovány detailní implementační plány, které jednotlivá opatření a aktivity konkretiz</w:t>
      </w:r>
      <w:r w:rsidR="002A1CA3">
        <w:rPr>
          <w:rFonts w:asciiTheme="minorHAnsi" w:hAnsiTheme="minorHAnsi" w:cstheme="minorHAnsi"/>
          <w:sz w:val="22"/>
          <w:szCs w:val="22"/>
        </w:rPr>
        <w:t>ují</w:t>
      </w:r>
      <w:r w:rsidRPr="006D00D4">
        <w:rPr>
          <w:rFonts w:asciiTheme="minorHAnsi" w:hAnsiTheme="minorHAnsi" w:cstheme="minorHAnsi"/>
          <w:sz w:val="22"/>
          <w:szCs w:val="22"/>
        </w:rPr>
        <w:t xml:space="preserve">. </w:t>
      </w:r>
      <w:r w:rsidR="002A1CA3">
        <w:rPr>
          <w:rFonts w:asciiTheme="minorHAnsi" w:hAnsiTheme="minorHAnsi" w:cstheme="minorHAnsi"/>
          <w:sz w:val="22"/>
          <w:szCs w:val="22"/>
        </w:rPr>
        <w:t xml:space="preserve">Implementační plány byly </w:t>
      </w:r>
      <w:r w:rsidR="002A1CA3" w:rsidRPr="006D00D4">
        <w:rPr>
          <w:rFonts w:asciiTheme="minorHAnsi" w:hAnsiTheme="minorHAnsi" w:cstheme="minorHAnsi"/>
          <w:sz w:val="22"/>
          <w:szCs w:val="22"/>
        </w:rPr>
        <w:t xml:space="preserve">vytvořeny pro každý strategický cíl (tj. celkem </w:t>
      </w:r>
      <w:r w:rsidR="002A1CA3">
        <w:rPr>
          <w:rFonts w:asciiTheme="minorHAnsi" w:hAnsiTheme="minorHAnsi" w:cstheme="minorHAnsi"/>
          <w:sz w:val="22"/>
          <w:szCs w:val="22"/>
        </w:rPr>
        <w:t xml:space="preserve">byly vytvořeny </w:t>
      </w:r>
      <w:r w:rsidR="002A1CA3" w:rsidRPr="006D00D4">
        <w:rPr>
          <w:rFonts w:asciiTheme="minorHAnsi" w:hAnsiTheme="minorHAnsi" w:cstheme="minorHAnsi"/>
          <w:sz w:val="22"/>
          <w:szCs w:val="22"/>
        </w:rPr>
        <w:t xml:space="preserve">čtyři), </w:t>
      </w:r>
      <w:r w:rsidR="002A1CA3">
        <w:rPr>
          <w:rFonts w:asciiTheme="minorHAnsi" w:hAnsiTheme="minorHAnsi" w:cstheme="minorHAnsi"/>
          <w:sz w:val="22"/>
          <w:szCs w:val="22"/>
        </w:rPr>
        <w:t xml:space="preserve">a to s následným dvouletým </w:t>
      </w:r>
      <w:r w:rsidR="002A1CA3" w:rsidRPr="006D00D4">
        <w:rPr>
          <w:rFonts w:asciiTheme="minorHAnsi" w:hAnsiTheme="minorHAnsi" w:cstheme="minorHAnsi"/>
          <w:sz w:val="22"/>
          <w:szCs w:val="22"/>
        </w:rPr>
        <w:t>hodnocen</w:t>
      </w:r>
      <w:r w:rsidR="002A1CA3">
        <w:rPr>
          <w:rFonts w:asciiTheme="minorHAnsi" w:hAnsiTheme="minorHAnsi" w:cstheme="minorHAnsi"/>
          <w:sz w:val="22"/>
          <w:szCs w:val="22"/>
        </w:rPr>
        <w:t>ím</w:t>
      </w:r>
      <w:r w:rsidR="002A1CA3" w:rsidRPr="006D00D4">
        <w:rPr>
          <w:rFonts w:asciiTheme="minorHAnsi" w:hAnsiTheme="minorHAnsi" w:cstheme="minorHAnsi"/>
          <w:sz w:val="22"/>
          <w:szCs w:val="22"/>
        </w:rPr>
        <w:t>.</w:t>
      </w:r>
      <w:r w:rsidR="002A1CA3">
        <w:rPr>
          <w:rFonts w:asciiTheme="minorHAnsi" w:hAnsiTheme="minorHAnsi" w:cstheme="minorHAnsi"/>
          <w:sz w:val="22"/>
          <w:szCs w:val="22"/>
        </w:rPr>
        <w:t xml:space="preserve"> </w:t>
      </w:r>
      <w:r w:rsidRPr="006D00D4">
        <w:rPr>
          <w:rFonts w:asciiTheme="minorHAnsi" w:hAnsiTheme="minorHAnsi" w:cstheme="minorHAnsi"/>
          <w:sz w:val="22"/>
          <w:szCs w:val="22"/>
        </w:rPr>
        <w:t xml:space="preserve">Tyto implementační plány </w:t>
      </w:r>
      <w:r w:rsidR="002A1CA3">
        <w:rPr>
          <w:rFonts w:asciiTheme="minorHAnsi" w:hAnsiTheme="minorHAnsi" w:cstheme="minorHAnsi"/>
          <w:sz w:val="22"/>
          <w:szCs w:val="22"/>
        </w:rPr>
        <w:t>byly schváleny usnesením vlády ČR č. 21 dne 14. ledna 2015.</w:t>
      </w:r>
      <w:r w:rsidRPr="006D00D4">
        <w:rPr>
          <w:rFonts w:asciiTheme="minorHAnsi" w:hAnsiTheme="minorHAnsi" w:cstheme="minorHAnsi"/>
          <w:sz w:val="22"/>
          <w:szCs w:val="22"/>
        </w:rPr>
        <w:t>b</w:t>
      </w:r>
    </w:p>
    <w:p w:rsidR="006D00D4" w:rsidRPr="006D00D4" w:rsidRDefault="006D00D4" w:rsidP="006D00D4">
      <w:pPr>
        <w:spacing w:before="240" w:after="100" w:afterAutospacing="1"/>
        <w:jc w:val="both"/>
        <w:rPr>
          <w:rFonts w:asciiTheme="minorHAnsi" w:hAnsiTheme="minorHAnsi" w:cstheme="minorHAnsi"/>
          <w:sz w:val="22"/>
          <w:szCs w:val="22"/>
          <w:u w:val="single"/>
        </w:rPr>
      </w:pPr>
      <w:r w:rsidRPr="006D00D4">
        <w:rPr>
          <w:rFonts w:asciiTheme="minorHAnsi" w:hAnsiTheme="minorHAnsi" w:cstheme="minorHAnsi"/>
          <w:sz w:val="22"/>
          <w:szCs w:val="22"/>
          <w:u w:val="single"/>
        </w:rPr>
        <w:t>Odkazy k Strategickému rámci rozvoje VS:</w:t>
      </w:r>
    </w:p>
    <w:p w:rsidR="006D00D4" w:rsidRPr="006D00D4" w:rsidRDefault="00400236" w:rsidP="00A31D34">
      <w:pPr>
        <w:pStyle w:val="Odstavecseseznamem"/>
        <w:numPr>
          <w:ilvl w:val="0"/>
          <w:numId w:val="36"/>
        </w:numPr>
        <w:spacing w:after="0" w:line="240" w:lineRule="auto"/>
        <w:jc w:val="both"/>
        <w:rPr>
          <w:rFonts w:cstheme="minorHAnsi"/>
          <w:szCs w:val="22"/>
        </w:rPr>
      </w:pPr>
      <w:hyperlink r:id="rId36" w:history="1">
        <w:r w:rsidR="006D00D4" w:rsidRPr="006D00D4">
          <w:rPr>
            <w:rStyle w:val="Hypertextovodkaz"/>
            <w:rFonts w:cstheme="minorHAnsi"/>
            <w:szCs w:val="22"/>
          </w:rPr>
          <w:t>http://www.mvcr.cz/odk2/clanek/odbor-verejne-spravy-dozoru-a-kontroly.aspx?q=Y2hudW09OQ%3d%3d</w:t>
        </w:r>
      </w:hyperlink>
    </w:p>
    <w:p w:rsidR="006D00D4" w:rsidRPr="006D00D4" w:rsidRDefault="006D00D4" w:rsidP="006D00D4">
      <w:pPr>
        <w:pStyle w:val="Odstavecseseznamem"/>
        <w:spacing w:after="0" w:line="240" w:lineRule="auto"/>
        <w:ind w:left="1146"/>
        <w:jc w:val="both"/>
        <w:rPr>
          <w:rFonts w:cstheme="minorHAnsi"/>
          <w:i/>
          <w:szCs w:val="22"/>
        </w:rPr>
      </w:pPr>
      <w:r w:rsidRPr="006D00D4">
        <w:rPr>
          <w:rFonts w:cstheme="minorHAnsi"/>
          <w:i/>
          <w:szCs w:val="22"/>
        </w:rPr>
        <w:t>(včetně dokumentů vztahujících se k Radě vlády pro veřejnou správu)</w:t>
      </w:r>
    </w:p>
    <w:p w:rsidR="006D00D4" w:rsidRPr="006D00D4" w:rsidRDefault="006D00D4" w:rsidP="006D00D4">
      <w:pPr>
        <w:jc w:val="both"/>
        <w:rPr>
          <w:rFonts w:asciiTheme="minorHAnsi" w:hAnsiTheme="minorHAnsi" w:cstheme="minorHAnsi"/>
          <w:sz w:val="22"/>
          <w:szCs w:val="22"/>
        </w:rPr>
      </w:pPr>
    </w:p>
    <w:p w:rsidR="006D00D4" w:rsidRPr="006D00D4" w:rsidRDefault="00400236" w:rsidP="00A31D34">
      <w:pPr>
        <w:pStyle w:val="Odstavecseseznamem"/>
        <w:numPr>
          <w:ilvl w:val="0"/>
          <w:numId w:val="36"/>
        </w:numPr>
        <w:spacing w:after="0" w:line="240" w:lineRule="auto"/>
        <w:jc w:val="both"/>
        <w:rPr>
          <w:rFonts w:cstheme="minorHAnsi"/>
          <w:szCs w:val="22"/>
        </w:rPr>
      </w:pPr>
      <w:hyperlink r:id="rId37" w:history="1">
        <w:r w:rsidR="006D00D4" w:rsidRPr="006D00D4">
          <w:rPr>
            <w:rStyle w:val="Hypertextovodkaz"/>
            <w:rFonts w:cstheme="minorHAnsi"/>
            <w:szCs w:val="22"/>
          </w:rPr>
          <w:t>http://databaze-strategie.cz/cz/mv/strategie/strategicky-ramec-rozvoje-verejne-spravy-ceske-republiky-pro-obdobi-2014-2020</w:t>
        </w:r>
      </w:hyperlink>
      <w:r w:rsidR="006D00D4" w:rsidRPr="006D00D4">
        <w:rPr>
          <w:rFonts w:cstheme="minorHAnsi"/>
          <w:szCs w:val="22"/>
        </w:rPr>
        <w:t xml:space="preserve"> </w:t>
      </w:r>
    </w:p>
    <w:p w:rsidR="006D00D4" w:rsidRPr="006D00D4" w:rsidRDefault="006D00D4" w:rsidP="006D00D4">
      <w:pPr>
        <w:jc w:val="both"/>
        <w:rPr>
          <w:rFonts w:asciiTheme="minorHAnsi" w:hAnsiTheme="minorHAnsi" w:cstheme="minorHAnsi"/>
          <w:sz w:val="22"/>
          <w:szCs w:val="22"/>
        </w:rPr>
      </w:pPr>
    </w:p>
    <w:p w:rsidR="006D00D4" w:rsidRDefault="006D00D4" w:rsidP="006D00D4">
      <w:pPr>
        <w:jc w:val="both"/>
        <w:rPr>
          <w:rFonts w:asciiTheme="minorHAnsi" w:hAnsiTheme="minorHAnsi" w:cstheme="minorHAnsi"/>
          <w:sz w:val="22"/>
          <w:szCs w:val="22"/>
          <w:u w:val="single"/>
        </w:rPr>
      </w:pPr>
      <w:r w:rsidRPr="006D00D4">
        <w:rPr>
          <w:rFonts w:asciiTheme="minorHAnsi" w:hAnsiTheme="minorHAnsi" w:cstheme="minorHAnsi"/>
          <w:sz w:val="22"/>
          <w:szCs w:val="22"/>
          <w:u w:val="single"/>
        </w:rPr>
        <w:t>Odkaz na implementační plán k strategickému cíli č. 3:</w:t>
      </w:r>
    </w:p>
    <w:p w:rsidR="00BB7131" w:rsidRPr="00A31D34" w:rsidRDefault="00400236" w:rsidP="00A31D34">
      <w:pPr>
        <w:pStyle w:val="Odstavecseseznamem"/>
        <w:numPr>
          <w:ilvl w:val="0"/>
          <w:numId w:val="36"/>
        </w:numPr>
        <w:jc w:val="both"/>
        <w:rPr>
          <w:rFonts w:cstheme="minorHAnsi"/>
          <w:i/>
          <w:szCs w:val="22"/>
        </w:rPr>
      </w:pPr>
      <w:hyperlink r:id="rId38" w:history="1">
        <w:r w:rsidR="002A1CA3" w:rsidRPr="00A31D34">
          <w:rPr>
            <w:rStyle w:val="Hypertextovodkaz"/>
            <w:rFonts w:cstheme="minorHAnsi"/>
            <w:szCs w:val="22"/>
          </w:rPr>
          <w:t>http://www.mvcr.cz/odk2/clanek/odbor-verejne-spravy-dozoru-a-kontroly.aspx?q=Y2hudW09OQ%3d%3d</w:t>
        </w:r>
      </w:hyperlink>
    </w:p>
    <w:p w:rsidR="00A31D34" w:rsidRPr="00A31D34" w:rsidRDefault="00A31D34" w:rsidP="00A31D34">
      <w:pPr>
        <w:pStyle w:val="Odstavecseseznamem"/>
        <w:ind w:left="1146"/>
        <w:jc w:val="both"/>
        <w:rPr>
          <w:rFonts w:cstheme="minorHAnsi"/>
          <w:i/>
          <w:szCs w:val="22"/>
        </w:rPr>
      </w:pPr>
    </w:p>
    <w:p w:rsidR="00BB7131" w:rsidRPr="00BB7131" w:rsidRDefault="00BB7131" w:rsidP="00BB7131">
      <w:pPr>
        <w:jc w:val="both"/>
        <w:rPr>
          <w:rFonts w:asciiTheme="minorHAnsi" w:hAnsiTheme="minorHAnsi" w:cstheme="minorHAnsi"/>
          <w:sz w:val="22"/>
          <w:szCs w:val="22"/>
        </w:rPr>
      </w:pPr>
      <w:r w:rsidRPr="00BB7131">
        <w:rPr>
          <w:rFonts w:asciiTheme="minorHAnsi" w:hAnsiTheme="minorHAnsi" w:cstheme="minorHAnsi"/>
          <w:b/>
          <w:sz w:val="22"/>
          <w:szCs w:val="22"/>
        </w:rPr>
        <w:t>Národní výzkumná a inovační strategie pro inteligentní specializaci České republiky</w:t>
      </w:r>
      <w:r w:rsidRPr="00BB7131">
        <w:rPr>
          <w:rFonts w:asciiTheme="minorHAnsi" w:hAnsiTheme="minorHAnsi" w:cstheme="minorHAnsi"/>
          <w:sz w:val="22"/>
          <w:szCs w:val="22"/>
        </w:rPr>
        <w:t xml:space="preserve"> (Národní RIS3 strategie)</w:t>
      </w:r>
    </w:p>
    <w:p w:rsidR="00BB7131" w:rsidRPr="00BB7131" w:rsidRDefault="00BB7131" w:rsidP="006739AC">
      <w:pPr>
        <w:jc w:val="both"/>
        <w:rPr>
          <w:rFonts w:asciiTheme="minorHAnsi" w:hAnsiTheme="minorHAnsi" w:cstheme="minorHAnsi"/>
          <w:sz w:val="22"/>
          <w:szCs w:val="22"/>
        </w:rPr>
      </w:pPr>
    </w:p>
    <w:p w:rsidR="00BB7131" w:rsidRPr="006739AC" w:rsidRDefault="00BB7131" w:rsidP="006739AC">
      <w:pPr>
        <w:jc w:val="both"/>
        <w:rPr>
          <w:rFonts w:asciiTheme="minorHAnsi" w:hAnsiTheme="minorHAnsi" w:cstheme="minorHAnsi"/>
          <w:color w:val="303030"/>
          <w:sz w:val="22"/>
          <w:szCs w:val="22"/>
        </w:rPr>
      </w:pPr>
      <w:r w:rsidRPr="006739AC">
        <w:rPr>
          <w:rFonts w:asciiTheme="minorHAnsi" w:hAnsiTheme="minorHAnsi" w:cstheme="minorHAnsi"/>
          <w:sz w:val="22"/>
          <w:szCs w:val="22"/>
        </w:rPr>
        <w:t xml:space="preserve">Schválena </w:t>
      </w:r>
      <w:r w:rsidRPr="006739AC">
        <w:rPr>
          <w:rFonts w:asciiTheme="minorHAnsi" w:hAnsiTheme="minorHAnsi" w:cstheme="minorHAnsi"/>
          <w:color w:val="303030"/>
          <w:sz w:val="22"/>
          <w:szCs w:val="22"/>
        </w:rPr>
        <w:t>8.12.2014 (Usnesení vlády č. 1028/2014) a řízením implementace byl pověřen místopředseda vlády pro vědu, výzkum a inovace.</w:t>
      </w:r>
    </w:p>
    <w:p w:rsidR="00BB7131" w:rsidRPr="006739AC" w:rsidRDefault="00BB7131" w:rsidP="006739AC">
      <w:pPr>
        <w:jc w:val="both"/>
        <w:rPr>
          <w:rFonts w:asciiTheme="minorHAnsi" w:hAnsiTheme="minorHAnsi" w:cstheme="minorHAnsi"/>
          <w:color w:val="303030"/>
          <w:sz w:val="22"/>
          <w:szCs w:val="22"/>
        </w:rPr>
      </w:pPr>
    </w:p>
    <w:p w:rsidR="00BB7131" w:rsidRPr="006739AC" w:rsidRDefault="00400236" w:rsidP="006739AC">
      <w:pPr>
        <w:jc w:val="both"/>
        <w:rPr>
          <w:rFonts w:asciiTheme="minorHAnsi" w:hAnsiTheme="minorHAnsi" w:cstheme="minorHAnsi"/>
          <w:color w:val="303030"/>
          <w:sz w:val="22"/>
          <w:szCs w:val="22"/>
        </w:rPr>
      </w:pPr>
      <w:hyperlink r:id="rId39" w:history="1">
        <w:r w:rsidR="00BB7131" w:rsidRPr="006739AC">
          <w:rPr>
            <w:rStyle w:val="Hypertextovodkaz"/>
            <w:rFonts w:asciiTheme="minorHAnsi" w:hAnsiTheme="minorHAnsi" w:cstheme="minorHAnsi"/>
            <w:sz w:val="22"/>
            <w:szCs w:val="22"/>
          </w:rPr>
          <w:t>http://www.msmt.cz/uploads/OP_VVV/Narodni_RIS3_strategie_schvalena_vladou_8._12._2014.pdf</w:t>
        </w:r>
      </w:hyperlink>
    </w:p>
    <w:p w:rsidR="00BB7131" w:rsidRPr="006739AC" w:rsidRDefault="00BB7131" w:rsidP="006739AC">
      <w:pPr>
        <w:jc w:val="both"/>
        <w:rPr>
          <w:rFonts w:asciiTheme="minorHAnsi" w:hAnsiTheme="minorHAnsi" w:cstheme="minorHAnsi"/>
          <w:color w:val="303030"/>
          <w:sz w:val="22"/>
          <w:szCs w:val="22"/>
        </w:rPr>
      </w:pPr>
    </w:p>
    <w:p w:rsidR="00BB7131" w:rsidRPr="006739AC" w:rsidRDefault="00BB7131" w:rsidP="006739AC">
      <w:pPr>
        <w:jc w:val="both"/>
        <w:rPr>
          <w:rFonts w:asciiTheme="minorHAnsi" w:hAnsiTheme="minorHAnsi" w:cstheme="minorHAnsi"/>
          <w:color w:val="303030"/>
          <w:sz w:val="22"/>
          <w:szCs w:val="22"/>
        </w:rPr>
      </w:pPr>
      <w:r w:rsidRPr="006739AC">
        <w:rPr>
          <w:rFonts w:asciiTheme="minorHAnsi" w:hAnsiTheme="minorHAnsi" w:cstheme="minorHAnsi"/>
          <w:color w:val="303030"/>
          <w:sz w:val="22"/>
          <w:szCs w:val="22"/>
        </w:rPr>
        <w:t>Jedna z pěti klíčových oblastí změn (str. 130 – 135):</w:t>
      </w:r>
    </w:p>
    <w:p w:rsidR="00BB7131" w:rsidRPr="006739AC" w:rsidRDefault="00BB7131" w:rsidP="006739AC">
      <w:pPr>
        <w:jc w:val="both"/>
        <w:rPr>
          <w:rFonts w:asciiTheme="minorHAnsi" w:hAnsiTheme="minorHAnsi" w:cstheme="minorHAnsi"/>
          <w:color w:val="303030"/>
          <w:sz w:val="22"/>
          <w:szCs w:val="22"/>
        </w:rPr>
      </w:pPr>
      <w:r w:rsidRPr="006739AC">
        <w:rPr>
          <w:rFonts w:asciiTheme="minorHAnsi" w:hAnsiTheme="minorHAnsi" w:cstheme="minorHAnsi"/>
          <w:color w:val="303030"/>
          <w:sz w:val="22"/>
          <w:szCs w:val="22"/>
        </w:rPr>
        <w:t>E Informační a komunikační technologie – digitální agenda</w:t>
      </w:r>
    </w:p>
    <w:p w:rsidR="00BB7131" w:rsidRPr="006739AC" w:rsidRDefault="00BB7131" w:rsidP="006739AC">
      <w:pPr>
        <w:ind w:left="786"/>
        <w:jc w:val="both"/>
        <w:rPr>
          <w:rFonts w:asciiTheme="minorHAnsi" w:hAnsiTheme="minorHAnsi" w:cstheme="minorHAnsi"/>
          <w:color w:val="303030"/>
          <w:sz w:val="22"/>
          <w:szCs w:val="22"/>
        </w:rPr>
      </w:pPr>
    </w:p>
    <w:p w:rsidR="00BB7131" w:rsidRPr="006739AC" w:rsidRDefault="00BB7131" w:rsidP="006739AC">
      <w:pPr>
        <w:jc w:val="both"/>
        <w:rPr>
          <w:rFonts w:asciiTheme="minorHAnsi" w:hAnsiTheme="minorHAnsi" w:cstheme="minorHAnsi"/>
          <w:color w:val="303030"/>
          <w:sz w:val="22"/>
          <w:szCs w:val="22"/>
        </w:rPr>
      </w:pPr>
      <w:r w:rsidRPr="006739AC">
        <w:rPr>
          <w:rFonts w:asciiTheme="minorHAnsi" w:hAnsiTheme="minorHAnsi" w:cstheme="minorHAnsi"/>
          <w:color w:val="303030"/>
          <w:sz w:val="22"/>
          <w:szCs w:val="22"/>
        </w:rPr>
        <w:t xml:space="preserve">Strategické cíle v klíčové oblasti změn E: </w:t>
      </w:r>
    </w:p>
    <w:p w:rsidR="00BB7131" w:rsidRPr="006739AC" w:rsidRDefault="00BB7131" w:rsidP="006739AC">
      <w:pPr>
        <w:ind w:left="786"/>
        <w:jc w:val="both"/>
        <w:rPr>
          <w:rFonts w:asciiTheme="minorHAnsi" w:hAnsiTheme="minorHAnsi" w:cstheme="minorHAnsi"/>
          <w:color w:val="303030"/>
          <w:sz w:val="22"/>
          <w:szCs w:val="22"/>
        </w:rPr>
      </w:pPr>
      <w:r w:rsidRPr="006739AC">
        <w:rPr>
          <w:rFonts w:asciiTheme="minorHAnsi" w:hAnsiTheme="minorHAnsi" w:cstheme="minorHAnsi"/>
          <w:color w:val="303030"/>
          <w:sz w:val="22"/>
          <w:szCs w:val="22"/>
        </w:rPr>
        <w:t xml:space="preserve">E.1: Rozvoj </w:t>
      </w:r>
      <w:proofErr w:type="spellStart"/>
      <w:r w:rsidRPr="006739AC">
        <w:rPr>
          <w:rFonts w:asciiTheme="minorHAnsi" w:hAnsiTheme="minorHAnsi" w:cstheme="minorHAnsi"/>
          <w:color w:val="303030"/>
          <w:sz w:val="22"/>
          <w:szCs w:val="22"/>
        </w:rPr>
        <w:t>eGovernmentu</w:t>
      </w:r>
      <w:proofErr w:type="spellEnd"/>
      <w:r w:rsidRPr="006739AC">
        <w:rPr>
          <w:rFonts w:asciiTheme="minorHAnsi" w:hAnsiTheme="minorHAnsi" w:cstheme="minorHAnsi"/>
          <w:color w:val="303030"/>
          <w:sz w:val="22"/>
          <w:szCs w:val="22"/>
        </w:rPr>
        <w:t xml:space="preserve"> </w:t>
      </w:r>
    </w:p>
    <w:p w:rsidR="00BB7131" w:rsidRPr="006739AC" w:rsidRDefault="00BB7131" w:rsidP="006739AC">
      <w:pPr>
        <w:ind w:left="786"/>
        <w:jc w:val="both"/>
        <w:rPr>
          <w:rFonts w:asciiTheme="minorHAnsi" w:hAnsiTheme="minorHAnsi" w:cstheme="minorHAnsi"/>
          <w:color w:val="303030"/>
          <w:sz w:val="22"/>
          <w:szCs w:val="22"/>
        </w:rPr>
      </w:pPr>
      <w:r w:rsidRPr="006739AC">
        <w:rPr>
          <w:rFonts w:asciiTheme="minorHAnsi" w:hAnsiTheme="minorHAnsi" w:cstheme="minorHAnsi"/>
          <w:color w:val="303030"/>
          <w:sz w:val="22"/>
          <w:szCs w:val="22"/>
        </w:rPr>
        <w:t xml:space="preserve">E.2: Rozvoj </w:t>
      </w:r>
      <w:proofErr w:type="spellStart"/>
      <w:r w:rsidRPr="006739AC">
        <w:rPr>
          <w:rFonts w:asciiTheme="minorHAnsi" w:hAnsiTheme="minorHAnsi" w:cstheme="minorHAnsi"/>
          <w:color w:val="303030"/>
          <w:sz w:val="22"/>
          <w:szCs w:val="22"/>
        </w:rPr>
        <w:t>eBusinessu</w:t>
      </w:r>
      <w:proofErr w:type="spellEnd"/>
      <w:r w:rsidRPr="006739AC">
        <w:rPr>
          <w:rFonts w:asciiTheme="minorHAnsi" w:hAnsiTheme="minorHAnsi" w:cstheme="minorHAnsi"/>
          <w:color w:val="303030"/>
          <w:sz w:val="22"/>
          <w:szCs w:val="22"/>
        </w:rPr>
        <w:t xml:space="preserve"> a ICT v podnikání</w:t>
      </w:r>
    </w:p>
    <w:p w:rsidR="00BB7131" w:rsidRPr="006739AC" w:rsidRDefault="00BB7131" w:rsidP="006739AC">
      <w:pPr>
        <w:ind w:left="786"/>
        <w:jc w:val="both"/>
        <w:rPr>
          <w:rFonts w:asciiTheme="minorHAnsi" w:hAnsiTheme="minorHAnsi" w:cstheme="minorHAnsi"/>
          <w:color w:val="303030"/>
          <w:sz w:val="22"/>
          <w:szCs w:val="22"/>
        </w:rPr>
      </w:pPr>
      <w:r w:rsidRPr="006739AC">
        <w:rPr>
          <w:rFonts w:asciiTheme="minorHAnsi" w:hAnsiTheme="minorHAnsi" w:cstheme="minorHAnsi"/>
          <w:color w:val="303030"/>
          <w:sz w:val="22"/>
          <w:szCs w:val="22"/>
        </w:rPr>
        <w:t>E.3: Rozvoj Infrastruktury v ICT</w:t>
      </w:r>
    </w:p>
    <w:p w:rsidR="00BB7131" w:rsidRPr="006739AC" w:rsidRDefault="00BB7131" w:rsidP="006739AC">
      <w:pPr>
        <w:ind w:left="786"/>
        <w:jc w:val="both"/>
        <w:rPr>
          <w:rFonts w:asciiTheme="minorHAnsi" w:hAnsiTheme="minorHAnsi" w:cstheme="minorHAnsi"/>
          <w:color w:val="303030"/>
          <w:sz w:val="22"/>
          <w:szCs w:val="22"/>
        </w:rPr>
      </w:pPr>
    </w:p>
    <w:p w:rsidR="00BB7131" w:rsidRPr="006739AC" w:rsidRDefault="00BB7131" w:rsidP="006739AC">
      <w:pPr>
        <w:jc w:val="both"/>
        <w:rPr>
          <w:rFonts w:asciiTheme="minorHAnsi" w:hAnsiTheme="minorHAnsi" w:cstheme="minorHAnsi"/>
          <w:color w:val="303030"/>
          <w:sz w:val="22"/>
          <w:szCs w:val="22"/>
        </w:rPr>
      </w:pPr>
      <w:r w:rsidRPr="006739AC">
        <w:rPr>
          <w:rFonts w:asciiTheme="minorHAnsi" w:hAnsiTheme="minorHAnsi" w:cstheme="minorHAnsi"/>
          <w:color w:val="303030"/>
          <w:sz w:val="22"/>
          <w:szCs w:val="22"/>
        </w:rPr>
        <w:t xml:space="preserve">Indikátory strategických cílů/klíčové oblasti změn: </w:t>
      </w:r>
    </w:p>
    <w:p w:rsidR="00BB7131" w:rsidRPr="006739AC" w:rsidRDefault="00BB7131" w:rsidP="006739AC">
      <w:pPr>
        <w:ind w:left="786"/>
        <w:jc w:val="both"/>
        <w:rPr>
          <w:rFonts w:asciiTheme="minorHAnsi" w:hAnsiTheme="minorHAnsi" w:cstheme="minorHAnsi"/>
          <w:color w:val="303030"/>
          <w:sz w:val="22"/>
          <w:szCs w:val="22"/>
        </w:rPr>
      </w:pPr>
      <w:r w:rsidRPr="006739AC">
        <w:rPr>
          <w:rFonts w:asciiTheme="minorHAnsi" w:hAnsiTheme="minorHAnsi" w:cstheme="minorHAnsi"/>
          <w:sz w:val="22"/>
          <w:szCs w:val="22"/>
        </w:rPr>
        <w:sym w:font="Symbol" w:char="F0B7"/>
      </w:r>
      <w:r w:rsidRPr="006739AC">
        <w:rPr>
          <w:rFonts w:asciiTheme="minorHAnsi" w:hAnsiTheme="minorHAnsi" w:cstheme="minorHAnsi"/>
          <w:color w:val="303030"/>
          <w:sz w:val="22"/>
          <w:szCs w:val="22"/>
        </w:rPr>
        <w:t xml:space="preserve"> 100 % úřadů veřejné správy ORP a výše (kraje, ministerstva, FÚ, katastrální úřady, atd.) nabízí 20 nejčastěji využívaných služeb občanům a 20 nejčastěji využívaných služeb podnikatelům v plnohodnotné elektronické formě do roku 2020.</w:t>
      </w:r>
    </w:p>
    <w:p w:rsidR="00BB7131" w:rsidRPr="006739AC" w:rsidRDefault="00BB7131" w:rsidP="006739AC">
      <w:pPr>
        <w:ind w:left="786"/>
        <w:jc w:val="both"/>
        <w:rPr>
          <w:rFonts w:asciiTheme="minorHAnsi" w:hAnsiTheme="minorHAnsi" w:cstheme="minorHAnsi"/>
          <w:color w:val="303030"/>
          <w:sz w:val="22"/>
          <w:szCs w:val="22"/>
        </w:rPr>
      </w:pPr>
      <w:r w:rsidRPr="006739AC">
        <w:rPr>
          <w:rFonts w:asciiTheme="minorHAnsi" w:hAnsiTheme="minorHAnsi" w:cstheme="minorHAnsi"/>
          <w:sz w:val="22"/>
          <w:szCs w:val="22"/>
        </w:rPr>
        <w:sym w:font="Symbol" w:char="F0B7"/>
      </w:r>
      <w:r w:rsidRPr="006739AC">
        <w:rPr>
          <w:rFonts w:asciiTheme="minorHAnsi" w:hAnsiTheme="minorHAnsi" w:cstheme="minorHAnsi"/>
          <w:color w:val="303030"/>
          <w:sz w:val="22"/>
          <w:szCs w:val="22"/>
        </w:rPr>
        <w:t xml:space="preserve"> více než 70 % obyvatel prokáže střední počítačové dovednosti do roku 2020 </w:t>
      </w:r>
    </w:p>
    <w:p w:rsidR="00BB7131" w:rsidRPr="006739AC" w:rsidRDefault="00BB7131" w:rsidP="006739AC">
      <w:pPr>
        <w:ind w:left="786"/>
        <w:jc w:val="both"/>
        <w:rPr>
          <w:rFonts w:asciiTheme="minorHAnsi" w:hAnsiTheme="minorHAnsi" w:cstheme="minorHAnsi"/>
          <w:color w:val="303030"/>
          <w:sz w:val="22"/>
          <w:szCs w:val="22"/>
        </w:rPr>
      </w:pPr>
      <w:r w:rsidRPr="006739AC">
        <w:rPr>
          <w:rFonts w:asciiTheme="minorHAnsi" w:hAnsiTheme="minorHAnsi" w:cstheme="minorHAnsi"/>
          <w:sz w:val="22"/>
          <w:szCs w:val="22"/>
        </w:rPr>
        <w:sym w:font="Symbol" w:char="F0B7"/>
      </w:r>
      <w:r w:rsidRPr="006739AC">
        <w:rPr>
          <w:rFonts w:asciiTheme="minorHAnsi" w:hAnsiTheme="minorHAnsi" w:cstheme="minorHAnsi"/>
          <w:color w:val="303030"/>
          <w:sz w:val="22"/>
          <w:szCs w:val="22"/>
        </w:rPr>
        <w:t xml:space="preserve"> více než 70 % domácnostní v periferních oblastech bude obslouženo kvalitním internetovým připojením </w:t>
      </w:r>
    </w:p>
    <w:p w:rsidR="00BB7131" w:rsidRPr="006739AC" w:rsidRDefault="00BB7131" w:rsidP="006739AC">
      <w:pPr>
        <w:ind w:left="786"/>
        <w:jc w:val="both"/>
        <w:rPr>
          <w:rFonts w:asciiTheme="minorHAnsi" w:hAnsiTheme="minorHAnsi" w:cstheme="minorHAnsi"/>
          <w:color w:val="303030"/>
          <w:sz w:val="22"/>
          <w:szCs w:val="22"/>
        </w:rPr>
      </w:pPr>
      <w:r w:rsidRPr="006739AC">
        <w:rPr>
          <w:rFonts w:asciiTheme="minorHAnsi" w:hAnsiTheme="minorHAnsi" w:cstheme="minorHAnsi"/>
          <w:sz w:val="22"/>
          <w:szCs w:val="22"/>
        </w:rPr>
        <w:sym w:font="Symbol" w:char="F0B7"/>
      </w:r>
      <w:r w:rsidRPr="006739AC">
        <w:rPr>
          <w:rFonts w:asciiTheme="minorHAnsi" w:hAnsiTheme="minorHAnsi" w:cstheme="minorHAnsi"/>
          <w:color w:val="303030"/>
          <w:sz w:val="22"/>
          <w:szCs w:val="22"/>
        </w:rPr>
        <w:t xml:space="preserve"> více než 70% obyvatel využije minimálně jednou ročně pro komunikaci s veřejnou správou služby </w:t>
      </w:r>
      <w:proofErr w:type="spellStart"/>
      <w:r w:rsidRPr="006739AC">
        <w:rPr>
          <w:rFonts w:asciiTheme="minorHAnsi" w:hAnsiTheme="minorHAnsi" w:cstheme="minorHAnsi"/>
          <w:color w:val="303030"/>
          <w:sz w:val="22"/>
          <w:szCs w:val="22"/>
        </w:rPr>
        <w:t>eGovernmentu</w:t>
      </w:r>
      <w:proofErr w:type="spellEnd"/>
      <w:r w:rsidRPr="006739AC">
        <w:rPr>
          <w:rFonts w:asciiTheme="minorHAnsi" w:hAnsiTheme="minorHAnsi" w:cstheme="minorHAnsi"/>
          <w:color w:val="303030"/>
          <w:sz w:val="22"/>
          <w:szCs w:val="22"/>
        </w:rPr>
        <w:t>.</w:t>
      </w:r>
    </w:p>
    <w:p w:rsidR="00CE565C" w:rsidRPr="00CE565C" w:rsidRDefault="00CE565C" w:rsidP="006739AC">
      <w:pPr>
        <w:rPr>
          <w:rFonts w:cstheme="minorHAnsi"/>
          <w:i/>
          <w:szCs w:val="22"/>
        </w:rPr>
      </w:pPr>
    </w:p>
    <w:p w:rsidR="006D00D4" w:rsidRPr="006D00D4" w:rsidRDefault="006E55C0" w:rsidP="006D00D4">
      <w:pPr>
        <w:jc w:val="both"/>
        <w:rPr>
          <w:rFonts w:asciiTheme="minorHAnsi" w:hAnsiTheme="minorHAnsi" w:cstheme="minorHAnsi"/>
          <w:sz w:val="22"/>
          <w:szCs w:val="22"/>
        </w:rPr>
      </w:pPr>
      <w:r w:rsidRPr="008028A0">
        <w:rPr>
          <w:rFonts w:asciiTheme="minorHAnsi" w:hAnsiTheme="minorHAnsi" w:cstheme="minorHAnsi"/>
          <w:b/>
          <w:sz w:val="22"/>
          <w:szCs w:val="22"/>
        </w:rPr>
        <w:t xml:space="preserve">„Strategie digitální gramotnosti ČR na období 2015 – 2020“ </w:t>
      </w:r>
      <w:r w:rsidRPr="006E55C0">
        <w:rPr>
          <w:rFonts w:asciiTheme="minorHAnsi" w:hAnsiTheme="minorHAnsi" w:cstheme="minorHAnsi"/>
          <w:sz w:val="22"/>
          <w:szCs w:val="22"/>
        </w:rPr>
        <w:t>(dříve uváděno jako „</w:t>
      </w:r>
      <w:r w:rsidR="006D00D4" w:rsidRPr="006D00D4">
        <w:rPr>
          <w:rFonts w:asciiTheme="minorHAnsi" w:hAnsiTheme="minorHAnsi" w:cstheme="minorHAnsi"/>
          <w:b/>
          <w:sz w:val="22"/>
          <w:szCs w:val="22"/>
        </w:rPr>
        <w:t>Strategie pro zvýšení digitální gramotnosti a rozvoj elektronických dovedností občanů</w:t>
      </w:r>
      <w:r>
        <w:rPr>
          <w:rFonts w:asciiTheme="minorHAnsi" w:hAnsiTheme="minorHAnsi" w:cstheme="minorHAnsi"/>
          <w:b/>
          <w:sz w:val="22"/>
          <w:szCs w:val="22"/>
        </w:rPr>
        <w:t>)</w:t>
      </w:r>
      <w:r w:rsidR="006D00D4" w:rsidRPr="006D00D4">
        <w:rPr>
          <w:rFonts w:asciiTheme="minorHAnsi" w:hAnsiTheme="minorHAnsi" w:cstheme="minorHAnsi"/>
          <w:sz w:val="22"/>
          <w:szCs w:val="22"/>
        </w:rPr>
        <w:t xml:space="preserve"> </w:t>
      </w:r>
    </w:p>
    <w:p w:rsidR="006D00D4" w:rsidRDefault="006D00D4" w:rsidP="006D00D4">
      <w:pPr>
        <w:jc w:val="both"/>
        <w:rPr>
          <w:rFonts w:asciiTheme="minorHAnsi" w:hAnsiTheme="minorHAnsi" w:cstheme="minorHAnsi"/>
          <w:sz w:val="22"/>
          <w:szCs w:val="22"/>
        </w:rPr>
      </w:pPr>
      <w:r w:rsidRPr="006D00D4">
        <w:rPr>
          <w:rFonts w:asciiTheme="minorHAnsi" w:hAnsiTheme="minorHAnsi" w:cstheme="minorHAnsi"/>
          <w:sz w:val="22"/>
          <w:szCs w:val="22"/>
        </w:rPr>
        <w:t xml:space="preserve">Gesce: MPSV, </w:t>
      </w:r>
      <w:proofErr w:type="spellStart"/>
      <w:r w:rsidRPr="006D00D4">
        <w:rPr>
          <w:rFonts w:asciiTheme="minorHAnsi" w:hAnsiTheme="minorHAnsi" w:cstheme="minorHAnsi"/>
          <w:sz w:val="22"/>
          <w:szCs w:val="22"/>
        </w:rPr>
        <w:t>spolugesce</w:t>
      </w:r>
      <w:proofErr w:type="spellEnd"/>
      <w:r w:rsidRPr="006D00D4">
        <w:rPr>
          <w:rFonts w:asciiTheme="minorHAnsi" w:hAnsiTheme="minorHAnsi" w:cstheme="minorHAnsi"/>
          <w:sz w:val="22"/>
          <w:szCs w:val="22"/>
        </w:rPr>
        <w:t xml:space="preserve"> MŠMT</w:t>
      </w:r>
    </w:p>
    <w:p w:rsidR="006E55C0" w:rsidRDefault="006E55C0" w:rsidP="006D00D4">
      <w:pPr>
        <w:jc w:val="both"/>
        <w:rPr>
          <w:rFonts w:asciiTheme="minorHAnsi" w:hAnsiTheme="minorHAnsi" w:cstheme="minorHAnsi"/>
          <w:sz w:val="22"/>
          <w:szCs w:val="22"/>
        </w:rPr>
      </w:pPr>
    </w:p>
    <w:p w:rsidR="006E55C0" w:rsidRPr="00CC0E7C" w:rsidRDefault="006E55C0" w:rsidP="006E55C0">
      <w:pPr>
        <w:spacing w:after="120"/>
        <w:jc w:val="both"/>
        <w:rPr>
          <w:rFonts w:asciiTheme="minorHAnsi" w:hAnsiTheme="minorHAnsi" w:cstheme="minorHAnsi"/>
          <w:sz w:val="22"/>
          <w:szCs w:val="22"/>
        </w:rPr>
      </w:pPr>
      <w:r w:rsidRPr="00ED3B73">
        <w:rPr>
          <w:rFonts w:asciiTheme="minorHAnsi" w:hAnsiTheme="minorHAnsi" w:cstheme="minorHAnsi"/>
          <w:sz w:val="22"/>
          <w:szCs w:val="22"/>
        </w:rPr>
        <w:t xml:space="preserve">Strategie se zaměřuje na oblast </w:t>
      </w:r>
      <w:r w:rsidRPr="00ED3B73">
        <w:rPr>
          <w:rFonts w:asciiTheme="minorHAnsi" w:hAnsiTheme="minorHAnsi" w:cstheme="minorHAnsi"/>
          <w:b/>
          <w:sz w:val="22"/>
          <w:szCs w:val="22"/>
        </w:rPr>
        <w:t>dalšího vzdělávání</w:t>
      </w:r>
      <w:r w:rsidRPr="00ED3B73">
        <w:rPr>
          <w:rFonts w:asciiTheme="minorHAnsi" w:hAnsiTheme="minorHAnsi" w:cstheme="minorHAnsi"/>
          <w:sz w:val="22"/>
          <w:szCs w:val="22"/>
        </w:rPr>
        <w:t xml:space="preserve">. </w:t>
      </w:r>
    </w:p>
    <w:p w:rsidR="006E55C0" w:rsidRPr="00ED3B73" w:rsidRDefault="006E55C0" w:rsidP="006E55C0">
      <w:pPr>
        <w:spacing w:after="120"/>
        <w:jc w:val="both"/>
        <w:rPr>
          <w:rFonts w:asciiTheme="minorHAnsi" w:hAnsiTheme="minorHAnsi" w:cstheme="minorHAnsi"/>
          <w:b/>
          <w:sz w:val="22"/>
          <w:szCs w:val="22"/>
        </w:rPr>
      </w:pPr>
      <w:r w:rsidRPr="00ED3B73">
        <w:rPr>
          <w:rFonts w:asciiTheme="minorHAnsi" w:hAnsiTheme="minorHAnsi" w:cstheme="minorHAnsi"/>
          <w:sz w:val="22"/>
          <w:szCs w:val="22"/>
        </w:rPr>
        <w:t>Navazuje na Strategii digitálního vzdělávání do roku 2020 (gesce MŠMT) schválenou 12.11.2014 vládou ČR (usnesení vlády č. 927/2014), která popisuje situaci a strategii v počátečním vzdělávání.</w:t>
      </w:r>
      <w:r w:rsidRPr="00ED3B73">
        <w:rPr>
          <w:rFonts w:asciiTheme="minorHAnsi" w:hAnsiTheme="minorHAnsi" w:cstheme="minorHAnsi"/>
          <w:b/>
          <w:sz w:val="22"/>
          <w:szCs w:val="22"/>
        </w:rPr>
        <w:t xml:space="preserve"> </w:t>
      </w:r>
    </w:p>
    <w:p w:rsidR="006E55C0" w:rsidRPr="00ED3B73" w:rsidRDefault="006E55C0" w:rsidP="006E55C0">
      <w:pPr>
        <w:pStyle w:val="Normlnweb"/>
        <w:spacing w:before="0" w:after="0"/>
        <w:rPr>
          <w:rFonts w:asciiTheme="minorHAnsi" w:hAnsiTheme="minorHAnsi" w:cstheme="minorHAnsi"/>
          <w:b/>
          <w:color w:val="4C4C4C"/>
          <w:sz w:val="22"/>
          <w:szCs w:val="22"/>
        </w:rPr>
      </w:pPr>
      <w:r w:rsidRPr="00ED3B73">
        <w:rPr>
          <w:rStyle w:val="Siln"/>
          <w:rFonts w:asciiTheme="minorHAnsi" w:hAnsiTheme="minorHAnsi" w:cstheme="minorHAnsi"/>
          <w:color w:val="4C4C4C"/>
          <w:sz w:val="22"/>
          <w:szCs w:val="22"/>
        </w:rPr>
        <w:t>Cílem Strategie digitálního vzdělávání je sedm hlavních oblastí zaměřených na počáteční vzdělávání:</w:t>
      </w:r>
    </w:p>
    <w:p w:rsidR="006E55C0" w:rsidRPr="00ED3B73" w:rsidRDefault="006E55C0" w:rsidP="006E55C0">
      <w:pPr>
        <w:pStyle w:val="Normlnweb"/>
        <w:spacing w:before="0" w:after="0"/>
        <w:rPr>
          <w:rFonts w:asciiTheme="minorHAnsi" w:hAnsiTheme="minorHAnsi" w:cstheme="minorHAnsi"/>
          <w:color w:val="4C4C4C"/>
          <w:sz w:val="22"/>
          <w:szCs w:val="22"/>
        </w:rPr>
      </w:pPr>
      <w:r w:rsidRPr="00ED3B73">
        <w:rPr>
          <w:rFonts w:asciiTheme="minorHAnsi" w:hAnsiTheme="minorHAnsi" w:cstheme="minorHAnsi"/>
          <w:color w:val="4C4C4C"/>
          <w:sz w:val="22"/>
          <w:szCs w:val="22"/>
        </w:rPr>
        <w:t>1. Zajistit nediskriminační přístup k digitálním vzdělávacím zdrojům.</w:t>
      </w:r>
    </w:p>
    <w:p w:rsidR="006E55C0" w:rsidRPr="00ED3B73" w:rsidRDefault="006E55C0" w:rsidP="006E55C0">
      <w:pPr>
        <w:pStyle w:val="Normlnweb"/>
        <w:spacing w:before="0" w:after="0"/>
        <w:rPr>
          <w:rFonts w:asciiTheme="minorHAnsi" w:hAnsiTheme="minorHAnsi" w:cstheme="minorHAnsi"/>
          <w:color w:val="4C4C4C"/>
          <w:sz w:val="22"/>
          <w:szCs w:val="22"/>
        </w:rPr>
      </w:pPr>
      <w:r w:rsidRPr="00ED3B73">
        <w:rPr>
          <w:rFonts w:asciiTheme="minorHAnsi" w:hAnsiTheme="minorHAnsi" w:cstheme="minorHAnsi"/>
          <w:color w:val="4C4C4C"/>
          <w:sz w:val="22"/>
          <w:szCs w:val="22"/>
        </w:rPr>
        <w:t>2. Zajistit podmínky pro rozvoj digitálních kompetencí a informatického myšlení žáků.</w:t>
      </w:r>
    </w:p>
    <w:p w:rsidR="006E55C0" w:rsidRPr="00ED3B73" w:rsidRDefault="006E55C0" w:rsidP="006E55C0">
      <w:pPr>
        <w:pStyle w:val="Normlnweb"/>
        <w:spacing w:before="0" w:after="0"/>
        <w:rPr>
          <w:rFonts w:asciiTheme="minorHAnsi" w:hAnsiTheme="minorHAnsi" w:cstheme="minorHAnsi"/>
          <w:color w:val="4C4C4C"/>
          <w:sz w:val="22"/>
          <w:szCs w:val="22"/>
        </w:rPr>
      </w:pPr>
      <w:r w:rsidRPr="00ED3B73">
        <w:rPr>
          <w:rFonts w:asciiTheme="minorHAnsi" w:hAnsiTheme="minorHAnsi" w:cstheme="minorHAnsi"/>
          <w:color w:val="4C4C4C"/>
          <w:sz w:val="22"/>
          <w:szCs w:val="22"/>
        </w:rPr>
        <w:t>3. Zajistit podmínky pro rozvoj digitálních kompetencí a informatického myšlení učitelů.</w:t>
      </w:r>
    </w:p>
    <w:p w:rsidR="006E55C0" w:rsidRPr="00ED3B73" w:rsidRDefault="006E55C0" w:rsidP="006E55C0">
      <w:pPr>
        <w:pStyle w:val="Normlnweb"/>
        <w:spacing w:before="0" w:after="0"/>
        <w:rPr>
          <w:rFonts w:asciiTheme="minorHAnsi" w:hAnsiTheme="minorHAnsi" w:cstheme="minorHAnsi"/>
          <w:color w:val="4C4C4C"/>
          <w:sz w:val="22"/>
          <w:szCs w:val="22"/>
        </w:rPr>
      </w:pPr>
      <w:r w:rsidRPr="00ED3B73">
        <w:rPr>
          <w:rFonts w:asciiTheme="minorHAnsi" w:hAnsiTheme="minorHAnsi" w:cstheme="minorHAnsi"/>
          <w:color w:val="4C4C4C"/>
          <w:sz w:val="22"/>
          <w:szCs w:val="22"/>
        </w:rPr>
        <w:t>4. Zajistit budování a obnovu vzdělávací infrastruktury.</w:t>
      </w:r>
    </w:p>
    <w:p w:rsidR="006E55C0" w:rsidRPr="00ED3B73" w:rsidRDefault="006E55C0" w:rsidP="006E55C0">
      <w:pPr>
        <w:pStyle w:val="Normlnweb"/>
        <w:spacing w:before="0" w:after="0"/>
        <w:rPr>
          <w:rFonts w:asciiTheme="minorHAnsi" w:hAnsiTheme="minorHAnsi" w:cstheme="minorHAnsi"/>
          <w:color w:val="4C4C4C"/>
          <w:sz w:val="22"/>
          <w:szCs w:val="22"/>
        </w:rPr>
      </w:pPr>
      <w:r w:rsidRPr="00ED3B73">
        <w:rPr>
          <w:rFonts w:asciiTheme="minorHAnsi" w:hAnsiTheme="minorHAnsi" w:cstheme="minorHAnsi"/>
          <w:color w:val="4C4C4C"/>
          <w:sz w:val="22"/>
          <w:szCs w:val="22"/>
        </w:rPr>
        <w:t>5. Podpořit inovační postupy, sledování, hodnocení a šíření jejich výsledků.</w:t>
      </w:r>
    </w:p>
    <w:p w:rsidR="006E55C0" w:rsidRPr="00ED3B73" w:rsidRDefault="006E55C0" w:rsidP="006E55C0">
      <w:pPr>
        <w:pStyle w:val="Normlnweb"/>
        <w:spacing w:before="0" w:after="0"/>
        <w:rPr>
          <w:rFonts w:asciiTheme="minorHAnsi" w:hAnsiTheme="minorHAnsi" w:cstheme="minorHAnsi"/>
          <w:color w:val="4C4C4C"/>
          <w:sz w:val="22"/>
          <w:szCs w:val="22"/>
        </w:rPr>
      </w:pPr>
      <w:r w:rsidRPr="00ED3B73">
        <w:rPr>
          <w:rFonts w:asciiTheme="minorHAnsi" w:hAnsiTheme="minorHAnsi" w:cstheme="minorHAnsi"/>
          <w:color w:val="4C4C4C"/>
          <w:sz w:val="22"/>
          <w:szCs w:val="22"/>
        </w:rPr>
        <w:t>6. Zajistit systém podporující rozvoj škol v oblasti integrace digitálních technologií do výuky a do života školy.</w:t>
      </w:r>
    </w:p>
    <w:p w:rsidR="006E55C0" w:rsidRDefault="006E55C0" w:rsidP="006E55C0">
      <w:pPr>
        <w:jc w:val="both"/>
        <w:rPr>
          <w:rFonts w:asciiTheme="minorHAnsi" w:hAnsiTheme="minorHAnsi" w:cstheme="minorHAnsi"/>
          <w:color w:val="4C4C4C"/>
          <w:sz w:val="22"/>
          <w:szCs w:val="22"/>
        </w:rPr>
      </w:pPr>
      <w:r w:rsidRPr="00ED3B73">
        <w:rPr>
          <w:rFonts w:asciiTheme="minorHAnsi" w:hAnsiTheme="minorHAnsi" w:cstheme="minorHAnsi"/>
          <w:color w:val="4C4C4C"/>
          <w:sz w:val="22"/>
          <w:szCs w:val="22"/>
        </w:rPr>
        <w:t>7. Zvýšit porozumění cílům a procesům integrace technologií do vzdělávání.</w:t>
      </w:r>
    </w:p>
    <w:p w:rsidR="00A31D34" w:rsidRPr="006D00D4" w:rsidRDefault="00A31D34" w:rsidP="006E55C0">
      <w:pPr>
        <w:jc w:val="both"/>
        <w:rPr>
          <w:rFonts w:asciiTheme="minorHAnsi" w:hAnsiTheme="minorHAnsi" w:cstheme="minorHAnsi"/>
          <w:sz w:val="22"/>
          <w:szCs w:val="22"/>
        </w:rPr>
      </w:pPr>
    </w:p>
    <w:p w:rsidR="005C6743" w:rsidRPr="008028A0" w:rsidRDefault="005C6743" w:rsidP="005C6743">
      <w:pPr>
        <w:spacing w:after="120"/>
        <w:jc w:val="both"/>
        <w:rPr>
          <w:rFonts w:asciiTheme="minorHAnsi" w:hAnsiTheme="minorHAnsi" w:cstheme="minorHAnsi"/>
          <w:sz w:val="22"/>
          <w:szCs w:val="22"/>
        </w:rPr>
      </w:pPr>
      <w:r w:rsidRPr="008028A0">
        <w:rPr>
          <w:rFonts w:asciiTheme="minorHAnsi" w:hAnsiTheme="minorHAnsi" w:cstheme="minorHAnsi"/>
          <w:b/>
          <w:sz w:val="22"/>
          <w:szCs w:val="22"/>
        </w:rPr>
        <w:t>Strategie digitální gramotnosti ČR na období 2015 – 2020</w:t>
      </w:r>
      <w:r>
        <w:rPr>
          <w:rFonts w:asciiTheme="minorHAnsi" w:hAnsiTheme="minorHAnsi" w:cstheme="minorHAnsi"/>
          <w:b/>
          <w:sz w:val="22"/>
          <w:szCs w:val="22"/>
        </w:rPr>
        <w:t xml:space="preserve"> navrhuje pro</w:t>
      </w:r>
      <w:r w:rsidRPr="008028A0">
        <w:rPr>
          <w:rFonts w:asciiTheme="minorHAnsi" w:hAnsiTheme="minorHAnsi" w:cstheme="minorHAnsi"/>
          <w:sz w:val="22"/>
          <w:szCs w:val="22"/>
        </w:rPr>
        <w:t xml:space="preserve"> </w:t>
      </w:r>
      <w:r w:rsidRPr="00C20D8A">
        <w:rPr>
          <w:rFonts w:asciiTheme="minorHAnsi" w:hAnsiTheme="minorHAnsi" w:cstheme="minorHAnsi"/>
          <w:b/>
          <w:sz w:val="22"/>
          <w:szCs w:val="22"/>
        </w:rPr>
        <w:t>oblast dalšího vzdělávání</w:t>
      </w:r>
      <w:r w:rsidRPr="008028A0">
        <w:rPr>
          <w:rFonts w:asciiTheme="minorHAnsi" w:hAnsiTheme="minorHAnsi" w:cstheme="minorHAnsi"/>
          <w:sz w:val="22"/>
          <w:szCs w:val="22"/>
        </w:rPr>
        <w:t xml:space="preserve"> tyto strategické cíle (pracovní verze k 6.1.2015):</w:t>
      </w:r>
    </w:p>
    <w:p w:rsidR="005C6743" w:rsidRPr="008028A0" w:rsidRDefault="005C6743" w:rsidP="003721F8">
      <w:pPr>
        <w:pStyle w:val="Odstavecseseznamem"/>
        <w:numPr>
          <w:ilvl w:val="0"/>
          <w:numId w:val="53"/>
        </w:numPr>
        <w:spacing w:after="120"/>
        <w:jc w:val="both"/>
        <w:rPr>
          <w:rFonts w:cstheme="minorHAnsi"/>
          <w:szCs w:val="22"/>
        </w:rPr>
      </w:pPr>
      <w:r w:rsidRPr="008028A0">
        <w:rPr>
          <w:rFonts w:cstheme="minorHAnsi"/>
          <w:szCs w:val="22"/>
        </w:rPr>
        <w:t>Zvýšit úroveň digitální gramotnosti nezaměstnaných osob na úroveň potřebnou pro efektivní využívání digitálních technologií a na úroveň uplatnitelnou na trhu práce.</w:t>
      </w:r>
    </w:p>
    <w:p w:rsidR="005C6743" w:rsidRPr="008028A0" w:rsidRDefault="005C6743" w:rsidP="003721F8">
      <w:pPr>
        <w:pStyle w:val="Odstavecseseznamem"/>
        <w:numPr>
          <w:ilvl w:val="0"/>
          <w:numId w:val="53"/>
        </w:numPr>
        <w:spacing w:after="120"/>
        <w:jc w:val="both"/>
        <w:rPr>
          <w:rFonts w:cstheme="minorHAnsi"/>
          <w:szCs w:val="22"/>
        </w:rPr>
      </w:pPr>
      <w:r w:rsidRPr="008028A0">
        <w:rPr>
          <w:rFonts w:cstheme="minorHAnsi"/>
          <w:szCs w:val="22"/>
        </w:rPr>
        <w:t>Zvýšit prostřednictvím rozvoje digitální gramotnosti konkurenceschopnost malých a středních podniků, OSVČ a adaptabilitu pracovní síly.</w:t>
      </w:r>
    </w:p>
    <w:p w:rsidR="005C6743" w:rsidRPr="008028A0" w:rsidRDefault="005C6743" w:rsidP="003721F8">
      <w:pPr>
        <w:pStyle w:val="Odstavecseseznamem"/>
        <w:numPr>
          <w:ilvl w:val="0"/>
          <w:numId w:val="53"/>
        </w:numPr>
        <w:spacing w:after="120"/>
        <w:jc w:val="both"/>
        <w:rPr>
          <w:rFonts w:cstheme="minorHAnsi"/>
          <w:szCs w:val="22"/>
        </w:rPr>
      </w:pPr>
      <w:r w:rsidRPr="008028A0">
        <w:rPr>
          <w:rFonts w:cstheme="minorHAnsi"/>
          <w:szCs w:val="22"/>
        </w:rPr>
        <w:t>Prostřednictvím rozvoje digitální gramotnosti pracovníků veřejné správy přispět ke zefektivnění výkonu veřejné správy, usnadnit další rozvoj e-</w:t>
      </w:r>
      <w:proofErr w:type="spellStart"/>
      <w:r w:rsidRPr="008028A0">
        <w:rPr>
          <w:rFonts w:cstheme="minorHAnsi"/>
          <w:szCs w:val="22"/>
        </w:rPr>
        <w:t>Governmentu</w:t>
      </w:r>
      <w:proofErr w:type="spellEnd"/>
      <w:r w:rsidRPr="008028A0">
        <w:rPr>
          <w:rFonts w:cstheme="minorHAnsi"/>
          <w:szCs w:val="22"/>
        </w:rPr>
        <w:t xml:space="preserve"> a zlepšit přístupnost zveřejňovaných informací.</w:t>
      </w:r>
    </w:p>
    <w:p w:rsidR="005C6743" w:rsidRPr="008028A0" w:rsidRDefault="005C6743" w:rsidP="003721F8">
      <w:pPr>
        <w:pStyle w:val="Odstavecseseznamem"/>
        <w:numPr>
          <w:ilvl w:val="0"/>
          <w:numId w:val="53"/>
        </w:numPr>
        <w:spacing w:after="120"/>
        <w:jc w:val="both"/>
        <w:rPr>
          <w:rFonts w:cstheme="minorHAnsi"/>
          <w:szCs w:val="22"/>
        </w:rPr>
      </w:pPr>
      <w:r w:rsidRPr="008028A0">
        <w:rPr>
          <w:rFonts w:cstheme="minorHAnsi"/>
          <w:szCs w:val="22"/>
        </w:rPr>
        <w:lastRenderedPageBreak/>
        <w:t>Podpora rozvoje digitální gramotnosti jako jednoho z nástrojů boje proti chudobě a sociálnímu vyloučení.</w:t>
      </w:r>
    </w:p>
    <w:p w:rsidR="005C6743" w:rsidRPr="008028A0" w:rsidRDefault="005C6743" w:rsidP="003721F8">
      <w:pPr>
        <w:pStyle w:val="Odstavecseseznamem"/>
        <w:numPr>
          <w:ilvl w:val="0"/>
          <w:numId w:val="53"/>
        </w:numPr>
        <w:spacing w:after="120"/>
        <w:jc w:val="both"/>
        <w:rPr>
          <w:rFonts w:cstheme="minorHAnsi"/>
          <w:szCs w:val="22"/>
        </w:rPr>
      </w:pPr>
      <w:r w:rsidRPr="008028A0">
        <w:rPr>
          <w:rFonts w:cstheme="minorHAnsi"/>
          <w:szCs w:val="22"/>
        </w:rPr>
        <w:t>Podpora digitálních příležitostí a eliminace rizik, a to v prostředí školním, rodinném i volnočasovém.</w:t>
      </w:r>
    </w:p>
    <w:p w:rsidR="005C6743" w:rsidRPr="008028A0" w:rsidRDefault="005C6743" w:rsidP="003721F8">
      <w:pPr>
        <w:pStyle w:val="Odstavecseseznamem"/>
        <w:numPr>
          <w:ilvl w:val="0"/>
          <w:numId w:val="53"/>
        </w:numPr>
        <w:spacing w:after="120"/>
        <w:jc w:val="both"/>
        <w:rPr>
          <w:rFonts w:cstheme="minorHAnsi"/>
          <w:szCs w:val="22"/>
        </w:rPr>
      </w:pPr>
      <w:r w:rsidRPr="008028A0">
        <w:rPr>
          <w:rFonts w:cstheme="minorHAnsi"/>
          <w:szCs w:val="22"/>
        </w:rPr>
        <w:t>Dosáhnout systematického přístupu při dalším vzdělávání v oblasti digitální gramotnosti za současného využití inovací a nových forem vzdělávání.</w:t>
      </w:r>
    </w:p>
    <w:p w:rsidR="005C6743" w:rsidRPr="00A31D34" w:rsidRDefault="005C6743" w:rsidP="005C6743">
      <w:pPr>
        <w:spacing w:after="120"/>
        <w:jc w:val="both"/>
        <w:rPr>
          <w:rFonts w:asciiTheme="minorHAnsi" w:hAnsiTheme="minorHAnsi" w:cstheme="minorHAnsi"/>
          <w:sz w:val="22"/>
          <w:szCs w:val="22"/>
          <w:u w:val="single"/>
        </w:rPr>
      </w:pPr>
      <w:r w:rsidRPr="00A31D34">
        <w:rPr>
          <w:rFonts w:asciiTheme="minorHAnsi" w:hAnsiTheme="minorHAnsi" w:cstheme="minorHAnsi"/>
          <w:sz w:val="22"/>
          <w:szCs w:val="22"/>
          <w:u w:val="single"/>
        </w:rPr>
        <w:t>Indikativní harmonogram:</w:t>
      </w:r>
    </w:p>
    <w:p w:rsidR="005C6743" w:rsidRPr="00A31D34" w:rsidRDefault="005C6743" w:rsidP="00A31D34">
      <w:pPr>
        <w:pStyle w:val="Odstavecseseznamem"/>
        <w:numPr>
          <w:ilvl w:val="0"/>
          <w:numId w:val="36"/>
        </w:numPr>
        <w:jc w:val="both"/>
        <w:rPr>
          <w:rFonts w:cstheme="minorHAnsi"/>
          <w:szCs w:val="22"/>
        </w:rPr>
      </w:pPr>
      <w:r w:rsidRPr="00A31D34">
        <w:rPr>
          <w:rFonts w:cstheme="minorHAnsi"/>
          <w:szCs w:val="22"/>
        </w:rPr>
        <w:t>Leden 2015: expertní konzultace k první verzi dokumentu (kulaté stoly)</w:t>
      </w:r>
    </w:p>
    <w:p w:rsidR="005C6743" w:rsidRPr="00A31D34" w:rsidRDefault="005C6743" w:rsidP="00A31D34">
      <w:pPr>
        <w:pStyle w:val="Odstavecseseznamem"/>
        <w:numPr>
          <w:ilvl w:val="0"/>
          <w:numId w:val="36"/>
        </w:numPr>
        <w:jc w:val="both"/>
        <w:rPr>
          <w:rFonts w:cstheme="minorHAnsi"/>
          <w:szCs w:val="22"/>
        </w:rPr>
      </w:pPr>
      <w:r w:rsidRPr="00A31D34">
        <w:rPr>
          <w:rFonts w:cstheme="minorHAnsi"/>
          <w:szCs w:val="22"/>
        </w:rPr>
        <w:t>K 6.1.2015 byla připravena první verze ke  konzultaci na kulatých stolech s experty. Kulaté stoly proběhly 12.1.2015 (téma digitální gramotnosti a trh práce)  a 20.1.2015 (téma digitální gramotnosti, rodina a sociální vyloučení).</w:t>
      </w:r>
    </w:p>
    <w:p w:rsidR="005C6743" w:rsidRPr="00A31D34" w:rsidRDefault="005C6743" w:rsidP="00A31D34">
      <w:pPr>
        <w:pStyle w:val="Odstavecseseznamem"/>
        <w:numPr>
          <w:ilvl w:val="0"/>
          <w:numId w:val="36"/>
        </w:numPr>
        <w:jc w:val="both"/>
        <w:rPr>
          <w:rFonts w:cstheme="minorHAnsi"/>
          <w:szCs w:val="22"/>
        </w:rPr>
      </w:pPr>
      <w:r w:rsidRPr="00A31D34">
        <w:rPr>
          <w:rFonts w:cstheme="minorHAnsi"/>
          <w:szCs w:val="22"/>
        </w:rPr>
        <w:t xml:space="preserve">Připomínky z veřejného připomínkování </w:t>
      </w:r>
      <w:r w:rsidR="00A31D34">
        <w:rPr>
          <w:rFonts w:cstheme="minorHAnsi"/>
          <w:szCs w:val="22"/>
        </w:rPr>
        <w:t xml:space="preserve">byly </w:t>
      </w:r>
      <w:r w:rsidRPr="00A31D34">
        <w:rPr>
          <w:rFonts w:cstheme="minorHAnsi"/>
          <w:szCs w:val="22"/>
        </w:rPr>
        <w:t>vypořádány a zapracovány do konce ledna 2015</w:t>
      </w:r>
    </w:p>
    <w:p w:rsidR="005C6743" w:rsidRPr="00A31D34" w:rsidRDefault="005C6743" w:rsidP="00A31D34">
      <w:pPr>
        <w:pStyle w:val="Odstavecseseznamem"/>
        <w:numPr>
          <w:ilvl w:val="0"/>
          <w:numId w:val="36"/>
        </w:numPr>
        <w:jc w:val="both"/>
        <w:rPr>
          <w:rFonts w:cstheme="minorHAnsi"/>
          <w:szCs w:val="22"/>
        </w:rPr>
      </w:pPr>
      <w:r w:rsidRPr="00A31D34">
        <w:rPr>
          <w:rFonts w:cstheme="minorHAnsi"/>
          <w:szCs w:val="22"/>
        </w:rPr>
        <w:t xml:space="preserve">Únor 2015: do konce února </w:t>
      </w:r>
      <w:r w:rsidR="00206F89" w:rsidRPr="00A31D34">
        <w:rPr>
          <w:rFonts w:cstheme="minorHAnsi"/>
          <w:szCs w:val="22"/>
        </w:rPr>
        <w:t xml:space="preserve">byla </w:t>
      </w:r>
      <w:r w:rsidRPr="00A31D34">
        <w:rPr>
          <w:rFonts w:cstheme="minorHAnsi"/>
          <w:szCs w:val="22"/>
        </w:rPr>
        <w:t>dopracována Strategie do druhé verze, která se následně předloží do mezirezortního připomínkového řízení.</w:t>
      </w:r>
    </w:p>
    <w:p w:rsidR="00E3494C" w:rsidRPr="00A31D34" w:rsidRDefault="005C6743" w:rsidP="00A31D34">
      <w:pPr>
        <w:pStyle w:val="Odstavecseseznamem"/>
        <w:numPr>
          <w:ilvl w:val="0"/>
          <w:numId w:val="36"/>
        </w:numPr>
        <w:spacing w:after="120"/>
        <w:jc w:val="both"/>
        <w:rPr>
          <w:rFonts w:cstheme="minorHAnsi"/>
          <w:szCs w:val="22"/>
        </w:rPr>
      </w:pPr>
      <w:r w:rsidRPr="00A31D34">
        <w:rPr>
          <w:rFonts w:cstheme="minorHAnsi"/>
          <w:szCs w:val="22"/>
        </w:rPr>
        <w:t xml:space="preserve">30. 6. 2015 - </w:t>
      </w:r>
      <w:r w:rsidR="00A31D34">
        <w:rPr>
          <w:rFonts w:cstheme="minorHAnsi"/>
          <w:szCs w:val="22"/>
        </w:rPr>
        <w:t>n</w:t>
      </w:r>
      <w:r w:rsidRPr="00A31D34">
        <w:rPr>
          <w:rFonts w:cstheme="minorHAnsi"/>
          <w:szCs w:val="22"/>
        </w:rPr>
        <w:t>ejzazší termín schválení Strategie Vládou ČR.</w:t>
      </w:r>
      <w:r w:rsidR="00E3494C" w:rsidRPr="00A31D34">
        <w:rPr>
          <w:rFonts w:cstheme="minorHAnsi"/>
          <w:b/>
          <w:szCs w:val="22"/>
        </w:rPr>
        <w:t xml:space="preserve"> </w:t>
      </w:r>
    </w:p>
    <w:p w:rsidR="006D00D4" w:rsidRPr="006D00D4" w:rsidRDefault="006E55C0" w:rsidP="006D00D4">
      <w:pPr>
        <w:spacing w:after="120"/>
        <w:jc w:val="both"/>
        <w:rPr>
          <w:rFonts w:asciiTheme="minorHAnsi" w:hAnsiTheme="minorHAnsi" w:cstheme="minorHAnsi"/>
          <w:sz w:val="22"/>
          <w:szCs w:val="22"/>
        </w:rPr>
      </w:pPr>
      <w:r>
        <w:rPr>
          <w:rFonts w:asciiTheme="minorHAnsi" w:hAnsiTheme="minorHAnsi" w:cstheme="minorHAnsi"/>
          <w:sz w:val="22"/>
          <w:szCs w:val="22"/>
        </w:rPr>
        <w:t>V</w:t>
      </w:r>
      <w:r w:rsidR="006D00D4" w:rsidRPr="006D00D4">
        <w:rPr>
          <w:rFonts w:asciiTheme="minorHAnsi" w:hAnsiTheme="minorHAnsi" w:cstheme="minorHAnsi"/>
          <w:sz w:val="22"/>
          <w:szCs w:val="22"/>
        </w:rPr>
        <w:t xml:space="preserve">iz </w:t>
      </w:r>
      <w:r>
        <w:rPr>
          <w:rFonts w:asciiTheme="minorHAnsi" w:hAnsiTheme="minorHAnsi" w:cstheme="minorHAnsi"/>
          <w:sz w:val="22"/>
          <w:szCs w:val="22"/>
        </w:rPr>
        <w:t xml:space="preserve">též </w:t>
      </w:r>
      <w:r w:rsidR="006D00D4" w:rsidRPr="006D00D4">
        <w:rPr>
          <w:rFonts w:asciiTheme="minorHAnsi" w:hAnsiTheme="minorHAnsi" w:cstheme="minorHAnsi"/>
          <w:sz w:val="22"/>
          <w:szCs w:val="22"/>
        </w:rPr>
        <w:t>tabulková část.</w:t>
      </w: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p>
    <w:p w:rsidR="006D00D4" w:rsidRPr="006D00D4" w:rsidRDefault="006D00D4" w:rsidP="006D00D4">
      <w:pPr>
        <w:jc w:val="both"/>
        <w:rPr>
          <w:rFonts w:asciiTheme="minorHAnsi" w:hAnsiTheme="minorHAnsi" w:cstheme="minorHAnsi"/>
          <w:sz w:val="22"/>
          <w:szCs w:val="22"/>
        </w:rPr>
      </w:pPr>
      <w:r w:rsidRPr="006D00D4">
        <w:rPr>
          <w:rFonts w:asciiTheme="minorHAnsi" w:hAnsiTheme="minorHAnsi" w:cstheme="minorHAnsi"/>
          <w:sz w:val="22"/>
          <w:szCs w:val="22"/>
        </w:rPr>
        <w:t>Aktualizace k </w:t>
      </w:r>
      <w:r w:rsidR="00206F89">
        <w:rPr>
          <w:rFonts w:asciiTheme="minorHAnsi" w:hAnsiTheme="minorHAnsi" w:cstheme="minorHAnsi"/>
          <w:sz w:val="22"/>
          <w:szCs w:val="22"/>
        </w:rPr>
        <w:t>31.</w:t>
      </w:r>
      <w:r w:rsidR="00817188">
        <w:rPr>
          <w:rFonts w:asciiTheme="minorHAnsi" w:hAnsiTheme="minorHAnsi" w:cstheme="minorHAnsi"/>
          <w:sz w:val="22"/>
          <w:szCs w:val="22"/>
        </w:rPr>
        <w:t xml:space="preserve"> </w:t>
      </w:r>
      <w:r w:rsidR="00206F89">
        <w:rPr>
          <w:rFonts w:asciiTheme="minorHAnsi" w:hAnsiTheme="minorHAnsi" w:cstheme="minorHAnsi"/>
          <w:sz w:val="22"/>
          <w:szCs w:val="22"/>
        </w:rPr>
        <w:t>3.</w:t>
      </w:r>
      <w:r w:rsidR="00817188">
        <w:rPr>
          <w:rFonts w:asciiTheme="minorHAnsi" w:hAnsiTheme="minorHAnsi" w:cstheme="minorHAnsi"/>
          <w:sz w:val="22"/>
          <w:szCs w:val="22"/>
        </w:rPr>
        <w:t xml:space="preserve"> </w:t>
      </w:r>
      <w:r w:rsidR="00206F89">
        <w:rPr>
          <w:rFonts w:asciiTheme="minorHAnsi" w:hAnsiTheme="minorHAnsi" w:cstheme="minorHAnsi"/>
          <w:sz w:val="22"/>
          <w:szCs w:val="22"/>
        </w:rPr>
        <w:t>2015</w:t>
      </w:r>
    </w:p>
    <w:p w:rsidR="006D00D4" w:rsidRPr="006D00D4" w:rsidRDefault="006D00D4" w:rsidP="006D00D4">
      <w:pPr>
        <w:jc w:val="both"/>
        <w:rPr>
          <w:rFonts w:asciiTheme="minorHAnsi" w:hAnsiTheme="minorHAnsi" w:cstheme="minorHAnsi"/>
          <w:b/>
          <w:sz w:val="22"/>
          <w:szCs w:val="22"/>
          <w:u w:val="single"/>
        </w:rPr>
        <w:sectPr w:rsidR="006D00D4" w:rsidRPr="006D00D4" w:rsidSect="006D00D4">
          <w:footerReference w:type="default" r:id="rId40"/>
          <w:type w:val="continuous"/>
          <w:pgSz w:w="11906" w:h="16838"/>
          <w:pgMar w:top="1417" w:right="1417" w:bottom="1417" w:left="1417" w:header="708" w:footer="708" w:gutter="0"/>
          <w:cols w:space="708"/>
          <w:docGrid w:linePitch="299"/>
        </w:sectPr>
      </w:pPr>
    </w:p>
    <w:p w:rsidR="006D00D4" w:rsidRPr="006D00D4" w:rsidRDefault="006D00D4" w:rsidP="006D00D4">
      <w:pPr>
        <w:jc w:val="both"/>
        <w:rPr>
          <w:rFonts w:asciiTheme="minorHAnsi" w:hAnsiTheme="minorHAnsi" w:cstheme="minorHAnsi"/>
          <w:b/>
          <w:sz w:val="22"/>
          <w:szCs w:val="22"/>
          <w:u w:val="single"/>
        </w:rPr>
      </w:pPr>
    </w:p>
    <w:p w:rsidR="006D00D4" w:rsidRPr="006D00D4" w:rsidRDefault="006D00D4" w:rsidP="006D00D4">
      <w:pPr>
        <w:jc w:val="both"/>
        <w:rPr>
          <w:rFonts w:asciiTheme="minorHAnsi" w:hAnsiTheme="minorHAnsi" w:cstheme="minorHAnsi"/>
          <w:b/>
          <w:sz w:val="22"/>
          <w:szCs w:val="22"/>
          <w:u w:val="single"/>
        </w:rPr>
      </w:pPr>
      <w:r w:rsidRPr="006D00D4">
        <w:rPr>
          <w:rFonts w:asciiTheme="minorHAnsi" w:hAnsiTheme="minorHAnsi" w:cstheme="minorHAnsi"/>
          <w:b/>
          <w:sz w:val="22"/>
          <w:szCs w:val="22"/>
          <w:u w:val="single"/>
        </w:rPr>
        <w:t xml:space="preserve">Přehled naplňování PP </w:t>
      </w:r>
    </w:p>
    <w:p w:rsidR="006D00D4" w:rsidRPr="006D00D4" w:rsidRDefault="006D00D4" w:rsidP="006D00D4">
      <w:pPr>
        <w:jc w:val="both"/>
        <w:rPr>
          <w:rFonts w:asciiTheme="minorHAnsi" w:hAnsiTheme="minorHAnsi" w:cstheme="minorHAnsi"/>
          <w:sz w:val="22"/>
          <w:szCs w:val="22"/>
        </w:rPr>
      </w:pPr>
      <w:r w:rsidRPr="006D00D4">
        <w:rPr>
          <w:rFonts w:asciiTheme="minorHAnsi" w:hAnsiTheme="minorHAnsi" w:cstheme="minorHAnsi"/>
          <w:sz w:val="22"/>
          <w:szCs w:val="22"/>
        </w:rPr>
        <w:t>(tabulka č. 24 programového dokumentu)</w:t>
      </w:r>
    </w:p>
    <w:tbl>
      <w:tblPr>
        <w:tblW w:w="15168" w:type="dxa"/>
        <w:tblInd w:w="-497" w:type="dxa"/>
        <w:tblLayout w:type="fixed"/>
        <w:tblCellMar>
          <w:left w:w="70" w:type="dxa"/>
          <w:right w:w="70" w:type="dxa"/>
        </w:tblCellMar>
        <w:tblLook w:val="04A0" w:firstRow="1" w:lastRow="0" w:firstColumn="1" w:lastColumn="0" w:noHBand="0" w:noVBand="1"/>
      </w:tblPr>
      <w:tblGrid>
        <w:gridCol w:w="1418"/>
        <w:gridCol w:w="1276"/>
        <w:gridCol w:w="1134"/>
        <w:gridCol w:w="2835"/>
        <w:gridCol w:w="1275"/>
        <w:gridCol w:w="2977"/>
        <w:gridCol w:w="4253"/>
      </w:tblGrid>
      <w:tr w:rsidR="006D00D4" w:rsidRPr="006D00D4" w:rsidTr="006D00D4">
        <w:trPr>
          <w:trHeight w:val="1147"/>
          <w:tblHeader/>
        </w:trPr>
        <w:tc>
          <w:tcPr>
            <w:tcW w:w="1418" w:type="dxa"/>
            <w:tcBorders>
              <w:top w:val="single" w:sz="8" w:space="0" w:color="auto"/>
              <w:left w:val="single" w:sz="8" w:space="0" w:color="auto"/>
              <w:bottom w:val="single" w:sz="8" w:space="0" w:color="auto"/>
              <w:right w:val="single" w:sz="4" w:space="0" w:color="auto"/>
            </w:tcBorders>
            <w:shd w:val="clear" w:color="auto" w:fill="B8CCE4"/>
            <w:vAlign w:val="center"/>
            <w:hideMark/>
          </w:tcPr>
          <w:p w:rsidR="006D00D4" w:rsidRPr="006D00D4" w:rsidRDefault="006D00D4" w:rsidP="006D00D4">
            <w:pPr>
              <w:spacing w:after="40"/>
              <w:rPr>
                <w:rFonts w:asciiTheme="minorHAnsi" w:hAnsiTheme="minorHAnsi" w:cstheme="minorHAnsi"/>
                <w:b/>
                <w:bCs/>
                <w:color w:val="000000"/>
                <w:sz w:val="22"/>
                <w:szCs w:val="22"/>
              </w:rPr>
            </w:pPr>
            <w:r w:rsidRPr="006D00D4">
              <w:rPr>
                <w:rFonts w:asciiTheme="minorHAnsi" w:hAnsiTheme="minorHAnsi" w:cstheme="minorHAnsi"/>
                <w:b/>
                <w:bCs/>
                <w:color w:val="000000"/>
                <w:sz w:val="22"/>
                <w:szCs w:val="22"/>
              </w:rPr>
              <w:t>Předběžná podmínka</w:t>
            </w:r>
          </w:p>
        </w:tc>
        <w:tc>
          <w:tcPr>
            <w:tcW w:w="1276" w:type="dxa"/>
            <w:tcBorders>
              <w:top w:val="single" w:sz="8" w:space="0" w:color="auto"/>
              <w:left w:val="nil"/>
              <w:bottom w:val="single" w:sz="8" w:space="0" w:color="auto"/>
              <w:right w:val="nil"/>
            </w:tcBorders>
            <w:shd w:val="clear" w:color="auto" w:fill="B8CCE4"/>
            <w:vAlign w:val="center"/>
            <w:hideMark/>
          </w:tcPr>
          <w:p w:rsidR="006D00D4" w:rsidRPr="006D00D4" w:rsidRDefault="006D00D4" w:rsidP="006D00D4">
            <w:pPr>
              <w:spacing w:after="40"/>
              <w:rPr>
                <w:rFonts w:asciiTheme="minorHAnsi" w:hAnsiTheme="minorHAnsi" w:cstheme="minorHAnsi"/>
                <w:b/>
                <w:bCs/>
                <w:color w:val="000000"/>
                <w:sz w:val="22"/>
                <w:szCs w:val="22"/>
              </w:rPr>
            </w:pPr>
            <w:r w:rsidRPr="006D00D4">
              <w:rPr>
                <w:rFonts w:asciiTheme="minorHAnsi" w:hAnsiTheme="minorHAnsi" w:cstheme="minorHAnsi"/>
                <w:b/>
                <w:bCs/>
                <w:color w:val="000000"/>
                <w:sz w:val="22"/>
                <w:szCs w:val="22"/>
              </w:rPr>
              <w:t>Prioritní osa nebo osy, ke kterým se podmínka vztahuje</w:t>
            </w:r>
          </w:p>
        </w:tc>
        <w:tc>
          <w:tcPr>
            <w:tcW w:w="1134" w:type="dxa"/>
            <w:tcBorders>
              <w:top w:val="single" w:sz="8" w:space="0" w:color="auto"/>
              <w:left w:val="single" w:sz="4" w:space="0" w:color="auto"/>
              <w:bottom w:val="single" w:sz="8" w:space="0" w:color="auto"/>
              <w:right w:val="double" w:sz="6" w:space="0" w:color="auto"/>
            </w:tcBorders>
            <w:shd w:val="clear" w:color="auto" w:fill="B8CCE4"/>
            <w:vAlign w:val="center"/>
            <w:hideMark/>
          </w:tcPr>
          <w:p w:rsidR="006D00D4" w:rsidRPr="006D00D4" w:rsidRDefault="006D00D4" w:rsidP="006D00D4">
            <w:pPr>
              <w:spacing w:after="40"/>
              <w:rPr>
                <w:rFonts w:asciiTheme="minorHAnsi" w:hAnsiTheme="minorHAnsi" w:cstheme="minorHAnsi"/>
                <w:b/>
                <w:bCs/>
                <w:sz w:val="22"/>
                <w:szCs w:val="22"/>
              </w:rPr>
            </w:pPr>
            <w:r w:rsidRPr="006D00D4">
              <w:rPr>
                <w:rFonts w:asciiTheme="minorHAnsi" w:hAnsiTheme="minorHAnsi" w:cstheme="minorHAnsi"/>
                <w:b/>
                <w:bCs/>
                <w:sz w:val="22"/>
                <w:szCs w:val="22"/>
              </w:rPr>
              <w:t>Splnění předběžné podmínky (ano/ne /částečně)</w:t>
            </w:r>
          </w:p>
        </w:tc>
        <w:tc>
          <w:tcPr>
            <w:tcW w:w="2835" w:type="dxa"/>
            <w:tcBorders>
              <w:top w:val="single" w:sz="8" w:space="0" w:color="auto"/>
              <w:left w:val="nil"/>
              <w:bottom w:val="single" w:sz="8" w:space="0" w:color="auto"/>
              <w:right w:val="single" w:sz="4" w:space="0" w:color="auto"/>
            </w:tcBorders>
            <w:shd w:val="clear" w:color="auto" w:fill="B8CCE4"/>
            <w:vAlign w:val="center"/>
            <w:hideMark/>
          </w:tcPr>
          <w:p w:rsidR="006D00D4" w:rsidRPr="006D00D4" w:rsidRDefault="006D00D4" w:rsidP="006D00D4">
            <w:pPr>
              <w:spacing w:after="40"/>
              <w:rPr>
                <w:rFonts w:asciiTheme="minorHAnsi" w:hAnsiTheme="minorHAnsi" w:cstheme="minorHAnsi"/>
                <w:b/>
                <w:bCs/>
                <w:color w:val="000000"/>
                <w:sz w:val="22"/>
                <w:szCs w:val="22"/>
              </w:rPr>
            </w:pPr>
            <w:r w:rsidRPr="006D00D4">
              <w:rPr>
                <w:rFonts w:asciiTheme="minorHAnsi" w:hAnsiTheme="minorHAnsi" w:cstheme="minorHAnsi"/>
                <w:b/>
                <w:bCs/>
                <w:color w:val="000000"/>
                <w:sz w:val="22"/>
                <w:szCs w:val="22"/>
              </w:rPr>
              <w:t>Kritéria splnění</w:t>
            </w:r>
          </w:p>
        </w:tc>
        <w:tc>
          <w:tcPr>
            <w:tcW w:w="1275" w:type="dxa"/>
            <w:tcBorders>
              <w:top w:val="single" w:sz="8" w:space="0" w:color="auto"/>
              <w:left w:val="nil"/>
              <w:bottom w:val="single" w:sz="8" w:space="0" w:color="auto"/>
              <w:right w:val="double" w:sz="6" w:space="0" w:color="auto"/>
            </w:tcBorders>
            <w:shd w:val="clear" w:color="auto" w:fill="B8CCE4"/>
            <w:vAlign w:val="center"/>
            <w:hideMark/>
          </w:tcPr>
          <w:p w:rsidR="006D00D4" w:rsidRPr="006D00D4" w:rsidRDefault="006D00D4" w:rsidP="006D00D4">
            <w:pPr>
              <w:spacing w:after="40"/>
              <w:rPr>
                <w:rFonts w:asciiTheme="minorHAnsi" w:hAnsiTheme="minorHAnsi" w:cstheme="minorHAnsi"/>
                <w:b/>
                <w:bCs/>
                <w:color w:val="000000"/>
                <w:sz w:val="22"/>
                <w:szCs w:val="22"/>
              </w:rPr>
            </w:pPr>
            <w:r w:rsidRPr="006D00D4">
              <w:rPr>
                <w:rFonts w:asciiTheme="minorHAnsi" w:hAnsiTheme="minorHAnsi" w:cstheme="minorHAnsi"/>
                <w:b/>
                <w:bCs/>
                <w:color w:val="000000"/>
                <w:sz w:val="22"/>
                <w:szCs w:val="22"/>
              </w:rPr>
              <w:t>Splnění kritéria (ano / ne/částečně)</w:t>
            </w:r>
          </w:p>
        </w:tc>
        <w:tc>
          <w:tcPr>
            <w:tcW w:w="2977" w:type="dxa"/>
            <w:tcBorders>
              <w:top w:val="single" w:sz="8" w:space="0" w:color="auto"/>
              <w:left w:val="nil"/>
              <w:bottom w:val="single" w:sz="8" w:space="0" w:color="auto"/>
              <w:right w:val="double" w:sz="6" w:space="0" w:color="auto"/>
            </w:tcBorders>
            <w:shd w:val="clear" w:color="auto" w:fill="B8CCE4"/>
            <w:vAlign w:val="center"/>
            <w:hideMark/>
          </w:tcPr>
          <w:p w:rsidR="006D00D4" w:rsidRPr="006D00D4" w:rsidRDefault="006D00D4" w:rsidP="006D00D4">
            <w:pPr>
              <w:spacing w:after="40"/>
              <w:rPr>
                <w:rFonts w:asciiTheme="minorHAnsi" w:hAnsiTheme="minorHAnsi" w:cstheme="minorHAnsi"/>
                <w:b/>
                <w:bCs/>
                <w:color w:val="000000"/>
                <w:sz w:val="22"/>
                <w:szCs w:val="22"/>
              </w:rPr>
            </w:pPr>
            <w:bookmarkStart w:id="1" w:name="RANGE!G3"/>
            <w:bookmarkEnd w:id="1"/>
            <w:r w:rsidRPr="006D00D4">
              <w:rPr>
                <w:rFonts w:asciiTheme="minorHAnsi" w:hAnsiTheme="minorHAnsi" w:cstheme="minorHAnsi"/>
                <w:b/>
                <w:bCs/>
                <w:color w:val="000000"/>
                <w:sz w:val="22"/>
                <w:szCs w:val="22"/>
              </w:rPr>
              <w:t>Odkazy (u splněných podmínek)</w:t>
            </w:r>
          </w:p>
        </w:tc>
        <w:tc>
          <w:tcPr>
            <w:tcW w:w="4253" w:type="dxa"/>
            <w:tcBorders>
              <w:top w:val="single" w:sz="8" w:space="0" w:color="auto"/>
              <w:left w:val="nil"/>
              <w:bottom w:val="single" w:sz="8" w:space="0" w:color="auto"/>
              <w:right w:val="single" w:sz="8" w:space="0" w:color="auto"/>
            </w:tcBorders>
            <w:shd w:val="clear" w:color="auto" w:fill="B8CCE4"/>
            <w:vAlign w:val="center"/>
            <w:hideMark/>
          </w:tcPr>
          <w:p w:rsidR="006D00D4" w:rsidRPr="006D00D4" w:rsidRDefault="006D00D4" w:rsidP="006D00D4">
            <w:pPr>
              <w:spacing w:after="40"/>
              <w:rPr>
                <w:rFonts w:asciiTheme="minorHAnsi" w:hAnsiTheme="minorHAnsi" w:cstheme="minorHAnsi"/>
                <w:b/>
                <w:bCs/>
                <w:color w:val="000000"/>
                <w:sz w:val="22"/>
                <w:szCs w:val="22"/>
              </w:rPr>
            </w:pPr>
            <w:r w:rsidRPr="006D00D4">
              <w:rPr>
                <w:rFonts w:asciiTheme="minorHAnsi" w:hAnsiTheme="minorHAnsi" w:cstheme="minorHAnsi"/>
                <w:b/>
                <w:bCs/>
                <w:color w:val="000000"/>
                <w:sz w:val="22"/>
                <w:szCs w:val="22"/>
              </w:rPr>
              <w:t>Vysvětlení (tam, kde je to vhodné)</w:t>
            </w:r>
          </w:p>
        </w:tc>
      </w:tr>
      <w:tr w:rsidR="006D00D4" w:rsidRPr="006D00D4" w:rsidTr="006D00D4">
        <w:trPr>
          <w:trHeight w:val="3841"/>
        </w:trPr>
        <w:tc>
          <w:tcPr>
            <w:tcW w:w="1418" w:type="dxa"/>
            <w:vMerge w:val="restart"/>
            <w:tcBorders>
              <w:top w:val="single" w:sz="8" w:space="0" w:color="auto"/>
              <w:left w:val="single" w:sz="8" w:space="0" w:color="auto"/>
              <w:right w:val="single" w:sz="4" w:space="0" w:color="auto"/>
            </w:tcBorders>
            <w:shd w:val="clear" w:color="auto" w:fill="FFFFFF"/>
            <w:hideMark/>
          </w:tcPr>
          <w:p w:rsidR="006D00D4" w:rsidRPr="006D00D4" w:rsidRDefault="006D00D4" w:rsidP="006D00D4">
            <w:pPr>
              <w:rPr>
                <w:rFonts w:asciiTheme="minorHAnsi" w:hAnsiTheme="minorHAnsi" w:cstheme="minorHAnsi"/>
                <w:b/>
                <w:bCs/>
                <w:sz w:val="22"/>
                <w:szCs w:val="22"/>
              </w:rPr>
            </w:pPr>
            <w:r w:rsidRPr="006D00D4">
              <w:rPr>
                <w:rFonts w:asciiTheme="minorHAnsi" w:hAnsiTheme="minorHAnsi" w:cstheme="minorHAnsi"/>
                <w:b/>
                <w:bCs/>
                <w:sz w:val="22"/>
                <w:szCs w:val="22"/>
              </w:rPr>
              <w:t xml:space="preserve">2.1. </w:t>
            </w:r>
            <w:r w:rsidRPr="006D00D4">
              <w:rPr>
                <w:rFonts w:asciiTheme="minorHAnsi" w:hAnsiTheme="minorHAnsi" w:cstheme="minorHAnsi"/>
                <w:b/>
                <w:color w:val="000000"/>
                <w:sz w:val="22"/>
                <w:szCs w:val="22"/>
              </w:rPr>
              <w:t xml:space="preserve">Digitální růst: Strategický rámec politiky pro digitální růst, který má podněcovat cenově dostupné, kvalitní a interoperabilní soukromé a veřejné služby v oblasti IKT a zvýšit míru jejich využívání občany (včetně zranitelných skupin), </w:t>
            </w:r>
            <w:r w:rsidRPr="006D00D4">
              <w:rPr>
                <w:rFonts w:asciiTheme="minorHAnsi" w:hAnsiTheme="minorHAnsi" w:cstheme="minorHAnsi"/>
                <w:b/>
                <w:color w:val="000000"/>
                <w:sz w:val="22"/>
                <w:szCs w:val="22"/>
              </w:rPr>
              <w:lastRenderedPageBreak/>
              <w:t>podniky a orgány veřejné správy včetně přeshraničních iniciativ.</w:t>
            </w:r>
          </w:p>
        </w:tc>
        <w:tc>
          <w:tcPr>
            <w:tcW w:w="1276" w:type="dxa"/>
            <w:vMerge w:val="restart"/>
            <w:tcBorders>
              <w:top w:val="single" w:sz="8" w:space="0" w:color="auto"/>
              <w:left w:val="single" w:sz="4" w:space="0" w:color="auto"/>
              <w:right w:val="single" w:sz="4" w:space="0" w:color="auto"/>
            </w:tcBorders>
            <w:shd w:val="clear" w:color="auto" w:fill="FFFFFF"/>
            <w:hideMark/>
          </w:tcPr>
          <w:p w:rsidR="006D00D4" w:rsidRPr="006D00D4" w:rsidRDefault="006D00D4" w:rsidP="006D00D4">
            <w:pPr>
              <w:tabs>
                <w:tab w:val="left" w:pos="900"/>
              </w:tabs>
              <w:ind w:right="-23"/>
              <w:rPr>
                <w:rFonts w:asciiTheme="minorHAnsi" w:hAnsiTheme="minorHAnsi" w:cstheme="minorHAnsi"/>
                <w:sz w:val="22"/>
                <w:szCs w:val="22"/>
              </w:rPr>
            </w:pPr>
            <w:r w:rsidRPr="006D00D4">
              <w:rPr>
                <w:rFonts w:asciiTheme="minorHAnsi" w:hAnsiTheme="minorHAnsi" w:cstheme="minorHAnsi"/>
                <w:sz w:val="22"/>
                <w:szCs w:val="22"/>
              </w:rPr>
              <w:lastRenderedPageBreak/>
              <w:t>OP PIK, PO 4 - Rozvoj vysokorychlostních přístupových sítí k internetu a informačních a komunikačních technologií</w:t>
            </w:r>
          </w:p>
          <w:p w:rsidR="006D00D4" w:rsidRPr="006D00D4" w:rsidRDefault="006D00D4" w:rsidP="006D00D4">
            <w:pPr>
              <w:tabs>
                <w:tab w:val="left" w:pos="900"/>
              </w:tabs>
              <w:ind w:right="-23"/>
              <w:rPr>
                <w:rFonts w:asciiTheme="minorHAnsi" w:hAnsiTheme="minorHAnsi" w:cstheme="minorHAnsi"/>
                <w:sz w:val="22"/>
                <w:szCs w:val="22"/>
              </w:rPr>
            </w:pPr>
            <w:r w:rsidRPr="006D00D4">
              <w:rPr>
                <w:rFonts w:asciiTheme="minorHAnsi" w:hAnsiTheme="minorHAnsi" w:cstheme="minorHAnsi"/>
                <w:sz w:val="22"/>
                <w:szCs w:val="22"/>
              </w:rPr>
              <w:t>IROP, PO 3: Dobrá správa území a zefektivnění veřejných institucí</w:t>
            </w:r>
          </w:p>
        </w:tc>
        <w:tc>
          <w:tcPr>
            <w:tcW w:w="1134" w:type="dxa"/>
            <w:vMerge w:val="restart"/>
            <w:tcBorders>
              <w:top w:val="single" w:sz="8" w:space="0" w:color="auto"/>
              <w:left w:val="single" w:sz="4" w:space="0" w:color="auto"/>
              <w:right w:val="double" w:sz="6" w:space="0" w:color="auto"/>
            </w:tcBorders>
            <w:shd w:val="clear" w:color="auto" w:fill="FFFFFF"/>
            <w:hideMark/>
          </w:tcPr>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Částečně</w:t>
            </w:r>
          </w:p>
        </w:tc>
        <w:tc>
          <w:tcPr>
            <w:tcW w:w="2835" w:type="dxa"/>
            <w:tcBorders>
              <w:top w:val="single" w:sz="8" w:space="0" w:color="auto"/>
              <w:left w:val="nil"/>
              <w:bottom w:val="dotted" w:sz="4" w:space="0" w:color="auto"/>
              <w:right w:val="single" w:sz="4" w:space="0" w:color="auto"/>
            </w:tcBorders>
            <w:shd w:val="clear" w:color="auto" w:fill="FFFFFF"/>
            <w:hideMark/>
          </w:tcPr>
          <w:p w:rsidR="006D00D4" w:rsidRPr="006D00D4" w:rsidRDefault="006D00D4" w:rsidP="006D00D4">
            <w:pPr>
              <w:rPr>
                <w:rFonts w:asciiTheme="minorHAnsi" w:hAnsiTheme="minorHAnsi" w:cstheme="minorHAnsi"/>
                <w:bCs/>
                <w:sz w:val="22"/>
                <w:szCs w:val="22"/>
              </w:rPr>
            </w:pPr>
            <w:r w:rsidRPr="006D00D4">
              <w:rPr>
                <w:rFonts w:asciiTheme="minorHAnsi" w:hAnsiTheme="minorHAnsi" w:cstheme="minorHAnsi"/>
                <w:color w:val="000000"/>
                <w:sz w:val="22"/>
                <w:szCs w:val="22"/>
              </w:rPr>
              <w:t>V rámci národní nebo regionální strategie pro inteligentní specializaci je vypracován například strategický rámec politiky pro digitální růst, který obsahuje:</w:t>
            </w:r>
          </w:p>
        </w:tc>
        <w:tc>
          <w:tcPr>
            <w:tcW w:w="1275" w:type="dxa"/>
            <w:tcBorders>
              <w:top w:val="single" w:sz="8" w:space="0" w:color="auto"/>
              <w:left w:val="nil"/>
              <w:bottom w:val="dotted" w:sz="4" w:space="0" w:color="auto"/>
              <w:right w:val="double" w:sz="6" w:space="0" w:color="auto"/>
            </w:tcBorders>
            <w:shd w:val="clear" w:color="auto" w:fill="FFFFFF"/>
            <w:hideMark/>
          </w:tcPr>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částečně</w:t>
            </w:r>
          </w:p>
        </w:tc>
        <w:tc>
          <w:tcPr>
            <w:tcW w:w="2977" w:type="dxa"/>
            <w:tcBorders>
              <w:top w:val="single" w:sz="8" w:space="0" w:color="auto"/>
              <w:left w:val="nil"/>
              <w:bottom w:val="dotted" w:sz="4" w:space="0" w:color="auto"/>
              <w:right w:val="double" w:sz="6" w:space="0" w:color="auto"/>
            </w:tcBorders>
            <w:shd w:val="clear" w:color="auto" w:fill="FFFFFF"/>
            <w:hideMark/>
          </w:tcPr>
          <w:p w:rsidR="006D00D4" w:rsidRPr="006D00D4" w:rsidRDefault="00400236" w:rsidP="003721F8">
            <w:pPr>
              <w:keepNext/>
              <w:overflowPunct/>
              <w:autoSpaceDE/>
              <w:autoSpaceDN/>
              <w:adjustRightInd/>
              <w:textAlignment w:val="auto"/>
              <w:outlineLvl w:val="2"/>
              <w:rPr>
                <w:rFonts w:asciiTheme="minorHAnsi" w:hAnsiTheme="minorHAnsi" w:cstheme="minorHAnsi"/>
                <w:sz w:val="22"/>
                <w:szCs w:val="22"/>
              </w:rPr>
            </w:pPr>
            <w:hyperlink r:id="rId41" w:history="1">
              <w:r w:rsidR="006D00D4" w:rsidRPr="006D00D4">
                <w:rPr>
                  <w:rStyle w:val="Hypertextovodkaz"/>
                  <w:rFonts w:asciiTheme="minorHAnsi" w:hAnsiTheme="minorHAnsi" w:cstheme="minorHAnsi"/>
                  <w:sz w:val="22"/>
                  <w:szCs w:val="22"/>
                </w:rPr>
                <w:t>http://www.mpo.cz/dokument83642.html</w:t>
              </w:r>
            </w:hyperlink>
            <w:r w:rsidR="006D00D4" w:rsidRPr="006D00D4">
              <w:rPr>
                <w:rFonts w:asciiTheme="minorHAnsi" w:hAnsiTheme="minorHAnsi" w:cstheme="minorHAnsi"/>
                <w:sz w:val="22"/>
                <w:szCs w:val="22"/>
              </w:rPr>
              <w:t xml:space="preserve"> </w:t>
            </w:r>
          </w:p>
          <w:p w:rsidR="006D00D4" w:rsidRPr="006D00D4" w:rsidRDefault="006D00D4" w:rsidP="003721F8">
            <w:pPr>
              <w:keepNext/>
              <w:overflowPunct/>
              <w:autoSpaceDE/>
              <w:autoSpaceDN/>
              <w:adjustRightInd/>
              <w:textAlignment w:val="auto"/>
              <w:outlineLvl w:val="2"/>
              <w:rPr>
                <w:rFonts w:asciiTheme="minorHAnsi" w:hAnsiTheme="minorHAnsi" w:cstheme="minorHAnsi"/>
                <w:sz w:val="22"/>
                <w:szCs w:val="22"/>
              </w:rPr>
            </w:pPr>
          </w:p>
          <w:p w:rsidR="006D00D4" w:rsidRDefault="00400236" w:rsidP="003721F8">
            <w:pPr>
              <w:keepNext/>
              <w:overflowPunct/>
              <w:autoSpaceDE/>
              <w:autoSpaceDN/>
              <w:adjustRightInd/>
              <w:textAlignment w:val="auto"/>
              <w:outlineLvl w:val="2"/>
              <w:rPr>
                <w:rStyle w:val="Hypertextovodkaz"/>
                <w:rFonts w:asciiTheme="minorHAnsi" w:hAnsiTheme="minorHAnsi" w:cstheme="minorHAnsi"/>
                <w:sz w:val="22"/>
                <w:szCs w:val="22"/>
              </w:rPr>
            </w:pPr>
            <w:hyperlink r:id="rId42" w:history="1">
              <w:r w:rsidR="003721F8" w:rsidRPr="006D00D4">
                <w:rPr>
                  <w:rStyle w:val="Hypertextovodkaz"/>
                  <w:rFonts w:asciiTheme="minorHAnsi" w:hAnsiTheme="minorHAnsi" w:cstheme="minorHAnsi"/>
                  <w:sz w:val="22"/>
                  <w:szCs w:val="22"/>
                </w:rPr>
                <w:t>http://www.mpo.cz/assets/cz/e-komunikace-a-posta/Internet/2013/4/Digi_esko_v.2.0.pdf</w:t>
              </w:r>
            </w:hyperlink>
          </w:p>
          <w:p w:rsidR="003721F8" w:rsidRPr="006D00D4" w:rsidRDefault="003721F8" w:rsidP="003721F8">
            <w:pPr>
              <w:keepNext/>
              <w:overflowPunct/>
              <w:autoSpaceDE/>
              <w:autoSpaceDN/>
              <w:adjustRightInd/>
              <w:textAlignment w:val="auto"/>
              <w:outlineLvl w:val="2"/>
              <w:rPr>
                <w:rFonts w:asciiTheme="minorHAnsi" w:hAnsiTheme="minorHAnsi" w:cstheme="minorHAnsi"/>
                <w:sz w:val="22"/>
                <w:szCs w:val="22"/>
              </w:rPr>
            </w:pPr>
          </w:p>
          <w:p w:rsidR="00BC1E7E" w:rsidRDefault="00400236" w:rsidP="003721F8">
            <w:pPr>
              <w:keepNext/>
              <w:overflowPunct/>
              <w:autoSpaceDE/>
              <w:autoSpaceDN/>
              <w:adjustRightInd/>
              <w:textAlignment w:val="auto"/>
              <w:outlineLvl w:val="2"/>
              <w:rPr>
                <w:rFonts w:asciiTheme="minorHAnsi" w:hAnsiTheme="minorHAnsi" w:cstheme="minorHAnsi"/>
                <w:sz w:val="22"/>
                <w:szCs w:val="22"/>
              </w:rPr>
            </w:pPr>
            <w:hyperlink r:id="rId43" w:history="1">
              <w:r w:rsidR="003721F8" w:rsidRPr="00934F4B">
                <w:rPr>
                  <w:rStyle w:val="Hypertextovodkaz"/>
                  <w:rFonts w:asciiTheme="minorHAnsi" w:hAnsiTheme="minorHAnsi" w:cstheme="minorHAnsi"/>
                  <w:sz w:val="22"/>
                  <w:szCs w:val="22"/>
                </w:rPr>
                <w:t>http://www.mpo.cz/dokument119071.html</w:t>
              </w:r>
            </w:hyperlink>
            <w:r w:rsidR="006D00D4" w:rsidRPr="006D00D4">
              <w:rPr>
                <w:rFonts w:asciiTheme="minorHAnsi" w:hAnsiTheme="minorHAnsi" w:cstheme="minorHAnsi"/>
                <w:sz w:val="22"/>
                <w:szCs w:val="22"/>
              </w:rPr>
              <w:t xml:space="preserve"> </w:t>
            </w:r>
          </w:p>
          <w:p w:rsidR="00BC1E7E" w:rsidRPr="00F22C9B" w:rsidRDefault="00BC1E7E" w:rsidP="00BC1E7E">
            <w:pPr>
              <w:spacing w:before="240" w:after="100" w:afterAutospacing="1"/>
              <w:jc w:val="both"/>
              <w:rPr>
                <w:rFonts w:asciiTheme="minorHAnsi" w:hAnsiTheme="minorHAnsi" w:cstheme="minorHAnsi"/>
                <w:sz w:val="22"/>
                <w:szCs w:val="22"/>
                <w:u w:val="single"/>
              </w:rPr>
            </w:pPr>
            <w:r w:rsidRPr="00F22C9B">
              <w:rPr>
                <w:rFonts w:asciiTheme="minorHAnsi" w:hAnsiTheme="minorHAnsi" w:cstheme="minorHAnsi"/>
                <w:sz w:val="22"/>
                <w:szCs w:val="22"/>
                <w:u w:val="single"/>
              </w:rPr>
              <w:t>Odkazy k Strategickému rámci rozvoje VS a k implementačnímu plánu k strategickému cíli č. 3:</w:t>
            </w:r>
          </w:p>
          <w:p w:rsidR="00BC1E7E" w:rsidRPr="00F22C9B" w:rsidRDefault="00400236" w:rsidP="00BC1E7E">
            <w:pPr>
              <w:jc w:val="both"/>
              <w:rPr>
                <w:rFonts w:asciiTheme="minorHAnsi" w:hAnsiTheme="minorHAnsi" w:cstheme="minorHAnsi"/>
                <w:sz w:val="22"/>
                <w:szCs w:val="22"/>
              </w:rPr>
            </w:pPr>
            <w:hyperlink r:id="rId44" w:history="1">
              <w:r w:rsidR="00BC1E7E" w:rsidRPr="00F22C9B">
                <w:rPr>
                  <w:rStyle w:val="Hypertextovodkaz"/>
                  <w:rFonts w:asciiTheme="minorHAnsi" w:hAnsiTheme="minorHAnsi" w:cstheme="minorHAnsi"/>
                  <w:sz w:val="22"/>
                  <w:szCs w:val="22"/>
                </w:rPr>
                <w:t>http://www.mvcr.cz/odk2/clanek/odbor-verejne-spravy-dozoru-a-kontroly.aspx?q=Y2hudW09OQ%3d%3d</w:t>
              </w:r>
            </w:hyperlink>
          </w:p>
          <w:p w:rsidR="00BC1E7E" w:rsidRPr="00F22C9B" w:rsidRDefault="00BC1E7E" w:rsidP="00BC1E7E">
            <w:pPr>
              <w:pStyle w:val="Odstavecseseznamem"/>
              <w:spacing w:after="0" w:line="240" w:lineRule="auto"/>
              <w:ind w:left="1146"/>
              <w:jc w:val="both"/>
              <w:rPr>
                <w:rFonts w:cstheme="minorHAnsi"/>
                <w:i/>
                <w:szCs w:val="22"/>
              </w:rPr>
            </w:pPr>
            <w:r w:rsidRPr="00F22C9B">
              <w:rPr>
                <w:rFonts w:cstheme="minorHAnsi"/>
                <w:i/>
                <w:szCs w:val="22"/>
              </w:rPr>
              <w:t xml:space="preserve">(včetně dokumentů vztahujících se </w:t>
            </w:r>
            <w:r w:rsidRPr="00F22C9B">
              <w:rPr>
                <w:rFonts w:cstheme="minorHAnsi"/>
                <w:i/>
                <w:szCs w:val="22"/>
              </w:rPr>
              <w:lastRenderedPageBreak/>
              <w:t>k Radě vlády pro veřejnou správu)</w:t>
            </w:r>
          </w:p>
          <w:p w:rsidR="00BC1E7E" w:rsidRPr="00F22C9B" w:rsidRDefault="00BC1E7E" w:rsidP="00BC1E7E">
            <w:pPr>
              <w:jc w:val="both"/>
              <w:rPr>
                <w:rFonts w:asciiTheme="minorHAnsi" w:hAnsiTheme="minorHAnsi" w:cstheme="minorHAnsi"/>
                <w:sz w:val="22"/>
                <w:szCs w:val="22"/>
              </w:rPr>
            </w:pPr>
          </w:p>
          <w:p w:rsidR="00BC1E7E" w:rsidRPr="00F22C9B" w:rsidRDefault="00400236" w:rsidP="00BC1E7E">
            <w:pPr>
              <w:keepNext/>
              <w:overflowPunct/>
              <w:autoSpaceDE/>
              <w:autoSpaceDN/>
              <w:adjustRightInd/>
              <w:textAlignment w:val="auto"/>
              <w:outlineLvl w:val="2"/>
              <w:rPr>
                <w:rStyle w:val="Hypertextovodkaz"/>
                <w:rFonts w:asciiTheme="minorHAnsi" w:hAnsiTheme="minorHAnsi" w:cstheme="minorHAnsi"/>
                <w:sz w:val="22"/>
                <w:szCs w:val="22"/>
              </w:rPr>
            </w:pPr>
            <w:hyperlink r:id="rId45" w:history="1">
              <w:r w:rsidR="00BC1E7E" w:rsidRPr="00F22C9B">
                <w:rPr>
                  <w:rStyle w:val="Hypertextovodkaz"/>
                  <w:rFonts w:asciiTheme="minorHAnsi" w:hAnsiTheme="minorHAnsi" w:cstheme="minorHAnsi"/>
                  <w:sz w:val="22"/>
                  <w:szCs w:val="22"/>
                </w:rPr>
                <w:t>http://databaze-strategie.cz/cz/mv/strategie/strategicky-ramec-rozvoje-verejne-spravy-ceske-republiky-pro-obdobi-2014-2020</w:t>
              </w:r>
            </w:hyperlink>
          </w:p>
          <w:p w:rsidR="00BC1E7E" w:rsidRPr="00F22C9B" w:rsidRDefault="00BC1E7E" w:rsidP="00BC1E7E">
            <w:pPr>
              <w:keepNext/>
              <w:overflowPunct/>
              <w:autoSpaceDE/>
              <w:autoSpaceDN/>
              <w:adjustRightInd/>
              <w:textAlignment w:val="auto"/>
              <w:outlineLvl w:val="2"/>
              <w:rPr>
                <w:rStyle w:val="Hypertextovodkaz"/>
                <w:rFonts w:asciiTheme="minorHAnsi" w:hAnsiTheme="minorHAnsi" w:cstheme="minorHAnsi"/>
                <w:sz w:val="22"/>
                <w:szCs w:val="22"/>
              </w:rPr>
            </w:pPr>
          </w:p>
          <w:p w:rsidR="00BC1E7E" w:rsidRPr="00D049EF" w:rsidRDefault="00400236" w:rsidP="00BC1E7E">
            <w:pPr>
              <w:jc w:val="both"/>
              <w:rPr>
                <w:rFonts w:asciiTheme="minorHAnsi" w:hAnsiTheme="minorHAnsi" w:cstheme="minorHAnsi"/>
                <w:color w:val="303030"/>
                <w:sz w:val="22"/>
                <w:szCs w:val="22"/>
              </w:rPr>
            </w:pPr>
            <w:hyperlink r:id="rId46" w:history="1">
              <w:r w:rsidR="00BC1E7E" w:rsidRPr="00F22C9B">
                <w:rPr>
                  <w:rStyle w:val="Hypertextovodkaz"/>
                  <w:rFonts w:asciiTheme="minorHAnsi" w:hAnsiTheme="minorHAnsi" w:cstheme="minorHAnsi"/>
                  <w:sz w:val="22"/>
                  <w:szCs w:val="22"/>
                </w:rPr>
                <w:t>http://www.msmt.cz/uploads/OP_VVV/Narodni_RIS3_strategie_schvalena_vladou_8._12._2014.pdf</w:t>
              </w:r>
            </w:hyperlink>
          </w:p>
          <w:p w:rsidR="00BC1E7E" w:rsidRPr="006D00D4" w:rsidRDefault="00BC1E7E" w:rsidP="003721F8">
            <w:pPr>
              <w:keepNext/>
              <w:overflowPunct/>
              <w:autoSpaceDE/>
              <w:autoSpaceDN/>
              <w:adjustRightInd/>
              <w:textAlignment w:val="auto"/>
              <w:outlineLvl w:val="2"/>
              <w:rPr>
                <w:rFonts w:asciiTheme="minorHAnsi" w:hAnsiTheme="minorHAnsi" w:cstheme="minorHAnsi"/>
                <w:sz w:val="22"/>
                <w:szCs w:val="22"/>
              </w:rPr>
            </w:pPr>
          </w:p>
        </w:tc>
        <w:tc>
          <w:tcPr>
            <w:tcW w:w="4253" w:type="dxa"/>
            <w:tcBorders>
              <w:top w:val="single" w:sz="8" w:space="0" w:color="auto"/>
              <w:left w:val="nil"/>
              <w:right w:val="single" w:sz="8" w:space="0" w:color="auto"/>
            </w:tcBorders>
            <w:shd w:val="clear" w:color="auto" w:fill="FFFFFF"/>
            <w:hideMark/>
          </w:tcPr>
          <w:p w:rsidR="006D00D4" w:rsidRPr="006D00D4" w:rsidRDefault="006D00D4" w:rsidP="00F22C9B">
            <w:pPr>
              <w:jc w:val="both"/>
              <w:rPr>
                <w:rFonts w:asciiTheme="minorHAnsi" w:hAnsiTheme="minorHAnsi" w:cstheme="minorHAnsi"/>
                <w:sz w:val="22"/>
                <w:szCs w:val="22"/>
              </w:rPr>
            </w:pPr>
            <w:r w:rsidRPr="006D00D4">
              <w:rPr>
                <w:rFonts w:asciiTheme="minorHAnsi" w:hAnsiTheme="minorHAnsi" w:cstheme="minorHAnsi"/>
                <w:sz w:val="22"/>
                <w:szCs w:val="22"/>
              </w:rPr>
              <w:lastRenderedPageBreak/>
              <w:t xml:space="preserve">Opatření jsou obsažena v dokumentech: </w:t>
            </w:r>
          </w:p>
          <w:p w:rsidR="006D00D4" w:rsidRPr="006D00D4" w:rsidRDefault="006D00D4" w:rsidP="00F22C9B">
            <w:pPr>
              <w:jc w:val="both"/>
              <w:rPr>
                <w:rFonts w:asciiTheme="minorHAnsi" w:hAnsiTheme="minorHAnsi" w:cstheme="minorHAnsi"/>
                <w:sz w:val="22"/>
                <w:szCs w:val="22"/>
              </w:rPr>
            </w:pPr>
            <w:r w:rsidRPr="006D00D4">
              <w:rPr>
                <w:rFonts w:asciiTheme="minorHAnsi" w:hAnsiTheme="minorHAnsi" w:cstheme="minorHAnsi"/>
                <w:sz w:val="22"/>
                <w:szCs w:val="22"/>
              </w:rPr>
              <w:t>1. Státní politika v elektronických komunikacích - Digitální Česko,</w:t>
            </w:r>
          </w:p>
          <w:p w:rsidR="006D00D4" w:rsidRPr="006D00D4" w:rsidRDefault="006D00D4" w:rsidP="00F22C9B">
            <w:pPr>
              <w:jc w:val="both"/>
              <w:rPr>
                <w:rFonts w:asciiTheme="minorHAnsi" w:hAnsiTheme="minorHAnsi" w:cstheme="minorHAnsi"/>
                <w:sz w:val="22"/>
                <w:szCs w:val="22"/>
              </w:rPr>
            </w:pPr>
            <w:r w:rsidRPr="006D00D4">
              <w:rPr>
                <w:rFonts w:asciiTheme="minorHAnsi" w:hAnsiTheme="minorHAnsi" w:cstheme="minorHAnsi"/>
                <w:sz w:val="22"/>
                <w:szCs w:val="22"/>
              </w:rPr>
              <w:t>2."Digitální Česko 2.0 - Cesta k digitální ekonomice"</w:t>
            </w:r>
          </w:p>
          <w:p w:rsidR="006D00D4" w:rsidRPr="006D00D4" w:rsidRDefault="006D00D4" w:rsidP="00F22C9B">
            <w:pPr>
              <w:jc w:val="both"/>
              <w:rPr>
                <w:rFonts w:asciiTheme="minorHAnsi" w:hAnsiTheme="minorHAnsi" w:cstheme="minorHAnsi"/>
                <w:sz w:val="22"/>
                <w:szCs w:val="22"/>
              </w:rPr>
            </w:pPr>
            <w:r w:rsidRPr="006D00D4">
              <w:rPr>
                <w:rFonts w:asciiTheme="minorHAnsi" w:hAnsiTheme="minorHAnsi" w:cstheme="minorHAnsi"/>
                <w:sz w:val="22"/>
                <w:szCs w:val="22"/>
              </w:rPr>
              <w:t>3. Koncepce podpory malých a středních podnikatelů na období let 2014 – 2020</w:t>
            </w:r>
          </w:p>
          <w:p w:rsidR="006D00D4" w:rsidRPr="006D00D4" w:rsidRDefault="006D00D4" w:rsidP="00F22C9B">
            <w:pPr>
              <w:pStyle w:val="Tabulka"/>
              <w:spacing w:after="0"/>
              <w:jc w:val="both"/>
              <w:rPr>
                <w:rFonts w:asciiTheme="minorHAnsi" w:hAnsiTheme="minorHAnsi" w:cstheme="minorHAnsi"/>
                <w:b w:val="0"/>
                <w:color w:val="auto"/>
                <w:sz w:val="22"/>
                <w:szCs w:val="22"/>
              </w:rPr>
            </w:pPr>
            <w:r w:rsidRPr="006D00D4">
              <w:rPr>
                <w:rFonts w:asciiTheme="minorHAnsi" w:hAnsiTheme="minorHAnsi" w:cstheme="minorHAnsi"/>
                <w:b w:val="0"/>
                <w:color w:val="auto"/>
                <w:sz w:val="22"/>
                <w:szCs w:val="22"/>
              </w:rPr>
              <w:t>4. Strategický rámec rozvoje veřejné správy České republiky pro období 2014 – 2020 (dále jen „Strategický rámec rozvoje VS“)</w:t>
            </w:r>
            <w:r w:rsidR="001259CB">
              <w:rPr>
                <w:rFonts w:asciiTheme="minorHAnsi" w:hAnsiTheme="minorHAnsi" w:cstheme="minorHAnsi"/>
                <w:b w:val="0"/>
                <w:color w:val="auto"/>
                <w:sz w:val="22"/>
                <w:szCs w:val="22"/>
              </w:rPr>
              <w:t xml:space="preserve"> a z něj vycházející Implementační plán k strategickému cíli č. 3 </w:t>
            </w:r>
            <w:r w:rsidR="001259CB" w:rsidRPr="005E3934">
              <w:rPr>
                <w:rFonts w:asciiTheme="minorHAnsi" w:hAnsiTheme="minorHAnsi" w:cstheme="minorHAnsi"/>
                <w:b w:val="0"/>
                <w:i/>
                <w:color w:val="auto"/>
                <w:sz w:val="22"/>
                <w:szCs w:val="22"/>
              </w:rPr>
              <w:t xml:space="preserve">Zvýšení dostupnosti a transparentnosti veřejné správy prostřednictvím nástrojů </w:t>
            </w:r>
            <w:proofErr w:type="spellStart"/>
            <w:r w:rsidR="001259CB" w:rsidRPr="005E3934">
              <w:rPr>
                <w:rFonts w:asciiTheme="minorHAnsi" w:hAnsiTheme="minorHAnsi" w:cstheme="minorHAnsi"/>
                <w:b w:val="0"/>
                <w:i/>
                <w:color w:val="auto"/>
                <w:sz w:val="22"/>
                <w:szCs w:val="22"/>
              </w:rPr>
              <w:t>eGovernmentu</w:t>
            </w:r>
            <w:proofErr w:type="spellEnd"/>
            <w:r w:rsidRPr="006D00D4">
              <w:rPr>
                <w:rFonts w:asciiTheme="minorHAnsi" w:hAnsiTheme="minorHAnsi" w:cstheme="minorHAnsi"/>
                <w:b w:val="0"/>
                <w:color w:val="auto"/>
                <w:sz w:val="22"/>
                <w:szCs w:val="22"/>
              </w:rPr>
              <w:t>.</w:t>
            </w:r>
          </w:p>
          <w:p w:rsidR="006D00D4" w:rsidRPr="006D00D4" w:rsidRDefault="006D00D4" w:rsidP="00F22C9B">
            <w:pPr>
              <w:jc w:val="both"/>
              <w:rPr>
                <w:rFonts w:asciiTheme="minorHAnsi" w:hAnsiTheme="minorHAnsi" w:cstheme="minorHAnsi"/>
                <w:sz w:val="22"/>
                <w:szCs w:val="22"/>
              </w:rPr>
            </w:pPr>
            <w:r w:rsidRPr="006D00D4">
              <w:rPr>
                <w:rFonts w:asciiTheme="minorHAnsi" w:hAnsiTheme="minorHAnsi" w:cstheme="minorHAnsi"/>
                <w:sz w:val="22"/>
                <w:szCs w:val="22"/>
              </w:rPr>
              <w:t>Průběžně se vyhodnocuje implementace programu ICT a strategické služby (program podpory OPPI).</w:t>
            </w:r>
          </w:p>
          <w:p w:rsidR="006D00D4" w:rsidRPr="006D00D4" w:rsidRDefault="006D00D4" w:rsidP="00F22C9B">
            <w:pPr>
              <w:jc w:val="both"/>
              <w:rPr>
                <w:rFonts w:asciiTheme="minorHAnsi" w:hAnsiTheme="minorHAnsi" w:cstheme="minorHAnsi"/>
                <w:sz w:val="22"/>
                <w:szCs w:val="22"/>
              </w:rPr>
            </w:pPr>
            <w:r w:rsidRPr="006D00D4">
              <w:rPr>
                <w:rFonts w:asciiTheme="minorHAnsi" w:hAnsiTheme="minorHAnsi" w:cstheme="minorHAnsi"/>
                <w:sz w:val="22"/>
                <w:szCs w:val="22"/>
              </w:rPr>
              <w:t>Z pohledu intervencí OP PIK je strategický rámec vytvořen.</w:t>
            </w:r>
          </w:p>
          <w:p w:rsidR="006D00D4" w:rsidRPr="006D00D4" w:rsidRDefault="006D00D4" w:rsidP="00F22C9B">
            <w:pPr>
              <w:jc w:val="both"/>
              <w:rPr>
                <w:rFonts w:asciiTheme="minorHAnsi" w:hAnsiTheme="minorHAnsi" w:cstheme="minorHAnsi"/>
                <w:sz w:val="22"/>
                <w:szCs w:val="22"/>
              </w:rPr>
            </w:pPr>
            <w:r w:rsidRPr="006D00D4">
              <w:rPr>
                <w:rFonts w:asciiTheme="minorHAnsi" w:hAnsiTheme="minorHAnsi" w:cstheme="minorHAnsi"/>
                <w:sz w:val="22"/>
                <w:szCs w:val="22"/>
              </w:rPr>
              <w:t xml:space="preserve">Strategický rámec </w:t>
            </w:r>
            <w:r w:rsidR="00BC1E7E">
              <w:rPr>
                <w:rFonts w:asciiTheme="minorHAnsi" w:hAnsiTheme="minorHAnsi" w:cstheme="minorHAnsi"/>
                <w:sz w:val="22"/>
                <w:szCs w:val="22"/>
              </w:rPr>
              <w:t xml:space="preserve">je </w:t>
            </w:r>
            <w:r w:rsidRPr="006D00D4">
              <w:rPr>
                <w:rFonts w:asciiTheme="minorHAnsi" w:hAnsiTheme="minorHAnsi" w:cstheme="minorHAnsi"/>
                <w:sz w:val="22"/>
                <w:szCs w:val="22"/>
              </w:rPr>
              <w:t xml:space="preserve">dotvořen také </w:t>
            </w:r>
            <w:r w:rsidR="00BC1E7E" w:rsidRPr="008028A0">
              <w:rPr>
                <w:rFonts w:asciiTheme="minorHAnsi" w:hAnsiTheme="minorHAnsi" w:cstheme="minorHAnsi"/>
                <w:sz w:val="22"/>
                <w:szCs w:val="22"/>
              </w:rPr>
              <w:t>Národní výzkumn</w:t>
            </w:r>
            <w:r w:rsidR="00BC1E7E">
              <w:rPr>
                <w:rFonts w:asciiTheme="minorHAnsi" w:hAnsiTheme="minorHAnsi" w:cstheme="minorHAnsi"/>
                <w:sz w:val="22"/>
                <w:szCs w:val="22"/>
              </w:rPr>
              <w:t>ou</w:t>
            </w:r>
            <w:r w:rsidR="00BC1E7E" w:rsidRPr="008028A0">
              <w:rPr>
                <w:rFonts w:asciiTheme="minorHAnsi" w:hAnsiTheme="minorHAnsi" w:cstheme="minorHAnsi"/>
                <w:sz w:val="22"/>
                <w:szCs w:val="22"/>
              </w:rPr>
              <w:t xml:space="preserve"> a inovační strategií pro inteligentní specializaci České republiky</w:t>
            </w:r>
            <w:r w:rsidR="00BC1E7E" w:rsidRPr="008028A0" w:rsidDel="00F141CC">
              <w:rPr>
                <w:rFonts w:asciiTheme="minorHAnsi" w:hAnsiTheme="minorHAnsi" w:cstheme="minorHAnsi"/>
                <w:sz w:val="22"/>
                <w:szCs w:val="22"/>
              </w:rPr>
              <w:t xml:space="preserve"> </w:t>
            </w:r>
            <w:r w:rsidR="00BC1E7E" w:rsidRPr="008028A0">
              <w:rPr>
                <w:rFonts w:asciiTheme="minorHAnsi" w:hAnsiTheme="minorHAnsi" w:cstheme="minorHAnsi"/>
                <w:sz w:val="22"/>
                <w:szCs w:val="22"/>
              </w:rPr>
              <w:t>(Národní RIS3 strategie)</w:t>
            </w:r>
            <w:r w:rsidRPr="006D00D4">
              <w:rPr>
                <w:rFonts w:asciiTheme="minorHAnsi" w:hAnsiTheme="minorHAnsi" w:cstheme="minorHAnsi"/>
                <w:sz w:val="22"/>
                <w:szCs w:val="22"/>
              </w:rPr>
              <w:t>.</w:t>
            </w:r>
          </w:p>
        </w:tc>
      </w:tr>
      <w:tr w:rsidR="006D00D4" w:rsidRPr="006D00D4" w:rsidTr="006D00D4">
        <w:trPr>
          <w:trHeight w:val="294"/>
        </w:trPr>
        <w:tc>
          <w:tcPr>
            <w:tcW w:w="1418" w:type="dxa"/>
            <w:vMerge/>
            <w:tcBorders>
              <w:left w:val="single" w:sz="8" w:space="0" w:color="auto"/>
              <w:right w:val="single" w:sz="4" w:space="0" w:color="auto"/>
            </w:tcBorders>
            <w:shd w:val="clear" w:color="auto" w:fill="FFFFFF"/>
            <w:hideMark/>
          </w:tcPr>
          <w:p w:rsidR="006D00D4" w:rsidRPr="006D00D4" w:rsidRDefault="006D00D4" w:rsidP="00A7602D">
            <w:pPr>
              <w:keepNext/>
              <w:numPr>
                <w:ilvl w:val="2"/>
                <w:numId w:val="35"/>
              </w:numPr>
              <w:overflowPunct/>
              <w:autoSpaceDE/>
              <w:autoSpaceDN/>
              <w:adjustRightInd/>
              <w:ind w:left="0"/>
              <w:jc w:val="center"/>
              <w:textAlignment w:val="auto"/>
              <w:outlineLvl w:val="2"/>
              <w:rPr>
                <w:rFonts w:asciiTheme="minorHAnsi" w:hAnsiTheme="minorHAnsi" w:cstheme="minorHAnsi"/>
                <w:b/>
                <w:bCs/>
                <w:sz w:val="22"/>
                <w:szCs w:val="22"/>
              </w:rPr>
            </w:pPr>
          </w:p>
        </w:tc>
        <w:tc>
          <w:tcPr>
            <w:tcW w:w="1276" w:type="dxa"/>
            <w:vMerge/>
            <w:tcBorders>
              <w:left w:val="single" w:sz="4" w:space="0" w:color="auto"/>
              <w:right w:val="single" w:sz="4" w:space="0" w:color="auto"/>
            </w:tcBorders>
            <w:shd w:val="clear" w:color="auto" w:fill="FFFFFF"/>
            <w:hideMark/>
          </w:tcPr>
          <w:p w:rsidR="006D00D4" w:rsidRPr="006D00D4" w:rsidRDefault="006D00D4" w:rsidP="00A7602D">
            <w:pPr>
              <w:keepNext/>
              <w:numPr>
                <w:ilvl w:val="2"/>
                <w:numId w:val="35"/>
              </w:numPr>
              <w:tabs>
                <w:tab w:val="left" w:pos="900"/>
              </w:tabs>
              <w:overflowPunct/>
              <w:autoSpaceDE/>
              <w:autoSpaceDN/>
              <w:adjustRightInd/>
              <w:ind w:left="0" w:right="-20"/>
              <w:jc w:val="center"/>
              <w:textAlignment w:val="auto"/>
              <w:outlineLvl w:val="2"/>
              <w:rPr>
                <w:rFonts w:asciiTheme="minorHAnsi" w:hAnsiTheme="minorHAnsi" w:cstheme="minorHAnsi"/>
                <w:sz w:val="22"/>
                <w:szCs w:val="22"/>
              </w:rPr>
            </w:pPr>
          </w:p>
        </w:tc>
        <w:tc>
          <w:tcPr>
            <w:tcW w:w="1134" w:type="dxa"/>
            <w:vMerge/>
            <w:tcBorders>
              <w:left w:val="single" w:sz="4" w:space="0" w:color="auto"/>
              <w:right w:val="double" w:sz="6" w:space="0" w:color="auto"/>
            </w:tcBorders>
            <w:shd w:val="clear" w:color="auto" w:fill="FFFFFF"/>
            <w:hideMark/>
          </w:tcPr>
          <w:p w:rsidR="006D00D4" w:rsidRPr="006D00D4" w:rsidRDefault="006D00D4" w:rsidP="00A7602D">
            <w:pPr>
              <w:keepNext/>
              <w:numPr>
                <w:ilvl w:val="2"/>
                <w:numId w:val="35"/>
              </w:numPr>
              <w:overflowPunct/>
              <w:autoSpaceDE/>
              <w:autoSpaceDN/>
              <w:adjustRightInd/>
              <w:ind w:left="0"/>
              <w:jc w:val="center"/>
              <w:textAlignment w:val="auto"/>
              <w:outlineLvl w:val="2"/>
              <w:rPr>
                <w:rFonts w:asciiTheme="minorHAnsi" w:hAnsiTheme="minorHAnsi" w:cstheme="minorHAnsi"/>
                <w:sz w:val="22"/>
                <w:szCs w:val="22"/>
              </w:rPr>
            </w:pPr>
          </w:p>
        </w:tc>
        <w:tc>
          <w:tcPr>
            <w:tcW w:w="2835" w:type="dxa"/>
            <w:tcBorders>
              <w:top w:val="single" w:sz="8" w:space="0" w:color="auto"/>
              <w:left w:val="nil"/>
              <w:bottom w:val="dotted" w:sz="4" w:space="0" w:color="auto"/>
              <w:right w:val="single" w:sz="4" w:space="0" w:color="auto"/>
            </w:tcBorders>
            <w:shd w:val="clear" w:color="auto" w:fill="FFFFFF"/>
            <w:hideMark/>
          </w:tcPr>
          <w:p w:rsidR="006D00D4" w:rsidRPr="006D00D4" w:rsidRDefault="006D00D4" w:rsidP="006D00D4">
            <w:pPr>
              <w:pStyle w:val="Odstavecseseznamem"/>
              <w:numPr>
                <w:ilvl w:val="0"/>
                <w:numId w:val="2"/>
              </w:numPr>
              <w:overflowPunct/>
              <w:autoSpaceDE/>
              <w:autoSpaceDN/>
              <w:adjustRightInd/>
              <w:spacing w:after="0" w:line="240" w:lineRule="auto"/>
              <w:ind w:left="355"/>
              <w:jc w:val="both"/>
              <w:textAlignment w:val="auto"/>
              <w:rPr>
                <w:rFonts w:cstheme="minorHAnsi"/>
                <w:bCs/>
                <w:szCs w:val="22"/>
              </w:rPr>
            </w:pPr>
            <w:r w:rsidRPr="006D00D4">
              <w:rPr>
                <w:rFonts w:cstheme="minorHAnsi"/>
                <w:bCs/>
                <w:szCs w:val="22"/>
              </w:rPr>
              <w:t>sestavování rozpočtu a stanovování pořadí důležitosti opatření prostřednictvím SWOT nebo podobné analýzy provedené v souladu se srovnávacím přehledem Digitální agendy pro Evropu,</w:t>
            </w:r>
          </w:p>
        </w:tc>
        <w:tc>
          <w:tcPr>
            <w:tcW w:w="1275" w:type="dxa"/>
            <w:tcBorders>
              <w:top w:val="single" w:sz="8" w:space="0" w:color="auto"/>
              <w:left w:val="nil"/>
              <w:bottom w:val="dotted" w:sz="4" w:space="0" w:color="auto"/>
              <w:right w:val="double" w:sz="6" w:space="0" w:color="auto"/>
            </w:tcBorders>
            <w:shd w:val="clear" w:color="auto" w:fill="FFFFFF"/>
            <w:hideMark/>
          </w:tcPr>
          <w:p w:rsidR="006D00D4" w:rsidRPr="006D00D4" w:rsidRDefault="006D00D4" w:rsidP="006D00D4">
            <w:pPr>
              <w:jc w:val="center"/>
              <w:rPr>
                <w:rFonts w:asciiTheme="minorHAnsi" w:hAnsiTheme="minorHAnsi" w:cstheme="minorHAnsi"/>
                <w:sz w:val="22"/>
                <w:szCs w:val="22"/>
              </w:rPr>
            </w:pPr>
            <w:r w:rsidRPr="006D00D4">
              <w:rPr>
                <w:rFonts w:asciiTheme="minorHAnsi" w:hAnsiTheme="minorHAnsi" w:cstheme="minorHAnsi"/>
                <w:sz w:val="22"/>
                <w:szCs w:val="22"/>
              </w:rPr>
              <w:t>ano</w:t>
            </w:r>
          </w:p>
        </w:tc>
        <w:tc>
          <w:tcPr>
            <w:tcW w:w="2977" w:type="dxa"/>
            <w:tcBorders>
              <w:top w:val="single" w:sz="8" w:space="0" w:color="auto"/>
              <w:left w:val="nil"/>
              <w:bottom w:val="dotted" w:sz="4" w:space="0" w:color="auto"/>
              <w:right w:val="double" w:sz="6" w:space="0" w:color="auto"/>
            </w:tcBorders>
            <w:shd w:val="clear" w:color="auto" w:fill="FFFFFF"/>
            <w:hideMark/>
          </w:tcPr>
          <w:p w:rsidR="006D00D4" w:rsidRPr="006D00D4" w:rsidRDefault="00400236" w:rsidP="006D00D4">
            <w:pPr>
              <w:jc w:val="center"/>
              <w:rPr>
                <w:rFonts w:asciiTheme="minorHAnsi" w:hAnsiTheme="minorHAnsi" w:cstheme="minorHAnsi"/>
                <w:sz w:val="22"/>
                <w:szCs w:val="22"/>
              </w:rPr>
            </w:pPr>
            <w:hyperlink r:id="rId47" w:history="1">
              <w:r w:rsidR="006D00D4" w:rsidRPr="006D00D4">
                <w:rPr>
                  <w:rStyle w:val="Hypertextovodkaz"/>
                  <w:rFonts w:asciiTheme="minorHAnsi" w:hAnsiTheme="minorHAnsi" w:cstheme="minorHAnsi"/>
                  <w:sz w:val="22"/>
                  <w:szCs w:val="22"/>
                </w:rPr>
                <w:t>http://www.mpo.cz/assets/cz/e-komunikace-a-posta/Internet/2013/4/Digi_esko_v.2.0.pdf</w:t>
              </w:r>
            </w:hyperlink>
          </w:p>
          <w:p w:rsidR="006D00D4" w:rsidRPr="006D00D4" w:rsidRDefault="00400236" w:rsidP="00BC1E7E">
            <w:pPr>
              <w:keepNext/>
              <w:numPr>
                <w:ilvl w:val="2"/>
                <w:numId w:val="35"/>
              </w:numPr>
              <w:overflowPunct/>
              <w:autoSpaceDE/>
              <w:autoSpaceDN/>
              <w:adjustRightInd/>
              <w:ind w:left="0"/>
              <w:jc w:val="center"/>
              <w:textAlignment w:val="auto"/>
              <w:outlineLvl w:val="2"/>
              <w:rPr>
                <w:rFonts w:asciiTheme="minorHAnsi" w:hAnsiTheme="minorHAnsi" w:cstheme="minorHAnsi"/>
                <w:sz w:val="22"/>
                <w:szCs w:val="22"/>
              </w:rPr>
            </w:pPr>
            <w:hyperlink r:id="rId48" w:history="1">
              <w:r w:rsidR="006D00D4" w:rsidRPr="006D00D4">
                <w:rPr>
                  <w:rStyle w:val="Hypertextovodkaz"/>
                  <w:rFonts w:asciiTheme="minorHAnsi" w:hAnsiTheme="minorHAnsi" w:cstheme="minorHAnsi"/>
                  <w:sz w:val="22"/>
                  <w:szCs w:val="22"/>
                </w:rPr>
                <w:t>http://www.mpo.cz/dokument119071.html</w:t>
              </w:r>
            </w:hyperlink>
          </w:p>
        </w:tc>
        <w:tc>
          <w:tcPr>
            <w:tcW w:w="4253" w:type="dxa"/>
            <w:tcBorders>
              <w:top w:val="single" w:sz="8" w:space="0" w:color="auto"/>
              <w:left w:val="nil"/>
              <w:right w:val="single" w:sz="8" w:space="0" w:color="auto"/>
            </w:tcBorders>
            <w:shd w:val="clear" w:color="auto" w:fill="FFFFFF"/>
            <w:hideMark/>
          </w:tcPr>
          <w:p w:rsidR="006D00D4" w:rsidRPr="006D00D4" w:rsidRDefault="006D00D4" w:rsidP="006D00D4">
            <w:pPr>
              <w:jc w:val="both"/>
              <w:rPr>
                <w:rFonts w:asciiTheme="minorHAnsi" w:hAnsiTheme="minorHAnsi" w:cstheme="minorHAnsi"/>
                <w:sz w:val="22"/>
                <w:szCs w:val="22"/>
              </w:rPr>
            </w:pPr>
            <w:r w:rsidRPr="006D00D4">
              <w:rPr>
                <w:rFonts w:asciiTheme="minorHAnsi" w:hAnsiTheme="minorHAnsi" w:cstheme="minorHAnsi"/>
                <w:sz w:val="22"/>
                <w:szCs w:val="22"/>
              </w:rPr>
              <w:t>Digitální Česko 2.0 obsahuje hlavní cíle vlády do r. 2020, vč. shrnutí analýz provedených před zpracováním strategie na základě údajů od ČTÚ a ČSÚ.  Na základě těchto analýz je Digitální Česko 2 postaveno na 3 klíčových pilířích: podpoře rozvoje vysokorychlostních přístupových sítí k internetu, zvyšování dostupnosti a rozvoj digitálních služeb a posilování digitální gramotnosti a elektronických dovedností uživatelů sítí a služeb.</w:t>
            </w:r>
          </w:p>
          <w:p w:rsidR="006D00D4" w:rsidRPr="006D00D4" w:rsidRDefault="006D00D4" w:rsidP="006D00D4">
            <w:pPr>
              <w:jc w:val="both"/>
              <w:rPr>
                <w:rFonts w:asciiTheme="minorHAnsi" w:hAnsiTheme="minorHAnsi" w:cstheme="minorHAnsi"/>
                <w:sz w:val="22"/>
                <w:szCs w:val="22"/>
              </w:rPr>
            </w:pPr>
            <w:r w:rsidRPr="006D00D4">
              <w:rPr>
                <w:rFonts w:asciiTheme="minorHAnsi" w:hAnsiTheme="minorHAnsi" w:cstheme="minorHAnsi"/>
                <w:sz w:val="22"/>
                <w:szCs w:val="22"/>
              </w:rPr>
              <w:t>Tyto 3 pilíře jsou stanoveny nadčasově, plně odpovídají smyslu a účelu Digitální agendy pro Evropu a dále jsou rozpracovávány navrženými opatřeními, neboť se rozumí, že proces realizace není statický nýbrž vysoce dynamický. Proto jsou dále průběžně sledovány stěžejní hospodářské a ekonomické aspekty prostřednictvím pravidelných zpráv ČSÚ viz např. nejnovější:</w:t>
            </w:r>
          </w:p>
          <w:p w:rsidR="006D00D4" w:rsidRPr="006D00D4" w:rsidRDefault="006D00D4" w:rsidP="006D00D4">
            <w:pPr>
              <w:jc w:val="both"/>
              <w:rPr>
                <w:rFonts w:asciiTheme="minorHAnsi" w:hAnsiTheme="minorHAnsi" w:cstheme="minorHAnsi"/>
                <w:sz w:val="22"/>
                <w:szCs w:val="22"/>
              </w:rPr>
            </w:pPr>
            <w:r w:rsidRPr="006D00D4">
              <w:rPr>
                <w:rFonts w:asciiTheme="minorHAnsi" w:hAnsiTheme="minorHAnsi" w:cstheme="minorHAnsi"/>
                <w:sz w:val="22"/>
                <w:szCs w:val="22"/>
              </w:rPr>
              <w:t>Informační a komunikační technologie v podnikatelském sektoru za rok 2013, Informační ekonomika v číslech 2013, Informační společnost v číslech 2013. Koncepce podpory malých a středních podnikatelů 2014 – 2020 obsahuje analýzu sektoru MSP v oblasti ICT.</w:t>
            </w:r>
          </w:p>
        </w:tc>
      </w:tr>
      <w:tr w:rsidR="006D00D4" w:rsidRPr="006D00D4" w:rsidTr="006D00D4">
        <w:trPr>
          <w:trHeight w:val="294"/>
        </w:trPr>
        <w:tc>
          <w:tcPr>
            <w:tcW w:w="1418" w:type="dxa"/>
            <w:vMerge/>
            <w:tcBorders>
              <w:left w:val="single" w:sz="8" w:space="0" w:color="auto"/>
              <w:right w:val="single" w:sz="4" w:space="0" w:color="auto"/>
            </w:tcBorders>
            <w:shd w:val="clear" w:color="auto" w:fill="FFFFFF"/>
            <w:hideMark/>
          </w:tcPr>
          <w:p w:rsidR="006D00D4" w:rsidRPr="006D00D4" w:rsidRDefault="006D00D4" w:rsidP="00A7602D">
            <w:pPr>
              <w:keepNext/>
              <w:numPr>
                <w:ilvl w:val="2"/>
                <w:numId w:val="35"/>
              </w:numPr>
              <w:overflowPunct/>
              <w:autoSpaceDE/>
              <w:autoSpaceDN/>
              <w:adjustRightInd/>
              <w:ind w:left="0"/>
              <w:textAlignment w:val="auto"/>
              <w:outlineLvl w:val="2"/>
              <w:rPr>
                <w:rFonts w:asciiTheme="minorHAnsi" w:hAnsiTheme="minorHAnsi" w:cstheme="minorHAnsi"/>
                <w:b/>
                <w:bCs/>
                <w:sz w:val="22"/>
                <w:szCs w:val="22"/>
              </w:rPr>
            </w:pPr>
          </w:p>
        </w:tc>
        <w:tc>
          <w:tcPr>
            <w:tcW w:w="1276" w:type="dxa"/>
            <w:vMerge/>
            <w:tcBorders>
              <w:left w:val="single" w:sz="4" w:space="0" w:color="auto"/>
              <w:right w:val="single" w:sz="4" w:space="0" w:color="auto"/>
            </w:tcBorders>
            <w:shd w:val="clear" w:color="auto" w:fill="FFFFFF"/>
            <w:hideMark/>
          </w:tcPr>
          <w:p w:rsidR="006D00D4" w:rsidRPr="006D00D4" w:rsidRDefault="006D00D4" w:rsidP="00A7602D">
            <w:pPr>
              <w:keepNext/>
              <w:numPr>
                <w:ilvl w:val="2"/>
                <w:numId w:val="35"/>
              </w:numPr>
              <w:tabs>
                <w:tab w:val="left" w:pos="900"/>
              </w:tabs>
              <w:overflowPunct/>
              <w:autoSpaceDE/>
              <w:autoSpaceDN/>
              <w:adjustRightInd/>
              <w:ind w:left="0" w:right="-20"/>
              <w:textAlignment w:val="auto"/>
              <w:outlineLvl w:val="2"/>
              <w:rPr>
                <w:rFonts w:asciiTheme="minorHAnsi" w:hAnsiTheme="minorHAnsi" w:cstheme="minorHAnsi"/>
                <w:sz w:val="22"/>
                <w:szCs w:val="22"/>
              </w:rPr>
            </w:pPr>
          </w:p>
        </w:tc>
        <w:tc>
          <w:tcPr>
            <w:tcW w:w="1134" w:type="dxa"/>
            <w:vMerge/>
            <w:tcBorders>
              <w:left w:val="single" w:sz="4" w:space="0" w:color="auto"/>
              <w:right w:val="double" w:sz="6" w:space="0" w:color="auto"/>
            </w:tcBorders>
            <w:shd w:val="clear" w:color="auto" w:fill="FFFFFF"/>
            <w:hideMark/>
          </w:tcPr>
          <w:p w:rsidR="006D00D4" w:rsidRPr="006D00D4" w:rsidRDefault="006D00D4" w:rsidP="00A7602D">
            <w:pPr>
              <w:keepNext/>
              <w:numPr>
                <w:ilvl w:val="2"/>
                <w:numId w:val="35"/>
              </w:numPr>
              <w:overflowPunct/>
              <w:autoSpaceDE/>
              <w:autoSpaceDN/>
              <w:adjustRightInd/>
              <w:ind w:left="0"/>
              <w:textAlignment w:val="auto"/>
              <w:outlineLvl w:val="2"/>
              <w:rPr>
                <w:rFonts w:asciiTheme="minorHAnsi" w:hAnsiTheme="minorHAnsi" w:cstheme="minorHAnsi"/>
                <w:sz w:val="22"/>
                <w:szCs w:val="22"/>
              </w:rPr>
            </w:pPr>
          </w:p>
        </w:tc>
        <w:tc>
          <w:tcPr>
            <w:tcW w:w="2835" w:type="dxa"/>
            <w:tcBorders>
              <w:top w:val="single" w:sz="8" w:space="0" w:color="auto"/>
              <w:left w:val="nil"/>
              <w:bottom w:val="dotted" w:sz="4" w:space="0" w:color="auto"/>
              <w:right w:val="single" w:sz="4" w:space="0" w:color="auto"/>
            </w:tcBorders>
            <w:shd w:val="clear" w:color="auto" w:fill="FFFFFF"/>
            <w:hideMark/>
          </w:tcPr>
          <w:p w:rsidR="006D00D4" w:rsidRPr="006D00D4" w:rsidRDefault="006D00D4" w:rsidP="006D00D4">
            <w:pPr>
              <w:pStyle w:val="Odstavecseseznamem"/>
              <w:numPr>
                <w:ilvl w:val="0"/>
                <w:numId w:val="2"/>
              </w:numPr>
              <w:overflowPunct/>
              <w:autoSpaceDE/>
              <w:autoSpaceDN/>
              <w:adjustRightInd/>
              <w:spacing w:after="0" w:line="240" w:lineRule="auto"/>
              <w:ind w:left="355"/>
              <w:textAlignment w:val="auto"/>
              <w:rPr>
                <w:rFonts w:cstheme="minorHAnsi"/>
                <w:bCs/>
                <w:szCs w:val="22"/>
              </w:rPr>
            </w:pPr>
            <w:r w:rsidRPr="006D00D4">
              <w:rPr>
                <w:rFonts w:cstheme="minorHAnsi"/>
                <w:bCs/>
                <w:szCs w:val="22"/>
              </w:rPr>
              <w:t>měla být provedena analýza vyváženosti podpory poptávky a nabídky IKT,</w:t>
            </w:r>
          </w:p>
        </w:tc>
        <w:tc>
          <w:tcPr>
            <w:tcW w:w="1275" w:type="dxa"/>
            <w:tcBorders>
              <w:top w:val="single" w:sz="8" w:space="0" w:color="auto"/>
              <w:left w:val="nil"/>
              <w:bottom w:val="dotted" w:sz="4" w:space="0" w:color="auto"/>
              <w:right w:val="double" w:sz="6" w:space="0" w:color="auto"/>
            </w:tcBorders>
            <w:shd w:val="clear" w:color="auto" w:fill="FFFFFF"/>
            <w:hideMark/>
          </w:tcPr>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ano</w:t>
            </w:r>
          </w:p>
        </w:tc>
        <w:tc>
          <w:tcPr>
            <w:tcW w:w="2977" w:type="dxa"/>
            <w:tcBorders>
              <w:top w:val="single" w:sz="8" w:space="0" w:color="auto"/>
              <w:left w:val="nil"/>
              <w:bottom w:val="dotted" w:sz="4" w:space="0" w:color="auto"/>
              <w:right w:val="double" w:sz="6" w:space="0" w:color="auto"/>
            </w:tcBorders>
            <w:shd w:val="clear" w:color="auto" w:fill="FFFFFF"/>
            <w:hideMark/>
          </w:tcPr>
          <w:p w:rsidR="006D00D4" w:rsidRPr="006D00D4" w:rsidRDefault="00400236" w:rsidP="006D00D4">
            <w:pPr>
              <w:keepNext/>
              <w:outlineLvl w:val="2"/>
              <w:rPr>
                <w:rFonts w:asciiTheme="minorHAnsi" w:hAnsiTheme="minorHAnsi" w:cstheme="minorHAnsi"/>
                <w:sz w:val="22"/>
                <w:szCs w:val="22"/>
              </w:rPr>
            </w:pPr>
            <w:hyperlink r:id="rId49" w:history="1">
              <w:r w:rsidR="006D00D4" w:rsidRPr="006D00D4">
                <w:rPr>
                  <w:rStyle w:val="Hypertextovodkaz"/>
                  <w:rFonts w:asciiTheme="minorHAnsi" w:hAnsiTheme="minorHAnsi" w:cstheme="minorHAnsi"/>
                  <w:sz w:val="22"/>
                  <w:szCs w:val="22"/>
                </w:rPr>
                <w:t>http://www.mpo.cz/dokument83642.html</w:t>
              </w:r>
            </w:hyperlink>
            <w:r w:rsidR="006D00D4" w:rsidRPr="006D00D4">
              <w:rPr>
                <w:rFonts w:asciiTheme="minorHAnsi" w:hAnsiTheme="minorHAnsi" w:cstheme="minorHAnsi"/>
                <w:sz w:val="22"/>
                <w:szCs w:val="22"/>
              </w:rPr>
              <w:t xml:space="preserve"> </w:t>
            </w:r>
          </w:p>
          <w:p w:rsidR="006D00D4" w:rsidRPr="006D00D4" w:rsidRDefault="00400236" w:rsidP="006D00D4">
            <w:pPr>
              <w:keepNext/>
              <w:outlineLvl w:val="2"/>
              <w:rPr>
                <w:rFonts w:asciiTheme="minorHAnsi" w:hAnsiTheme="minorHAnsi" w:cstheme="minorHAnsi"/>
                <w:sz w:val="22"/>
                <w:szCs w:val="22"/>
              </w:rPr>
            </w:pPr>
            <w:hyperlink r:id="rId50" w:history="1">
              <w:r w:rsidR="006D00D4" w:rsidRPr="006D00D4">
                <w:rPr>
                  <w:rStyle w:val="Hypertextovodkaz"/>
                  <w:rFonts w:asciiTheme="minorHAnsi" w:hAnsiTheme="minorHAnsi" w:cstheme="minorHAnsi"/>
                  <w:sz w:val="22"/>
                  <w:szCs w:val="22"/>
                </w:rPr>
                <w:t>http://www.mpo.cz/assets/cz/e-komunikace-a-posta/Internet/2013/4/Digi_esko_v.2.0.pdf</w:t>
              </w:r>
            </w:hyperlink>
            <w:r w:rsidR="006D00D4" w:rsidRPr="006D00D4">
              <w:rPr>
                <w:rFonts w:asciiTheme="minorHAnsi" w:hAnsiTheme="minorHAnsi" w:cstheme="minorHAnsi"/>
                <w:sz w:val="22"/>
                <w:szCs w:val="22"/>
              </w:rPr>
              <w:t xml:space="preserve"> </w:t>
            </w:r>
          </w:p>
          <w:p w:rsidR="006D00D4" w:rsidRPr="006D00D4" w:rsidRDefault="00400236" w:rsidP="006D00D4">
            <w:pPr>
              <w:keepNext/>
              <w:outlineLvl w:val="2"/>
              <w:rPr>
                <w:rFonts w:asciiTheme="minorHAnsi" w:hAnsiTheme="minorHAnsi" w:cstheme="minorHAnsi"/>
                <w:sz w:val="22"/>
                <w:szCs w:val="22"/>
              </w:rPr>
            </w:pPr>
            <w:hyperlink r:id="rId51" w:history="1">
              <w:r w:rsidR="006D00D4" w:rsidRPr="006D00D4">
                <w:rPr>
                  <w:rStyle w:val="Hypertextovodkaz"/>
                  <w:rFonts w:asciiTheme="minorHAnsi" w:hAnsiTheme="minorHAnsi" w:cstheme="minorHAnsi"/>
                  <w:sz w:val="22"/>
                  <w:szCs w:val="22"/>
                </w:rPr>
                <w:t>http://www.mpo.cz/dokument119071.html</w:t>
              </w:r>
            </w:hyperlink>
            <w:r w:rsidR="006D00D4" w:rsidRPr="006D00D4">
              <w:rPr>
                <w:rFonts w:asciiTheme="minorHAnsi" w:hAnsiTheme="minorHAnsi" w:cstheme="minorHAnsi"/>
                <w:sz w:val="22"/>
                <w:szCs w:val="22"/>
              </w:rPr>
              <w:t xml:space="preserve"> </w:t>
            </w:r>
          </w:p>
        </w:tc>
        <w:tc>
          <w:tcPr>
            <w:tcW w:w="4253" w:type="dxa"/>
            <w:tcBorders>
              <w:top w:val="single" w:sz="8" w:space="0" w:color="auto"/>
              <w:left w:val="nil"/>
              <w:right w:val="single" w:sz="8" w:space="0" w:color="auto"/>
            </w:tcBorders>
            <w:shd w:val="clear" w:color="auto" w:fill="FFFFFF"/>
            <w:hideMark/>
          </w:tcPr>
          <w:p w:rsidR="006D00D4" w:rsidRPr="006D00D4" w:rsidRDefault="006D00D4" w:rsidP="00F22C9B">
            <w:pPr>
              <w:jc w:val="both"/>
              <w:rPr>
                <w:rFonts w:asciiTheme="minorHAnsi" w:hAnsiTheme="minorHAnsi" w:cstheme="minorHAnsi"/>
                <w:sz w:val="22"/>
                <w:szCs w:val="22"/>
              </w:rPr>
            </w:pPr>
            <w:r w:rsidRPr="006D00D4">
              <w:rPr>
                <w:rFonts w:asciiTheme="minorHAnsi" w:hAnsiTheme="minorHAnsi" w:cstheme="minorHAnsi"/>
                <w:sz w:val="22"/>
                <w:szCs w:val="22"/>
              </w:rPr>
              <w:t>Stěžejním cílem Strategie Digitální Česko je redukovat „digitální propast“ v oblasti přístupu k vysokorychlostnímu internetu mezi venkovskými sídly a městy. Digitální Česko 2 obsahuje vyhodnocení stávající nabídky dostupnosti vysokorychlostního přístupu k internetu a nutnosti její podpory.</w:t>
            </w:r>
          </w:p>
          <w:p w:rsidR="006D00D4" w:rsidRPr="006D00D4" w:rsidRDefault="006D00D4" w:rsidP="00F22C9B">
            <w:pPr>
              <w:jc w:val="both"/>
              <w:rPr>
                <w:rFonts w:asciiTheme="minorHAnsi" w:hAnsiTheme="minorHAnsi" w:cstheme="minorHAnsi"/>
                <w:sz w:val="22"/>
                <w:szCs w:val="22"/>
              </w:rPr>
            </w:pPr>
            <w:r w:rsidRPr="006D00D4">
              <w:rPr>
                <w:rFonts w:asciiTheme="minorHAnsi" w:hAnsiTheme="minorHAnsi" w:cstheme="minorHAnsi"/>
                <w:sz w:val="22"/>
                <w:szCs w:val="22"/>
              </w:rPr>
              <w:t>Digitální Česko 2 obsahuje výběr socioekonomických a jiných analýz zejména ze zpráv ČSÚ. Výsledkem těchto analýz bylo stanovení hlavních cílů vlády, které lze jednoduše vyjádřit třemi výše zmíněnými klíčovými pilíři.</w:t>
            </w:r>
          </w:p>
          <w:p w:rsidR="006D00D4" w:rsidRPr="006D00D4" w:rsidRDefault="006D00D4" w:rsidP="00F22C9B">
            <w:pPr>
              <w:jc w:val="both"/>
              <w:rPr>
                <w:rFonts w:asciiTheme="minorHAnsi" w:hAnsiTheme="minorHAnsi" w:cstheme="minorHAnsi"/>
                <w:sz w:val="22"/>
                <w:szCs w:val="22"/>
              </w:rPr>
            </w:pPr>
            <w:r w:rsidRPr="006D00D4">
              <w:rPr>
                <w:rFonts w:asciiTheme="minorHAnsi" w:hAnsiTheme="minorHAnsi" w:cstheme="minorHAnsi"/>
                <w:sz w:val="22"/>
                <w:szCs w:val="22"/>
              </w:rPr>
              <w:t>Koncepce podpory malých a středních podnikatelů na období let 2014 – 2020 obsahuje analýzu nezbytnosti podpory ICT pro růst MSP.</w:t>
            </w:r>
          </w:p>
        </w:tc>
      </w:tr>
      <w:tr w:rsidR="006D00D4" w:rsidRPr="006D00D4" w:rsidTr="006D00D4">
        <w:trPr>
          <w:trHeight w:val="294"/>
        </w:trPr>
        <w:tc>
          <w:tcPr>
            <w:tcW w:w="1418" w:type="dxa"/>
            <w:vMerge/>
            <w:tcBorders>
              <w:left w:val="single" w:sz="8" w:space="0" w:color="auto"/>
              <w:right w:val="single" w:sz="4" w:space="0" w:color="auto"/>
            </w:tcBorders>
            <w:shd w:val="clear" w:color="auto" w:fill="FFFFFF"/>
            <w:hideMark/>
          </w:tcPr>
          <w:p w:rsidR="006D00D4" w:rsidRPr="006D00D4" w:rsidRDefault="006D00D4" w:rsidP="00A7602D">
            <w:pPr>
              <w:keepNext/>
              <w:numPr>
                <w:ilvl w:val="2"/>
                <w:numId w:val="35"/>
              </w:numPr>
              <w:overflowPunct/>
              <w:autoSpaceDE/>
              <w:autoSpaceDN/>
              <w:adjustRightInd/>
              <w:ind w:left="0"/>
              <w:textAlignment w:val="auto"/>
              <w:outlineLvl w:val="2"/>
              <w:rPr>
                <w:rFonts w:asciiTheme="minorHAnsi" w:hAnsiTheme="minorHAnsi" w:cstheme="minorHAnsi"/>
                <w:b/>
                <w:bCs/>
                <w:sz w:val="22"/>
                <w:szCs w:val="22"/>
              </w:rPr>
            </w:pPr>
          </w:p>
        </w:tc>
        <w:tc>
          <w:tcPr>
            <w:tcW w:w="1276" w:type="dxa"/>
            <w:vMerge/>
            <w:tcBorders>
              <w:left w:val="single" w:sz="4" w:space="0" w:color="auto"/>
              <w:right w:val="single" w:sz="4" w:space="0" w:color="auto"/>
            </w:tcBorders>
            <w:shd w:val="clear" w:color="auto" w:fill="FFFFFF"/>
            <w:hideMark/>
          </w:tcPr>
          <w:p w:rsidR="006D00D4" w:rsidRPr="006D00D4" w:rsidRDefault="006D00D4" w:rsidP="00A7602D">
            <w:pPr>
              <w:keepNext/>
              <w:numPr>
                <w:ilvl w:val="2"/>
                <w:numId w:val="35"/>
              </w:numPr>
              <w:tabs>
                <w:tab w:val="left" w:pos="900"/>
              </w:tabs>
              <w:overflowPunct/>
              <w:autoSpaceDE/>
              <w:autoSpaceDN/>
              <w:adjustRightInd/>
              <w:ind w:left="0" w:right="-20"/>
              <w:textAlignment w:val="auto"/>
              <w:outlineLvl w:val="2"/>
              <w:rPr>
                <w:rFonts w:asciiTheme="minorHAnsi" w:hAnsiTheme="minorHAnsi" w:cstheme="minorHAnsi"/>
                <w:sz w:val="22"/>
                <w:szCs w:val="22"/>
              </w:rPr>
            </w:pPr>
          </w:p>
        </w:tc>
        <w:tc>
          <w:tcPr>
            <w:tcW w:w="1134" w:type="dxa"/>
            <w:vMerge/>
            <w:tcBorders>
              <w:left w:val="single" w:sz="4" w:space="0" w:color="auto"/>
              <w:right w:val="double" w:sz="6" w:space="0" w:color="auto"/>
            </w:tcBorders>
            <w:shd w:val="clear" w:color="auto" w:fill="FFFFFF"/>
            <w:hideMark/>
          </w:tcPr>
          <w:p w:rsidR="006D00D4" w:rsidRPr="006D00D4" w:rsidRDefault="006D00D4" w:rsidP="00A7602D">
            <w:pPr>
              <w:keepNext/>
              <w:numPr>
                <w:ilvl w:val="2"/>
                <w:numId w:val="35"/>
              </w:numPr>
              <w:overflowPunct/>
              <w:autoSpaceDE/>
              <w:autoSpaceDN/>
              <w:adjustRightInd/>
              <w:ind w:left="0"/>
              <w:textAlignment w:val="auto"/>
              <w:outlineLvl w:val="2"/>
              <w:rPr>
                <w:rFonts w:asciiTheme="minorHAnsi" w:hAnsiTheme="minorHAnsi" w:cstheme="minorHAnsi"/>
                <w:sz w:val="22"/>
                <w:szCs w:val="22"/>
              </w:rPr>
            </w:pPr>
          </w:p>
        </w:tc>
        <w:tc>
          <w:tcPr>
            <w:tcW w:w="2835" w:type="dxa"/>
            <w:tcBorders>
              <w:top w:val="single" w:sz="8" w:space="0" w:color="auto"/>
              <w:left w:val="nil"/>
              <w:bottom w:val="dotted" w:sz="4" w:space="0" w:color="auto"/>
              <w:right w:val="single" w:sz="4" w:space="0" w:color="auto"/>
            </w:tcBorders>
            <w:shd w:val="clear" w:color="auto" w:fill="FFFFFF"/>
            <w:hideMark/>
          </w:tcPr>
          <w:p w:rsidR="006D00D4" w:rsidRPr="006D00D4" w:rsidRDefault="006D00D4" w:rsidP="006D00D4">
            <w:pPr>
              <w:pStyle w:val="Odstavecseseznamem"/>
              <w:numPr>
                <w:ilvl w:val="0"/>
                <w:numId w:val="2"/>
              </w:numPr>
              <w:overflowPunct/>
              <w:autoSpaceDE/>
              <w:autoSpaceDN/>
              <w:adjustRightInd/>
              <w:spacing w:after="0" w:line="240" w:lineRule="auto"/>
              <w:ind w:left="351" w:hanging="357"/>
              <w:textAlignment w:val="auto"/>
              <w:rPr>
                <w:rFonts w:cstheme="minorHAnsi"/>
                <w:bCs/>
                <w:szCs w:val="22"/>
              </w:rPr>
            </w:pPr>
            <w:r w:rsidRPr="006D00D4">
              <w:rPr>
                <w:rFonts w:cstheme="minorHAnsi"/>
                <w:color w:val="000000"/>
                <w:szCs w:val="22"/>
              </w:rPr>
              <w:t xml:space="preserve">ukazatele umožňující měření pokroku zásahů v oblastech, jako jsou počítačová gramotnost, digitální začlenění, digitální přístupnost a pokrok v elektronickém zdravotnictví v mezích článku 168 Smlouvy o fungování EU, jež jsou v </w:t>
            </w:r>
            <w:r w:rsidRPr="006D00D4">
              <w:rPr>
                <w:rFonts w:cstheme="minorHAnsi"/>
                <w:color w:val="000000"/>
                <w:szCs w:val="22"/>
              </w:rPr>
              <w:lastRenderedPageBreak/>
              <w:t>souladu se stávajícími příslušnými unijními, vnitrostátními nebo regionálními strategiemi pro jednotlivá odvětví;</w:t>
            </w:r>
          </w:p>
        </w:tc>
        <w:tc>
          <w:tcPr>
            <w:tcW w:w="1275" w:type="dxa"/>
            <w:tcBorders>
              <w:top w:val="single" w:sz="8" w:space="0" w:color="auto"/>
              <w:left w:val="nil"/>
              <w:bottom w:val="dotted" w:sz="4" w:space="0" w:color="auto"/>
              <w:right w:val="double" w:sz="6" w:space="0" w:color="auto"/>
            </w:tcBorders>
            <w:shd w:val="clear" w:color="auto" w:fill="FFFFFF"/>
            <w:hideMark/>
          </w:tcPr>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lastRenderedPageBreak/>
              <w:t>částečně</w:t>
            </w:r>
          </w:p>
        </w:tc>
        <w:tc>
          <w:tcPr>
            <w:tcW w:w="2977" w:type="dxa"/>
            <w:tcBorders>
              <w:top w:val="single" w:sz="8" w:space="0" w:color="auto"/>
              <w:left w:val="nil"/>
              <w:bottom w:val="dotted" w:sz="4" w:space="0" w:color="auto"/>
              <w:right w:val="double" w:sz="6" w:space="0" w:color="auto"/>
            </w:tcBorders>
            <w:shd w:val="clear" w:color="auto" w:fill="FFFFFF"/>
            <w:hideMark/>
          </w:tcPr>
          <w:p w:rsidR="006D00D4" w:rsidRPr="006D00D4" w:rsidRDefault="00400236" w:rsidP="006D00D4">
            <w:pPr>
              <w:pStyle w:val="Tabulka"/>
              <w:spacing w:after="0"/>
              <w:rPr>
                <w:rFonts w:asciiTheme="minorHAnsi" w:hAnsiTheme="minorHAnsi" w:cstheme="minorHAnsi"/>
                <w:sz w:val="22"/>
                <w:szCs w:val="22"/>
              </w:rPr>
            </w:pPr>
            <w:hyperlink r:id="rId52" w:history="1">
              <w:r w:rsidR="006D00D4" w:rsidRPr="006D00D4">
                <w:rPr>
                  <w:rStyle w:val="Hypertextovodkaz"/>
                  <w:rFonts w:asciiTheme="minorHAnsi" w:hAnsiTheme="minorHAnsi" w:cstheme="minorHAnsi"/>
                  <w:b w:val="0"/>
                  <w:sz w:val="22"/>
                  <w:szCs w:val="22"/>
                </w:rPr>
                <w:t>http://www.mpo.cz/assets/cz/e-komunikace-a-posta/Internet/2013/4/Digi_esko_v.2.0.pdf</w:t>
              </w:r>
            </w:hyperlink>
          </w:p>
          <w:p w:rsidR="006D00D4" w:rsidRPr="006D00D4" w:rsidRDefault="006D00D4" w:rsidP="006D00D4">
            <w:pPr>
              <w:pStyle w:val="Tabulka"/>
              <w:spacing w:after="0"/>
              <w:rPr>
                <w:rFonts w:asciiTheme="minorHAnsi" w:hAnsiTheme="minorHAnsi" w:cstheme="minorHAnsi"/>
                <w:sz w:val="22"/>
                <w:szCs w:val="22"/>
              </w:rPr>
            </w:pPr>
          </w:p>
          <w:p w:rsidR="006D00D4" w:rsidRPr="006D00D4" w:rsidRDefault="006D00D4" w:rsidP="006D00D4">
            <w:pPr>
              <w:spacing w:before="240" w:after="100" w:afterAutospacing="1"/>
              <w:jc w:val="both"/>
              <w:rPr>
                <w:rFonts w:asciiTheme="minorHAnsi" w:hAnsiTheme="minorHAnsi" w:cstheme="minorHAnsi"/>
                <w:sz w:val="22"/>
                <w:szCs w:val="22"/>
                <w:u w:val="single"/>
              </w:rPr>
            </w:pPr>
            <w:r w:rsidRPr="006D00D4">
              <w:rPr>
                <w:rFonts w:asciiTheme="minorHAnsi" w:hAnsiTheme="minorHAnsi" w:cstheme="minorHAnsi"/>
                <w:sz w:val="22"/>
                <w:szCs w:val="22"/>
                <w:u w:val="single"/>
              </w:rPr>
              <w:t>Odkazy k Strategickému rámci rozvoje VS</w:t>
            </w:r>
            <w:r w:rsidR="00BC1E7E">
              <w:rPr>
                <w:rFonts w:asciiTheme="minorHAnsi" w:hAnsiTheme="minorHAnsi" w:cstheme="minorHAnsi"/>
                <w:sz w:val="22"/>
                <w:szCs w:val="22"/>
                <w:u w:val="single"/>
              </w:rPr>
              <w:t xml:space="preserve"> a k implementačnímu plánu ke </w:t>
            </w:r>
            <w:r w:rsidR="00BC1E7E">
              <w:rPr>
                <w:rFonts w:asciiTheme="minorHAnsi" w:hAnsiTheme="minorHAnsi" w:cstheme="minorHAnsi"/>
                <w:sz w:val="22"/>
                <w:szCs w:val="22"/>
                <w:u w:val="single"/>
              </w:rPr>
              <w:lastRenderedPageBreak/>
              <w:t>strategickému cíli č. 3</w:t>
            </w:r>
            <w:r w:rsidRPr="006D00D4">
              <w:rPr>
                <w:rFonts w:asciiTheme="minorHAnsi" w:hAnsiTheme="minorHAnsi" w:cstheme="minorHAnsi"/>
                <w:sz w:val="22"/>
                <w:szCs w:val="22"/>
                <w:u w:val="single"/>
              </w:rPr>
              <w:t>:</w:t>
            </w:r>
          </w:p>
          <w:p w:rsidR="006D00D4" w:rsidRPr="006D00D4" w:rsidRDefault="00400236" w:rsidP="00F22C9B">
            <w:pPr>
              <w:pStyle w:val="Odstavecseseznamem"/>
              <w:numPr>
                <w:ilvl w:val="0"/>
                <w:numId w:val="36"/>
              </w:numPr>
              <w:spacing w:after="0" w:line="240" w:lineRule="auto"/>
              <w:jc w:val="both"/>
              <w:rPr>
                <w:rFonts w:cstheme="minorHAnsi"/>
                <w:szCs w:val="22"/>
              </w:rPr>
            </w:pPr>
            <w:hyperlink r:id="rId53" w:history="1">
              <w:r w:rsidR="006D00D4" w:rsidRPr="006D00D4">
                <w:rPr>
                  <w:rStyle w:val="Hypertextovodkaz"/>
                  <w:rFonts w:cstheme="minorHAnsi"/>
                  <w:szCs w:val="22"/>
                </w:rPr>
                <w:t>http://www.mvcr.cz/odk2/clanek/odbor-verejne-spravy-dozoru-a-kontroly.aspx?q=Y2hudW09OQ%3d%3d</w:t>
              </w:r>
            </w:hyperlink>
          </w:p>
          <w:p w:rsidR="006D00D4" w:rsidRPr="006D00D4" w:rsidRDefault="006D00D4" w:rsidP="006D00D4">
            <w:pPr>
              <w:pStyle w:val="Odstavecseseznamem"/>
              <w:spacing w:after="0" w:line="240" w:lineRule="auto"/>
              <w:ind w:left="1146"/>
              <w:jc w:val="both"/>
              <w:rPr>
                <w:rFonts w:cstheme="minorHAnsi"/>
                <w:i/>
                <w:szCs w:val="22"/>
              </w:rPr>
            </w:pPr>
            <w:r w:rsidRPr="006D00D4">
              <w:rPr>
                <w:rFonts w:cstheme="minorHAnsi"/>
                <w:i/>
                <w:szCs w:val="22"/>
              </w:rPr>
              <w:t>(včetně dokumentů vztahujících se k Radě vlády pro veřejnou správu)</w:t>
            </w:r>
          </w:p>
          <w:p w:rsidR="006D00D4" w:rsidRPr="006D00D4" w:rsidRDefault="006D00D4" w:rsidP="006D00D4">
            <w:pPr>
              <w:jc w:val="both"/>
              <w:rPr>
                <w:rFonts w:asciiTheme="minorHAnsi" w:hAnsiTheme="minorHAnsi" w:cstheme="minorHAnsi"/>
                <w:sz w:val="22"/>
                <w:szCs w:val="22"/>
              </w:rPr>
            </w:pPr>
          </w:p>
          <w:p w:rsidR="006D00D4" w:rsidRPr="006D00D4" w:rsidRDefault="00400236" w:rsidP="00F22C9B">
            <w:pPr>
              <w:pStyle w:val="Odstavecseseznamem"/>
              <w:numPr>
                <w:ilvl w:val="0"/>
                <w:numId w:val="36"/>
              </w:numPr>
              <w:spacing w:after="0" w:line="240" w:lineRule="auto"/>
              <w:jc w:val="both"/>
              <w:rPr>
                <w:rFonts w:cstheme="minorHAnsi"/>
                <w:szCs w:val="22"/>
              </w:rPr>
            </w:pPr>
            <w:hyperlink r:id="rId54" w:history="1">
              <w:r w:rsidR="006D00D4" w:rsidRPr="006D00D4">
                <w:rPr>
                  <w:rStyle w:val="Hypertextovodkaz"/>
                  <w:rFonts w:cstheme="minorHAnsi"/>
                  <w:szCs w:val="22"/>
                </w:rPr>
                <w:t>http://databaze-strategie.cz/cz/mv/strategie/strategicky-ramec-rozvoje-verejne-spravy-ceske-republiky-pro-obdobi-2014-2020</w:t>
              </w:r>
            </w:hyperlink>
            <w:r w:rsidR="006D00D4" w:rsidRPr="006D00D4">
              <w:rPr>
                <w:rFonts w:cstheme="minorHAnsi"/>
                <w:szCs w:val="22"/>
              </w:rPr>
              <w:t xml:space="preserve"> </w:t>
            </w:r>
          </w:p>
          <w:p w:rsidR="006D00D4" w:rsidRPr="006D00D4" w:rsidRDefault="006D00D4" w:rsidP="006D00D4">
            <w:pPr>
              <w:jc w:val="both"/>
              <w:rPr>
                <w:rFonts w:asciiTheme="minorHAnsi" w:hAnsiTheme="minorHAnsi" w:cstheme="minorHAnsi"/>
                <w:sz w:val="22"/>
                <w:szCs w:val="22"/>
              </w:rPr>
            </w:pPr>
          </w:p>
          <w:p w:rsidR="00BC1E7E" w:rsidRPr="00973415" w:rsidRDefault="00400236" w:rsidP="00BC1E7E">
            <w:pPr>
              <w:jc w:val="both"/>
              <w:rPr>
                <w:rFonts w:asciiTheme="minorHAnsi" w:hAnsiTheme="minorHAnsi" w:cstheme="minorHAnsi"/>
                <w:color w:val="303030"/>
                <w:sz w:val="22"/>
                <w:szCs w:val="22"/>
              </w:rPr>
            </w:pPr>
            <w:hyperlink r:id="rId55" w:history="1">
              <w:r w:rsidR="00BC1E7E" w:rsidRPr="00F22C9B">
                <w:rPr>
                  <w:rStyle w:val="Hypertextovodkaz"/>
                  <w:rFonts w:asciiTheme="minorHAnsi" w:hAnsiTheme="minorHAnsi" w:cstheme="minorHAnsi"/>
                  <w:sz w:val="22"/>
                  <w:szCs w:val="22"/>
                </w:rPr>
                <w:t>http://www.msmt.cz/uploads/OP_VVV/Narodni_RIS3_strategie_schvalena_vladou_8._12._20</w:t>
              </w:r>
              <w:r w:rsidR="00BC1E7E" w:rsidRPr="00F22C9B">
                <w:rPr>
                  <w:rStyle w:val="Hypertextovodkaz"/>
                  <w:rFonts w:asciiTheme="minorHAnsi" w:hAnsiTheme="minorHAnsi" w:cstheme="minorHAnsi"/>
                  <w:sz w:val="22"/>
                  <w:szCs w:val="22"/>
                </w:rPr>
                <w:lastRenderedPageBreak/>
                <w:t>14.pdf</w:t>
              </w:r>
            </w:hyperlink>
          </w:p>
          <w:p w:rsidR="006D00D4" w:rsidRPr="00BC1E7E" w:rsidRDefault="006D00D4" w:rsidP="00BC1E7E">
            <w:pPr>
              <w:jc w:val="both"/>
              <w:rPr>
                <w:rFonts w:cstheme="minorHAnsi"/>
                <w:szCs w:val="22"/>
              </w:rPr>
            </w:pPr>
          </w:p>
        </w:tc>
        <w:tc>
          <w:tcPr>
            <w:tcW w:w="4253" w:type="dxa"/>
            <w:tcBorders>
              <w:top w:val="single" w:sz="8" w:space="0" w:color="auto"/>
              <w:left w:val="nil"/>
              <w:right w:val="single" w:sz="8" w:space="0" w:color="auto"/>
            </w:tcBorders>
            <w:shd w:val="clear" w:color="auto" w:fill="FFFFFF"/>
            <w:hideMark/>
          </w:tcPr>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lastRenderedPageBreak/>
              <w:t>Oblast je součástí Digitálního Česka 2.0 v kapitole 5.6. Digitální gramotnost, elektronické dovednosti (e-</w:t>
            </w:r>
            <w:proofErr w:type="spellStart"/>
            <w:r w:rsidRPr="006D00D4">
              <w:rPr>
                <w:rFonts w:asciiTheme="minorHAnsi" w:hAnsiTheme="minorHAnsi" w:cstheme="minorHAnsi"/>
                <w:sz w:val="22"/>
                <w:szCs w:val="22"/>
              </w:rPr>
              <w:t>skills</w:t>
            </w:r>
            <w:proofErr w:type="spellEnd"/>
            <w:r w:rsidRPr="006D00D4">
              <w:rPr>
                <w:rFonts w:asciiTheme="minorHAnsi" w:hAnsiTheme="minorHAnsi" w:cstheme="minorHAnsi"/>
                <w:sz w:val="22"/>
                <w:szCs w:val="22"/>
              </w:rPr>
              <w:t>).</w:t>
            </w:r>
          </w:p>
          <w:p w:rsidR="006D00D4" w:rsidRPr="006D00D4" w:rsidRDefault="006D00D4" w:rsidP="006D00D4">
            <w:pPr>
              <w:rPr>
                <w:rFonts w:asciiTheme="minorHAnsi" w:hAnsiTheme="minorHAnsi" w:cstheme="minorHAnsi"/>
                <w:color w:val="000000"/>
                <w:sz w:val="22"/>
                <w:szCs w:val="22"/>
              </w:rPr>
            </w:pPr>
            <w:r w:rsidRPr="006D00D4">
              <w:rPr>
                <w:rFonts w:asciiTheme="minorHAnsi" w:hAnsiTheme="minorHAnsi" w:cstheme="minorHAnsi"/>
                <w:sz w:val="22"/>
                <w:szCs w:val="22"/>
              </w:rPr>
              <w:t xml:space="preserve">Tato oblast je naplňována opatřením – vytvořením a realizací </w:t>
            </w:r>
            <w:r w:rsidR="00BC1E7E" w:rsidRPr="008028A0">
              <w:rPr>
                <w:rFonts w:asciiTheme="minorHAnsi" w:hAnsiTheme="minorHAnsi" w:cstheme="minorHAnsi"/>
                <w:sz w:val="22"/>
                <w:szCs w:val="22"/>
              </w:rPr>
              <w:t>„Strategie digitální gramotnosti ČR na období 2015 – 2020“</w:t>
            </w:r>
            <w:r w:rsidR="00BC1E7E" w:rsidRPr="008028A0">
              <w:rPr>
                <w:rFonts w:cs="Calibri"/>
              </w:rPr>
              <w:t xml:space="preserve"> </w:t>
            </w:r>
            <w:r w:rsidRPr="006D00D4">
              <w:rPr>
                <w:rFonts w:asciiTheme="minorHAnsi" w:hAnsiTheme="minorHAnsi" w:cstheme="minorHAnsi"/>
                <w:color w:val="000000"/>
                <w:sz w:val="22"/>
                <w:szCs w:val="22"/>
              </w:rPr>
              <w:t xml:space="preserve">v gesci MPSV (MŠMT bude </w:t>
            </w:r>
            <w:proofErr w:type="spellStart"/>
            <w:r w:rsidRPr="006D00D4">
              <w:rPr>
                <w:rFonts w:asciiTheme="minorHAnsi" w:hAnsiTheme="minorHAnsi" w:cstheme="minorHAnsi"/>
                <w:color w:val="000000"/>
                <w:sz w:val="22"/>
                <w:szCs w:val="22"/>
              </w:rPr>
              <w:t>spolugestorem</w:t>
            </w:r>
            <w:proofErr w:type="spellEnd"/>
            <w:r w:rsidRPr="006D00D4">
              <w:rPr>
                <w:rFonts w:asciiTheme="minorHAnsi" w:hAnsiTheme="minorHAnsi" w:cstheme="minorHAnsi"/>
                <w:color w:val="000000"/>
                <w:sz w:val="22"/>
                <w:szCs w:val="22"/>
              </w:rPr>
              <w:t>), která bude navazovat na Strategii digitálního vzdělávání (gesce MŠMT). Schválení je plánováno do konce 2 Q. roku 2015.</w:t>
            </w:r>
            <w:r w:rsidRPr="006D00D4">
              <w:rPr>
                <w:rFonts w:asciiTheme="minorHAnsi" w:hAnsiTheme="minorHAnsi" w:cstheme="minorHAnsi"/>
                <w:sz w:val="22"/>
                <w:szCs w:val="22"/>
              </w:rPr>
              <w:t xml:space="preserve"> </w:t>
            </w:r>
            <w:r w:rsidRPr="006D00D4">
              <w:rPr>
                <w:rFonts w:asciiTheme="minorHAnsi" w:hAnsiTheme="minorHAnsi" w:cstheme="minorHAnsi"/>
                <w:sz w:val="22"/>
                <w:szCs w:val="22"/>
              </w:rPr>
              <w:lastRenderedPageBreak/>
              <w:t>V současné době probíhají jednání mezi oběma resorty (prostřednictvím</w:t>
            </w:r>
            <w:r w:rsidRPr="006D00D4">
              <w:rPr>
                <w:rFonts w:asciiTheme="minorHAnsi" w:hAnsiTheme="minorHAnsi" w:cstheme="minorHAnsi"/>
                <w:color w:val="000000" w:themeColor="text1"/>
                <w:sz w:val="22"/>
                <w:szCs w:val="22"/>
              </w:rPr>
              <w:t xml:space="preserve"> Fondu dalšího vzdělávání a Národního ústavu pro vzdělávání</w:t>
            </w:r>
            <w:r w:rsidRPr="006D00D4">
              <w:rPr>
                <w:rFonts w:asciiTheme="minorHAnsi" w:hAnsiTheme="minorHAnsi" w:cstheme="minorHAnsi"/>
                <w:sz w:val="22"/>
                <w:szCs w:val="22"/>
              </w:rPr>
              <w:t xml:space="preserve">) k detailnějšímu rozpracování struktury strategie. MPSV bude vycházet ze zpracované Strategie digitálního vzdělávání MŠMT za oblast počátečního vzdělávání, která bude přejata a pokračovat bude část dalšího vzdělávání (ve spolupráci s MŠMT) a část na rozvoj digitálních kompetencí k uplatnění na trhu práce, sociálnímu začleňování a zvýšení efektivity veřejné správy. Vlastní strategie je rozdělena na část MŠMT pro oblast počátečního vzdělávání a část zpracovávanou MPSV ve spolupráci </w:t>
            </w:r>
            <w:r w:rsidR="00F22C9B">
              <w:rPr>
                <w:rFonts w:asciiTheme="minorHAnsi" w:hAnsiTheme="minorHAnsi" w:cstheme="minorHAnsi"/>
                <w:sz w:val="22"/>
                <w:szCs w:val="22"/>
              </w:rPr>
              <w:t xml:space="preserve">s MŠMT </w:t>
            </w:r>
            <w:r w:rsidR="00F22C9B" w:rsidRPr="006D00D4">
              <w:rPr>
                <w:rFonts w:asciiTheme="minorHAnsi" w:hAnsiTheme="minorHAnsi" w:cstheme="minorHAnsi"/>
                <w:sz w:val="22"/>
                <w:szCs w:val="22"/>
              </w:rPr>
              <w:t xml:space="preserve">v oblasti dalšího vzdělávání. Společně budou obě části tvořit ucelený strategický </w:t>
            </w:r>
            <w:r w:rsidR="00F22C9B">
              <w:rPr>
                <w:rFonts w:asciiTheme="minorHAnsi" w:hAnsiTheme="minorHAnsi" w:cstheme="minorHAnsi"/>
                <w:sz w:val="22"/>
                <w:szCs w:val="22"/>
              </w:rPr>
              <w:t xml:space="preserve"> rámec.</w:t>
            </w:r>
            <w:r w:rsidR="004E020E">
              <w:rPr>
                <w:rFonts w:asciiTheme="minorHAnsi" w:hAnsiTheme="minorHAnsi" w:cstheme="minorHAnsi"/>
                <w:sz w:val="22"/>
                <w:szCs w:val="22"/>
              </w:rPr>
              <w:t xml:space="preserve"> </w:t>
            </w:r>
            <w:r w:rsidR="00F22C9B" w:rsidRPr="006D00D4">
              <w:rPr>
                <w:rFonts w:asciiTheme="minorHAnsi" w:hAnsiTheme="minorHAnsi" w:cstheme="minorHAnsi"/>
                <w:color w:val="000000"/>
                <w:sz w:val="22"/>
                <w:szCs w:val="22"/>
              </w:rPr>
              <w:t>Součástí této strategie budou ukazatele umožňující měření pokroku zásahů v oblasti počítačové gramotnosti a digitálního začlenění.</w:t>
            </w:r>
          </w:p>
          <w:p w:rsidR="006D00D4" w:rsidRPr="006D00D4" w:rsidRDefault="006D00D4" w:rsidP="006D00D4">
            <w:pPr>
              <w:rPr>
                <w:rFonts w:asciiTheme="minorHAnsi" w:hAnsiTheme="minorHAnsi" w:cstheme="minorHAnsi"/>
                <w:color w:val="000000"/>
                <w:sz w:val="22"/>
                <w:szCs w:val="22"/>
              </w:rPr>
            </w:pPr>
            <w:r w:rsidRPr="006D00D4">
              <w:rPr>
                <w:rFonts w:asciiTheme="minorHAnsi" w:hAnsiTheme="minorHAnsi" w:cstheme="minorHAnsi"/>
                <w:color w:val="000000"/>
                <w:sz w:val="22"/>
                <w:szCs w:val="22"/>
              </w:rPr>
              <w:t>Indikativní  HMG:</w:t>
            </w:r>
          </w:p>
          <w:p w:rsidR="006D00D4" w:rsidRPr="006D00D4" w:rsidRDefault="006D00D4" w:rsidP="006D00D4">
            <w:pPr>
              <w:jc w:val="both"/>
              <w:rPr>
                <w:rFonts w:asciiTheme="minorHAnsi" w:hAnsiTheme="minorHAnsi" w:cstheme="minorHAnsi"/>
                <w:color w:val="000000"/>
                <w:sz w:val="22"/>
                <w:szCs w:val="22"/>
              </w:rPr>
            </w:pPr>
            <w:r w:rsidRPr="006D00D4">
              <w:rPr>
                <w:rFonts w:asciiTheme="minorHAnsi" w:hAnsiTheme="minorHAnsi" w:cstheme="minorHAnsi"/>
                <w:color w:val="000000"/>
                <w:sz w:val="22"/>
                <w:szCs w:val="22"/>
              </w:rPr>
              <w:t>2014 - Příprava dokumentu (práce na strategii již byly zahájeny ve spolupráci MPSV s MŠMT)</w:t>
            </w:r>
          </w:p>
          <w:p w:rsidR="00F22C9B" w:rsidRDefault="00F22C9B" w:rsidP="00BC1E7E">
            <w:pPr>
              <w:jc w:val="both"/>
              <w:rPr>
                <w:rFonts w:asciiTheme="minorHAnsi" w:hAnsiTheme="minorHAnsi" w:cstheme="minorHAnsi"/>
                <w:sz w:val="22"/>
                <w:szCs w:val="22"/>
              </w:rPr>
            </w:pPr>
          </w:p>
          <w:p w:rsidR="00BC1E7E" w:rsidRPr="00190EB7" w:rsidRDefault="00BC1E7E" w:rsidP="00BC1E7E">
            <w:pPr>
              <w:jc w:val="both"/>
              <w:rPr>
                <w:rFonts w:asciiTheme="minorHAnsi" w:hAnsiTheme="minorHAnsi" w:cstheme="minorHAnsi"/>
                <w:sz w:val="22"/>
                <w:szCs w:val="22"/>
              </w:rPr>
            </w:pPr>
            <w:r w:rsidRPr="00190EB7">
              <w:rPr>
                <w:rFonts w:asciiTheme="minorHAnsi" w:hAnsiTheme="minorHAnsi" w:cstheme="minorHAnsi"/>
                <w:sz w:val="22"/>
                <w:szCs w:val="22"/>
              </w:rPr>
              <w:t xml:space="preserve">Leden 2015: expertní konzultace k první verzi dokumentu (kulaté stoly) – připomínky </w:t>
            </w:r>
            <w:r w:rsidRPr="00190EB7">
              <w:rPr>
                <w:rFonts w:asciiTheme="minorHAnsi" w:hAnsiTheme="minorHAnsi" w:cstheme="minorHAnsi"/>
                <w:sz w:val="22"/>
                <w:szCs w:val="22"/>
              </w:rPr>
              <w:lastRenderedPageBreak/>
              <w:t xml:space="preserve">z veřejného připomínkování </w:t>
            </w:r>
            <w:r w:rsidR="00F22C9B">
              <w:rPr>
                <w:rFonts w:asciiTheme="minorHAnsi" w:hAnsiTheme="minorHAnsi" w:cstheme="minorHAnsi"/>
                <w:sz w:val="22"/>
                <w:szCs w:val="22"/>
              </w:rPr>
              <w:t>byly</w:t>
            </w:r>
            <w:r w:rsidRPr="00190EB7">
              <w:rPr>
                <w:rFonts w:asciiTheme="minorHAnsi" w:hAnsiTheme="minorHAnsi" w:cstheme="minorHAnsi"/>
                <w:sz w:val="22"/>
                <w:szCs w:val="22"/>
              </w:rPr>
              <w:t xml:space="preserve"> vypořádány a zapracovány do konce ledna 2015</w:t>
            </w:r>
          </w:p>
          <w:p w:rsidR="00BC1E7E" w:rsidRPr="00190EB7" w:rsidRDefault="00BC1E7E" w:rsidP="00BC1E7E">
            <w:pPr>
              <w:jc w:val="both"/>
              <w:rPr>
                <w:rFonts w:asciiTheme="minorHAnsi" w:hAnsiTheme="minorHAnsi" w:cstheme="minorHAnsi"/>
                <w:sz w:val="22"/>
                <w:szCs w:val="22"/>
              </w:rPr>
            </w:pPr>
            <w:r w:rsidRPr="00F22C9B">
              <w:rPr>
                <w:rFonts w:asciiTheme="minorHAnsi" w:hAnsiTheme="minorHAnsi" w:cstheme="minorHAnsi"/>
                <w:sz w:val="22"/>
                <w:szCs w:val="22"/>
              </w:rPr>
              <w:t xml:space="preserve">Únor 2015: do konce února </w:t>
            </w:r>
            <w:r w:rsidR="0040193B" w:rsidRPr="00F22C9B">
              <w:rPr>
                <w:rFonts w:asciiTheme="minorHAnsi" w:hAnsiTheme="minorHAnsi" w:cstheme="minorHAnsi"/>
                <w:sz w:val="22"/>
                <w:szCs w:val="22"/>
              </w:rPr>
              <w:t xml:space="preserve">byla </w:t>
            </w:r>
            <w:r w:rsidRPr="00F22C9B">
              <w:rPr>
                <w:rFonts w:asciiTheme="minorHAnsi" w:hAnsiTheme="minorHAnsi" w:cstheme="minorHAnsi"/>
                <w:sz w:val="22"/>
                <w:szCs w:val="22"/>
              </w:rPr>
              <w:t>dopracována</w:t>
            </w:r>
            <w:r w:rsidRPr="00190EB7">
              <w:rPr>
                <w:rFonts w:asciiTheme="minorHAnsi" w:hAnsiTheme="minorHAnsi" w:cstheme="minorHAnsi"/>
                <w:sz w:val="22"/>
                <w:szCs w:val="22"/>
              </w:rPr>
              <w:t xml:space="preserve"> Strategie do druhé verze, která se následně předloží do mezirezortního připomínkového řízení.</w:t>
            </w:r>
          </w:p>
          <w:p w:rsidR="00BC1E7E" w:rsidRDefault="00BC1E7E" w:rsidP="00BC1E7E">
            <w:pPr>
              <w:jc w:val="both"/>
              <w:rPr>
                <w:rFonts w:asciiTheme="minorHAnsi" w:hAnsiTheme="minorHAnsi" w:cstheme="minorHAnsi"/>
                <w:sz w:val="22"/>
                <w:szCs w:val="22"/>
              </w:rPr>
            </w:pPr>
            <w:r w:rsidRPr="00190EB7">
              <w:rPr>
                <w:rFonts w:asciiTheme="minorHAnsi" w:hAnsiTheme="minorHAnsi" w:cstheme="minorHAnsi"/>
                <w:sz w:val="22"/>
                <w:szCs w:val="22"/>
              </w:rPr>
              <w:t>30. 6. 2015 - Nejzazší termín schválení Strategie Vládou ČR.</w:t>
            </w:r>
          </w:p>
          <w:p w:rsidR="001407EC" w:rsidRDefault="001407EC" w:rsidP="00BC1E7E">
            <w:pPr>
              <w:jc w:val="both"/>
              <w:rPr>
                <w:rFonts w:asciiTheme="minorHAnsi" w:hAnsiTheme="minorHAnsi" w:cstheme="minorHAnsi"/>
                <w:sz w:val="22"/>
                <w:szCs w:val="22"/>
              </w:rPr>
            </w:pPr>
          </w:p>
          <w:p w:rsid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Rozvoj digitální gramotnosti občanů je také řešen v</w:t>
            </w:r>
            <w:r w:rsidR="001407EC">
              <w:rPr>
                <w:rFonts w:asciiTheme="minorHAnsi" w:hAnsiTheme="minorHAnsi" w:cstheme="minorHAnsi"/>
                <w:sz w:val="22"/>
                <w:szCs w:val="22"/>
              </w:rPr>
              <w:t xml:space="preserve"> </w:t>
            </w:r>
            <w:r w:rsidRPr="006D00D4">
              <w:rPr>
                <w:rFonts w:asciiTheme="minorHAnsi" w:hAnsiTheme="minorHAnsi" w:cstheme="minorHAnsi"/>
                <w:sz w:val="22"/>
                <w:szCs w:val="22"/>
              </w:rPr>
              <w:t> </w:t>
            </w:r>
            <w:r w:rsidR="00BC1E7E" w:rsidRPr="008028A0">
              <w:rPr>
                <w:rFonts w:asciiTheme="minorHAnsi" w:hAnsiTheme="minorHAnsi" w:cstheme="minorHAnsi"/>
                <w:sz w:val="22"/>
                <w:szCs w:val="22"/>
              </w:rPr>
              <w:t>Národní výzkumné a inovační strategii pro inteligentní specializaci (Národní RIS3 Strategie), schválené vládou 8.</w:t>
            </w:r>
            <w:r w:rsidR="001407EC">
              <w:rPr>
                <w:rFonts w:asciiTheme="minorHAnsi" w:hAnsiTheme="minorHAnsi" w:cstheme="minorHAnsi"/>
                <w:sz w:val="22"/>
                <w:szCs w:val="22"/>
              </w:rPr>
              <w:t xml:space="preserve"> </w:t>
            </w:r>
            <w:r w:rsidR="00BC1E7E" w:rsidRPr="008028A0">
              <w:rPr>
                <w:rFonts w:asciiTheme="minorHAnsi" w:hAnsiTheme="minorHAnsi" w:cstheme="minorHAnsi"/>
                <w:sz w:val="22"/>
                <w:szCs w:val="22"/>
              </w:rPr>
              <w:t>12.</w:t>
            </w:r>
            <w:r w:rsidR="001407EC">
              <w:rPr>
                <w:rFonts w:asciiTheme="minorHAnsi" w:hAnsiTheme="minorHAnsi" w:cstheme="minorHAnsi"/>
                <w:sz w:val="22"/>
                <w:szCs w:val="22"/>
              </w:rPr>
              <w:t xml:space="preserve"> </w:t>
            </w:r>
            <w:r w:rsidR="00BC1E7E" w:rsidRPr="008028A0">
              <w:rPr>
                <w:rFonts w:asciiTheme="minorHAnsi" w:hAnsiTheme="minorHAnsi" w:cstheme="minorHAnsi"/>
                <w:sz w:val="22"/>
                <w:szCs w:val="22"/>
              </w:rPr>
              <w:t>2014 (usnesení vlády č. 1028/2014).</w:t>
            </w:r>
            <w:r w:rsidR="00BC1E7E" w:rsidRPr="006D00D4" w:rsidDel="00BC1E7E">
              <w:rPr>
                <w:rFonts w:asciiTheme="minorHAnsi" w:hAnsiTheme="minorHAnsi" w:cstheme="minorHAnsi"/>
                <w:sz w:val="22"/>
                <w:szCs w:val="22"/>
              </w:rPr>
              <w:t xml:space="preserve"> </w:t>
            </w:r>
          </w:p>
          <w:p w:rsidR="001407EC" w:rsidRPr="006D00D4" w:rsidRDefault="001407EC" w:rsidP="006D00D4">
            <w:pPr>
              <w:rPr>
                <w:rFonts w:asciiTheme="minorHAnsi" w:hAnsiTheme="minorHAnsi" w:cstheme="minorHAnsi"/>
                <w:color w:val="000000"/>
                <w:sz w:val="22"/>
                <w:szCs w:val="22"/>
              </w:rPr>
            </w:pPr>
          </w:p>
          <w:p w:rsidR="006D00D4" w:rsidRPr="006D00D4" w:rsidRDefault="006D00D4" w:rsidP="006D00D4">
            <w:pPr>
              <w:keepNext/>
              <w:jc w:val="both"/>
              <w:outlineLvl w:val="1"/>
              <w:rPr>
                <w:rFonts w:asciiTheme="minorHAnsi" w:hAnsiTheme="minorHAnsi" w:cstheme="minorHAnsi"/>
                <w:sz w:val="22"/>
                <w:szCs w:val="22"/>
                <w:u w:val="single"/>
              </w:rPr>
            </w:pPr>
            <w:r w:rsidRPr="006D00D4">
              <w:rPr>
                <w:rFonts w:asciiTheme="minorHAnsi" w:hAnsiTheme="minorHAnsi" w:cstheme="minorHAnsi"/>
                <w:sz w:val="22"/>
                <w:szCs w:val="22"/>
                <w:u w:val="single"/>
              </w:rPr>
              <w:t>Strategický rámec rozvoje VS :</w:t>
            </w:r>
          </w:p>
          <w:p w:rsidR="006D00D4" w:rsidRPr="006D00D4" w:rsidRDefault="006D00D4" w:rsidP="006D00D4">
            <w:pPr>
              <w:keepNext/>
              <w:jc w:val="both"/>
              <w:outlineLvl w:val="1"/>
              <w:rPr>
                <w:rFonts w:asciiTheme="minorHAnsi" w:hAnsiTheme="minorHAnsi" w:cstheme="minorHAnsi"/>
                <w:sz w:val="22"/>
                <w:szCs w:val="22"/>
                <w:u w:val="single"/>
              </w:rPr>
            </w:pPr>
            <w:r w:rsidRPr="006D00D4">
              <w:rPr>
                <w:rFonts w:asciiTheme="minorHAnsi" w:hAnsiTheme="minorHAnsi" w:cstheme="minorHAnsi"/>
                <w:sz w:val="22"/>
                <w:szCs w:val="22"/>
                <w:u w:val="single"/>
              </w:rPr>
              <w:t xml:space="preserve">V rámci Strategického rámce rozvoje VS upraveno v podkapitole </w:t>
            </w:r>
            <w:r w:rsidRPr="006D00D4">
              <w:rPr>
                <w:rFonts w:asciiTheme="minorHAnsi" w:hAnsiTheme="minorHAnsi" w:cstheme="minorHAnsi"/>
                <w:i/>
                <w:sz w:val="22"/>
                <w:szCs w:val="22"/>
                <w:u w:val="single"/>
              </w:rPr>
              <w:t xml:space="preserve">Zvýšení dostupnosti a transparentnosti veřejné správy prostřednictvím nástrojů </w:t>
            </w:r>
            <w:proofErr w:type="spellStart"/>
            <w:r w:rsidRPr="006D00D4">
              <w:rPr>
                <w:rFonts w:asciiTheme="minorHAnsi" w:hAnsiTheme="minorHAnsi" w:cstheme="minorHAnsi"/>
                <w:i/>
                <w:sz w:val="22"/>
                <w:szCs w:val="22"/>
                <w:u w:val="single"/>
              </w:rPr>
              <w:t>eGovernmentu</w:t>
            </w:r>
            <w:proofErr w:type="spellEnd"/>
            <w:r w:rsidRPr="006D00D4">
              <w:rPr>
                <w:rFonts w:asciiTheme="minorHAnsi" w:hAnsiTheme="minorHAnsi" w:cstheme="minorHAnsi"/>
                <w:sz w:val="22"/>
                <w:szCs w:val="22"/>
                <w:u w:val="single"/>
              </w:rPr>
              <w:t>.</w:t>
            </w:r>
          </w:p>
          <w:p w:rsidR="006D00D4" w:rsidRPr="006D00D4" w:rsidRDefault="006D00D4" w:rsidP="006D00D4">
            <w:pPr>
              <w:keepNext/>
              <w:jc w:val="both"/>
              <w:outlineLvl w:val="1"/>
              <w:rPr>
                <w:rFonts w:asciiTheme="minorHAnsi" w:hAnsiTheme="minorHAnsi" w:cstheme="minorHAnsi"/>
                <w:sz w:val="22"/>
                <w:szCs w:val="22"/>
                <w:u w:val="single"/>
              </w:rPr>
            </w:pPr>
            <w:r w:rsidRPr="006D00D4">
              <w:rPr>
                <w:rFonts w:asciiTheme="minorHAnsi" w:hAnsiTheme="minorHAnsi" w:cstheme="minorHAnsi"/>
                <w:sz w:val="22"/>
                <w:szCs w:val="22"/>
              </w:rPr>
              <w:t xml:space="preserve">Konkrétní opatření přijata v Implementačním plánu k strategickému cíli č. 3 Zvýšení dostupnosti a transparentnosti veřejné správy prostřednictvím nástrojů </w:t>
            </w:r>
            <w:proofErr w:type="spellStart"/>
            <w:r w:rsidRPr="006D00D4">
              <w:rPr>
                <w:rFonts w:asciiTheme="minorHAnsi" w:hAnsiTheme="minorHAnsi" w:cstheme="minorHAnsi"/>
                <w:sz w:val="22"/>
                <w:szCs w:val="22"/>
              </w:rPr>
              <w:t>eGovernmentu</w:t>
            </w:r>
            <w:proofErr w:type="spellEnd"/>
            <w:r w:rsidRPr="006D00D4">
              <w:rPr>
                <w:rFonts w:asciiTheme="minorHAnsi" w:hAnsiTheme="minorHAnsi" w:cstheme="minorHAnsi"/>
                <w:sz w:val="22"/>
                <w:szCs w:val="22"/>
              </w:rPr>
              <w:t xml:space="preserve"> Strategického rámce rozvoje VS, který předpokládá při respektování principu 4vrstvé architektury:</w:t>
            </w:r>
          </w:p>
          <w:p w:rsidR="006D00D4" w:rsidRPr="006D00D4" w:rsidRDefault="006D00D4" w:rsidP="001407EC">
            <w:pPr>
              <w:pStyle w:val="Odstavecseseznamem"/>
              <w:numPr>
                <w:ilvl w:val="0"/>
                <w:numId w:val="38"/>
              </w:numPr>
              <w:tabs>
                <w:tab w:val="left" w:pos="98"/>
              </w:tabs>
              <w:overflowPunct/>
              <w:autoSpaceDE/>
              <w:autoSpaceDN/>
              <w:adjustRightInd/>
              <w:spacing w:after="0" w:line="240" w:lineRule="auto"/>
              <w:jc w:val="both"/>
              <w:textAlignment w:val="auto"/>
              <w:rPr>
                <w:rFonts w:cstheme="minorHAnsi"/>
                <w:szCs w:val="22"/>
              </w:rPr>
            </w:pPr>
            <w:r w:rsidRPr="006D00D4">
              <w:rPr>
                <w:rFonts w:cstheme="minorHAnsi"/>
                <w:szCs w:val="22"/>
              </w:rPr>
              <w:lastRenderedPageBreak/>
              <w:t>rozšíření, propojení, konsolidaci datového fondu veřejné správy a jeho efektivní a bezpečné využívání dle jednotlivých agend i na principu “</w:t>
            </w:r>
            <w:proofErr w:type="spellStart"/>
            <w:r w:rsidRPr="006D00D4">
              <w:rPr>
                <w:rFonts w:cstheme="minorHAnsi"/>
                <w:szCs w:val="22"/>
              </w:rPr>
              <w:t>opendata</w:t>
            </w:r>
            <w:proofErr w:type="spellEnd"/>
            <w:r w:rsidRPr="006D00D4">
              <w:rPr>
                <w:rFonts w:cstheme="minorHAnsi"/>
                <w:szCs w:val="22"/>
              </w:rPr>
              <w:t>“, které bude založeno na zásadě sdílení jednou pořízených dat za účelem jejich přístupnosti dalším subjektům veřejné správy i mimo ni a to zejména pro zajištění úplného elektronického podání</w:t>
            </w:r>
            <w:r w:rsidRPr="006D00D4">
              <w:rPr>
                <w:rStyle w:val="Znakapoznpodarou"/>
                <w:rFonts w:cstheme="minorHAnsi"/>
                <w:szCs w:val="22"/>
              </w:rPr>
              <w:footnoteReference w:id="6"/>
            </w:r>
            <w:r w:rsidRPr="006D00D4">
              <w:rPr>
                <w:rFonts w:cstheme="minorHAnsi"/>
                <w:szCs w:val="22"/>
              </w:rPr>
              <w:t xml:space="preserve"> a elektronizaci agend (např. </w:t>
            </w:r>
            <w:proofErr w:type="spellStart"/>
            <w:r w:rsidRPr="006D00D4">
              <w:rPr>
                <w:rFonts w:cstheme="minorHAnsi"/>
                <w:szCs w:val="22"/>
              </w:rPr>
              <w:t>eCulture</w:t>
            </w:r>
            <w:proofErr w:type="spellEnd"/>
            <w:r w:rsidRPr="006D00D4">
              <w:rPr>
                <w:rFonts w:cstheme="minorHAnsi"/>
                <w:szCs w:val="22"/>
              </w:rPr>
              <w:t xml:space="preserve">, </w:t>
            </w:r>
            <w:proofErr w:type="spellStart"/>
            <w:r w:rsidRPr="006D00D4">
              <w:rPr>
                <w:rFonts w:cstheme="minorHAnsi"/>
                <w:szCs w:val="22"/>
              </w:rPr>
              <w:t>eHealth</w:t>
            </w:r>
            <w:proofErr w:type="spellEnd"/>
            <w:r w:rsidRPr="006D00D4">
              <w:rPr>
                <w:rFonts w:cstheme="minorHAnsi"/>
                <w:szCs w:val="22"/>
              </w:rPr>
              <w:t xml:space="preserve">, </w:t>
            </w:r>
            <w:proofErr w:type="spellStart"/>
            <w:r w:rsidRPr="006D00D4">
              <w:rPr>
                <w:rFonts w:cstheme="minorHAnsi"/>
                <w:szCs w:val="22"/>
              </w:rPr>
              <w:t>eJustice</w:t>
            </w:r>
            <w:proofErr w:type="spellEnd"/>
            <w:r w:rsidRPr="006D00D4">
              <w:rPr>
                <w:rFonts w:cstheme="minorHAnsi"/>
                <w:szCs w:val="22"/>
              </w:rPr>
              <w:t xml:space="preserve">, </w:t>
            </w:r>
            <w:proofErr w:type="spellStart"/>
            <w:r w:rsidRPr="006D00D4">
              <w:rPr>
                <w:rFonts w:cstheme="minorHAnsi"/>
                <w:szCs w:val="22"/>
              </w:rPr>
              <w:t>eProcurement</w:t>
            </w:r>
            <w:proofErr w:type="spellEnd"/>
            <w:r w:rsidRPr="006D00D4">
              <w:rPr>
                <w:rFonts w:cstheme="minorHAnsi"/>
                <w:szCs w:val="22"/>
              </w:rPr>
              <w:t xml:space="preserve">, </w:t>
            </w:r>
            <w:proofErr w:type="spellStart"/>
            <w:r w:rsidRPr="006D00D4">
              <w:rPr>
                <w:rFonts w:cstheme="minorHAnsi"/>
                <w:szCs w:val="22"/>
              </w:rPr>
              <w:t>eLegislativa</w:t>
            </w:r>
            <w:proofErr w:type="spellEnd"/>
            <w:r w:rsidRPr="006D00D4">
              <w:rPr>
                <w:rFonts w:cstheme="minorHAnsi"/>
                <w:szCs w:val="22"/>
              </w:rPr>
              <w:t xml:space="preserve">, </w:t>
            </w:r>
            <w:proofErr w:type="spellStart"/>
            <w:r w:rsidRPr="006D00D4">
              <w:rPr>
                <w:rFonts w:cstheme="minorHAnsi"/>
                <w:szCs w:val="22"/>
              </w:rPr>
              <w:t>eSbírka</w:t>
            </w:r>
            <w:proofErr w:type="spellEnd"/>
            <w:r w:rsidRPr="006D00D4">
              <w:rPr>
                <w:rFonts w:cstheme="minorHAnsi"/>
                <w:szCs w:val="22"/>
              </w:rPr>
              <w:t>, elektronická identifikace a autorizace)</w:t>
            </w:r>
            <w:r w:rsidRPr="006D00D4">
              <w:rPr>
                <w:rStyle w:val="Znakapoznpodarou"/>
                <w:rFonts w:cstheme="minorHAnsi"/>
                <w:szCs w:val="22"/>
              </w:rPr>
              <w:footnoteReference w:id="7"/>
            </w:r>
            <w:r w:rsidRPr="006D00D4">
              <w:rPr>
                <w:rFonts w:cstheme="minorHAnsi"/>
                <w:szCs w:val="22"/>
              </w:rPr>
              <w:t xml:space="preserve">; </w:t>
            </w:r>
          </w:p>
          <w:p w:rsidR="006D00D4" w:rsidRPr="006D00D4" w:rsidRDefault="006D00D4" w:rsidP="001407EC">
            <w:pPr>
              <w:pStyle w:val="Odstavecseseznamem"/>
              <w:numPr>
                <w:ilvl w:val="0"/>
                <w:numId w:val="38"/>
              </w:numPr>
              <w:tabs>
                <w:tab w:val="left" w:pos="98"/>
              </w:tabs>
              <w:overflowPunct/>
              <w:autoSpaceDE/>
              <w:autoSpaceDN/>
              <w:adjustRightInd/>
              <w:spacing w:after="0" w:line="240" w:lineRule="auto"/>
              <w:jc w:val="both"/>
              <w:textAlignment w:val="auto"/>
              <w:rPr>
                <w:rFonts w:cstheme="minorHAnsi"/>
                <w:szCs w:val="22"/>
              </w:rPr>
            </w:pPr>
            <w:r w:rsidRPr="006D00D4">
              <w:rPr>
                <w:rFonts w:cstheme="minorHAnsi"/>
                <w:szCs w:val="22"/>
              </w:rPr>
              <w:t>modernizaci informačních a komunikačních systémů pro specifické potřeby subjektů veřejné správy a složek IZS;</w:t>
            </w:r>
          </w:p>
          <w:p w:rsidR="006D00D4" w:rsidRPr="006D00D4" w:rsidRDefault="006D00D4" w:rsidP="001407EC">
            <w:pPr>
              <w:pStyle w:val="Odstavecseseznamem"/>
              <w:numPr>
                <w:ilvl w:val="0"/>
                <w:numId w:val="38"/>
              </w:numPr>
              <w:tabs>
                <w:tab w:val="left" w:pos="98"/>
              </w:tabs>
              <w:overflowPunct/>
              <w:autoSpaceDE/>
              <w:autoSpaceDN/>
              <w:adjustRightInd/>
              <w:spacing w:after="0" w:line="240" w:lineRule="auto"/>
              <w:jc w:val="both"/>
              <w:textAlignment w:val="auto"/>
              <w:rPr>
                <w:rFonts w:cstheme="minorHAnsi"/>
                <w:szCs w:val="22"/>
              </w:rPr>
            </w:pPr>
            <w:r w:rsidRPr="006D00D4">
              <w:rPr>
                <w:rFonts w:cstheme="minorHAnsi"/>
                <w:szCs w:val="22"/>
              </w:rPr>
              <w:t>podporu vzniku a vybavení orgánů veřejné moci pro ochranu infrastruktury ICT a zajištění řízeného a bezpečného sdílení dat veřejné správy.</w:t>
            </w:r>
          </w:p>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lastRenderedPageBreak/>
              <w:t>Dále se očekává:</w:t>
            </w:r>
          </w:p>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 vytvoření koncepčně-strategického materiálu, který závazně upraví podmínky v oblasti ICT z hlediska dodržování principů 3 E;</w:t>
            </w:r>
          </w:p>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 xml:space="preserve">- vytvoření </w:t>
            </w:r>
            <w:r w:rsidRPr="006D00D4">
              <w:rPr>
                <w:rFonts w:asciiTheme="minorHAnsi" w:hAnsiTheme="minorHAnsi" w:cstheme="minorHAnsi"/>
                <w:i/>
                <w:sz w:val="22"/>
                <w:szCs w:val="22"/>
              </w:rPr>
              <w:t>Strategie řízení investic do ICT</w:t>
            </w:r>
            <w:r w:rsidRPr="006D00D4">
              <w:rPr>
                <w:rFonts w:asciiTheme="minorHAnsi" w:hAnsiTheme="minorHAnsi" w:cstheme="minorHAnsi"/>
                <w:sz w:val="22"/>
                <w:szCs w:val="22"/>
              </w:rPr>
              <w:t>;</w:t>
            </w:r>
          </w:p>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 xml:space="preserve">- podpora publikace open-dat dle </w:t>
            </w:r>
            <w:r w:rsidRPr="006D00D4">
              <w:rPr>
                <w:rFonts w:asciiTheme="minorHAnsi" w:hAnsiTheme="minorHAnsi" w:cstheme="minorHAnsi"/>
                <w:i/>
                <w:sz w:val="22"/>
                <w:szCs w:val="22"/>
              </w:rPr>
              <w:t>Metodiky publikace otevřených dat veřejné správy</w:t>
            </w:r>
            <w:r w:rsidRPr="006D00D4">
              <w:rPr>
                <w:rFonts w:asciiTheme="minorHAnsi" w:hAnsiTheme="minorHAnsi" w:cstheme="minorHAnsi"/>
                <w:sz w:val="22"/>
                <w:szCs w:val="22"/>
              </w:rPr>
              <w:t>;</w:t>
            </w:r>
          </w:p>
          <w:p w:rsidR="006D00D4" w:rsidRPr="006D00D4" w:rsidRDefault="006D00D4" w:rsidP="006D00D4">
            <w:pPr>
              <w:tabs>
                <w:tab w:val="left" w:pos="0"/>
              </w:tabs>
              <w:rPr>
                <w:rFonts w:asciiTheme="minorHAnsi" w:hAnsiTheme="minorHAnsi" w:cstheme="minorHAnsi"/>
                <w:sz w:val="22"/>
                <w:szCs w:val="22"/>
              </w:rPr>
            </w:pPr>
            <w:r w:rsidRPr="006D00D4">
              <w:rPr>
                <w:rFonts w:asciiTheme="minorHAnsi" w:hAnsiTheme="minorHAnsi" w:cstheme="minorHAnsi"/>
                <w:sz w:val="22"/>
                <w:szCs w:val="22"/>
              </w:rPr>
              <w:t xml:space="preserve">- novelizace zákona č. 365/2000 Sb. a dalších předpisů upravujících oblast </w:t>
            </w:r>
            <w:proofErr w:type="spellStart"/>
            <w:r w:rsidRPr="006D00D4">
              <w:rPr>
                <w:rFonts w:asciiTheme="minorHAnsi" w:hAnsiTheme="minorHAnsi" w:cstheme="minorHAnsi"/>
                <w:sz w:val="22"/>
                <w:szCs w:val="22"/>
              </w:rPr>
              <w:t>eGovernmentu</w:t>
            </w:r>
            <w:proofErr w:type="spellEnd"/>
            <w:r w:rsidRPr="006D00D4">
              <w:rPr>
                <w:rFonts w:asciiTheme="minorHAnsi" w:hAnsiTheme="minorHAnsi" w:cstheme="minorHAnsi"/>
                <w:sz w:val="22"/>
                <w:szCs w:val="22"/>
              </w:rPr>
              <w:t xml:space="preserve"> v ČR.</w:t>
            </w:r>
          </w:p>
          <w:p w:rsidR="006D00D4" w:rsidRPr="006D00D4" w:rsidRDefault="006D00D4" w:rsidP="001407EC">
            <w:pPr>
              <w:rPr>
                <w:rFonts w:asciiTheme="minorHAnsi" w:hAnsiTheme="minorHAnsi" w:cstheme="minorHAnsi"/>
                <w:color w:val="000000"/>
                <w:sz w:val="22"/>
                <w:szCs w:val="22"/>
              </w:rPr>
            </w:pPr>
            <w:r w:rsidRPr="006D00D4">
              <w:rPr>
                <w:rFonts w:asciiTheme="minorHAnsi" w:hAnsiTheme="minorHAnsi" w:cstheme="minorHAnsi"/>
                <w:sz w:val="22"/>
                <w:szCs w:val="22"/>
              </w:rPr>
              <w:t xml:space="preserve">- role </w:t>
            </w:r>
            <w:r w:rsidR="001407EC">
              <w:rPr>
                <w:rFonts w:asciiTheme="minorHAnsi" w:hAnsiTheme="minorHAnsi" w:cstheme="minorHAnsi"/>
                <w:sz w:val="22"/>
                <w:szCs w:val="22"/>
              </w:rPr>
              <w:t xml:space="preserve">odboru </w:t>
            </w:r>
            <w:r w:rsidRPr="006D00D4">
              <w:rPr>
                <w:rFonts w:asciiTheme="minorHAnsi" w:hAnsiTheme="minorHAnsi" w:cstheme="minorHAnsi"/>
                <w:sz w:val="22"/>
                <w:szCs w:val="22"/>
              </w:rPr>
              <w:t xml:space="preserve">Hlavního architekta </w:t>
            </w:r>
            <w:proofErr w:type="spellStart"/>
            <w:r w:rsidRPr="006D00D4">
              <w:rPr>
                <w:rFonts w:asciiTheme="minorHAnsi" w:hAnsiTheme="minorHAnsi" w:cstheme="minorHAnsi"/>
                <w:sz w:val="22"/>
                <w:szCs w:val="22"/>
              </w:rPr>
              <w:t>eGovernmentu</w:t>
            </w:r>
            <w:proofErr w:type="spellEnd"/>
            <w:r w:rsidRPr="006D00D4">
              <w:rPr>
                <w:rFonts w:asciiTheme="minorHAnsi" w:hAnsiTheme="minorHAnsi" w:cstheme="minorHAnsi"/>
                <w:sz w:val="22"/>
                <w:szCs w:val="22"/>
              </w:rPr>
              <w:t xml:space="preserve"> (</w:t>
            </w:r>
            <w:proofErr w:type="spellStart"/>
            <w:r w:rsidRPr="006D00D4">
              <w:rPr>
                <w:rFonts w:asciiTheme="minorHAnsi" w:hAnsiTheme="minorHAnsi" w:cstheme="minorHAnsi"/>
                <w:sz w:val="22"/>
                <w:szCs w:val="22"/>
              </w:rPr>
              <w:t>OHAeG</w:t>
            </w:r>
            <w:proofErr w:type="spellEnd"/>
            <w:r w:rsidRPr="006D00D4">
              <w:rPr>
                <w:rFonts w:asciiTheme="minorHAnsi" w:hAnsiTheme="minorHAnsi" w:cstheme="minorHAnsi"/>
                <w:sz w:val="22"/>
                <w:szCs w:val="22"/>
              </w:rPr>
              <w:t xml:space="preserve">) bude upravena tak, aby byla zajištěna architektonická konzistence provozovaných prvků </w:t>
            </w:r>
            <w:proofErr w:type="spellStart"/>
            <w:r w:rsidRPr="006D00D4">
              <w:rPr>
                <w:rFonts w:asciiTheme="minorHAnsi" w:hAnsiTheme="minorHAnsi" w:cstheme="minorHAnsi"/>
                <w:sz w:val="22"/>
                <w:szCs w:val="22"/>
              </w:rPr>
              <w:t>eGovernmentu</w:t>
            </w:r>
            <w:proofErr w:type="spellEnd"/>
            <w:r w:rsidRPr="006D00D4">
              <w:rPr>
                <w:rFonts w:asciiTheme="minorHAnsi" w:hAnsiTheme="minorHAnsi" w:cstheme="minorHAnsi"/>
                <w:sz w:val="22"/>
                <w:szCs w:val="22"/>
              </w:rPr>
              <w:t xml:space="preserve"> formou vydávání závazných stanovisek  </w:t>
            </w:r>
            <w:proofErr w:type="spellStart"/>
            <w:r w:rsidRPr="006D00D4">
              <w:rPr>
                <w:rFonts w:asciiTheme="minorHAnsi" w:hAnsiTheme="minorHAnsi" w:cstheme="minorHAnsi"/>
                <w:sz w:val="22"/>
                <w:szCs w:val="22"/>
              </w:rPr>
              <w:t>OHAeG</w:t>
            </w:r>
            <w:proofErr w:type="spellEnd"/>
            <w:r w:rsidRPr="006D00D4">
              <w:rPr>
                <w:rFonts w:asciiTheme="minorHAnsi" w:hAnsiTheme="minorHAnsi" w:cstheme="minorHAnsi"/>
                <w:sz w:val="22"/>
                <w:szCs w:val="22"/>
              </w:rPr>
              <w:t>, u všech ICT projektů veřejné správy.</w:t>
            </w:r>
          </w:p>
        </w:tc>
      </w:tr>
      <w:tr w:rsidR="006D00D4" w:rsidRPr="006D00D4" w:rsidTr="006D00D4">
        <w:trPr>
          <w:trHeight w:val="294"/>
        </w:trPr>
        <w:tc>
          <w:tcPr>
            <w:tcW w:w="1418" w:type="dxa"/>
            <w:vMerge/>
            <w:tcBorders>
              <w:left w:val="single" w:sz="8" w:space="0" w:color="auto"/>
              <w:bottom w:val="single" w:sz="4" w:space="0" w:color="auto"/>
              <w:right w:val="single" w:sz="4" w:space="0" w:color="auto"/>
            </w:tcBorders>
            <w:shd w:val="clear" w:color="auto" w:fill="FFFFFF"/>
            <w:hideMark/>
          </w:tcPr>
          <w:p w:rsidR="006D00D4" w:rsidRPr="006D00D4" w:rsidRDefault="006D00D4" w:rsidP="006D00D4">
            <w:pPr>
              <w:rPr>
                <w:rFonts w:asciiTheme="minorHAnsi" w:hAnsiTheme="minorHAnsi" w:cstheme="minorHAnsi"/>
                <w:b/>
                <w:bCs/>
                <w:sz w:val="22"/>
                <w:szCs w:val="22"/>
              </w:rPr>
            </w:pPr>
          </w:p>
        </w:tc>
        <w:tc>
          <w:tcPr>
            <w:tcW w:w="1276" w:type="dxa"/>
            <w:vMerge/>
            <w:tcBorders>
              <w:left w:val="single" w:sz="4" w:space="0" w:color="auto"/>
              <w:bottom w:val="single" w:sz="4" w:space="0" w:color="auto"/>
              <w:right w:val="single" w:sz="4" w:space="0" w:color="auto"/>
            </w:tcBorders>
            <w:shd w:val="clear" w:color="auto" w:fill="FFFFFF"/>
            <w:hideMark/>
          </w:tcPr>
          <w:p w:rsidR="006D00D4" w:rsidRPr="006D00D4" w:rsidRDefault="006D00D4" w:rsidP="006D00D4">
            <w:pPr>
              <w:tabs>
                <w:tab w:val="left" w:pos="900"/>
              </w:tabs>
              <w:ind w:right="-23"/>
              <w:rPr>
                <w:rFonts w:asciiTheme="minorHAnsi" w:hAnsiTheme="minorHAnsi" w:cstheme="minorHAnsi"/>
                <w:sz w:val="22"/>
                <w:szCs w:val="22"/>
              </w:rPr>
            </w:pPr>
          </w:p>
        </w:tc>
        <w:tc>
          <w:tcPr>
            <w:tcW w:w="1134" w:type="dxa"/>
            <w:vMerge/>
            <w:tcBorders>
              <w:left w:val="single" w:sz="4" w:space="0" w:color="auto"/>
              <w:bottom w:val="single" w:sz="4" w:space="0" w:color="auto"/>
              <w:right w:val="double" w:sz="6" w:space="0" w:color="auto"/>
            </w:tcBorders>
            <w:shd w:val="clear" w:color="auto" w:fill="FFFFFF"/>
            <w:hideMark/>
          </w:tcPr>
          <w:p w:rsidR="006D00D4" w:rsidRPr="006D00D4" w:rsidRDefault="006D00D4" w:rsidP="006D00D4">
            <w:pPr>
              <w:rPr>
                <w:rFonts w:asciiTheme="minorHAnsi" w:hAnsiTheme="minorHAnsi" w:cstheme="minorHAnsi"/>
                <w:sz w:val="22"/>
                <w:szCs w:val="22"/>
              </w:rPr>
            </w:pPr>
          </w:p>
        </w:tc>
        <w:tc>
          <w:tcPr>
            <w:tcW w:w="2835" w:type="dxa"/>
            <w:tcBorders>
              <w:top w:val="single" w:sz="8" w:space="0" w:color="auto"/>
              <w:left w:val="nil"/>
              <w:bottom w:val="single" w:sz="4" w:space="0" w:color="auto"/>
              <w:right w:val="single" w:sz="4" w:space="0" w:color="auto"/>
            </w:tcBorders>
            <w:shd w:val="clear" w:color="auto" w:fill="FFFFFF"/>
            <w:hideMark/>
          </w:tcPr>
          <w:p w:rsidR="006D00D4" w:rsidRPr="006D00D4" w:rsidRDefault="006D00D4" w:rsidP="006D00D4">
            <w:pPr>
              <w:pStyle w:val="Odstavecseseznamem"/>
              <w:numPr>
                <w:ilvl w:val="0"/>
                <w:numId w:val="2"/>
              </w:numPr>
              <w:overflowPunct/>
              <w:autoSpaceDE/>
              <w:autoSpaceDN/>
              <w:adjustRightInd/>
              <w:spacing w:after="0" w:line="240" w:lineRule="auto"/>
              <w:ind w:left="355"/>
              <w:textAlignment w:val="auto"/>
              <w:rPr>
                <w:rFonts w:cstheme="minorHAnsi"/>
                <w:bCs/>
                <w:szCs w:val="22"/>
              </w:rPr>
            </w:pPr>
            <w:r w:rsidRPr="006D00D4">
              <w:rPr>
                <w:rFonts w:cstheme="minorHAnsi"/>
                <w:bCs/>
                <w:szCs w:val="22"/>
              </w:rPr>
              <w:t>posouzení potřeb zvýšit budování kapacit v oblasti IKT.</w:t>
            </w:r>
          </w:p>
        </w:tc>
        <w:tc>
          <w:tcPr>
            <w:tcW w:w="1275" w:type="dxa"/>
            <w:tcBorders>
              <w:top w:val="single" w:sz="8" w:space="0" w:color="auto"/>
              <w:left w:val="nil"/>
              <w:bottom w:val="single" w:sz="4" w:space="0" w:color="auto"/>
              <w:right w:val="double" w:sz="6" w:space="0" w:color="auto"/>
            </w:tcBorders>
            <w:shd w:val="clear" w:color="auto" w:fill="FFFFFF"/>
            <w:hideMark/>
          </w:tcPr>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ano</w:t>
            </w:r>
          </w:p>
        </w:tc>
        <w:tc>
          <w:tcPr>
            <w:tcW w:w="2977" w:type="dxa"/>
            <w:tcBorders>
              <w:top w:val="single" w:sz="8" w:space="0" w:color="auto"/>
              <w:left w:val="nil"/>
              <w:bottom w:val="single" w:sz="4" w:space="0" w:color="auto"/>
              <w:right w:val="double" w:sz="6" w:space="0" w:color="auto"/>
            </w:tcBorders>
            <w:shd w:val="clear" w:color="auto" w:fill="FFFFFF"/>
            <w:hideMark/>
          </w:tcPr>
          <w:p w:rsidR="006D00D4" w:rsidRPr="006D00D4" w:rsidRDefault="00400236" w:rsidP="006D00D4">
            <w:pPr>
              <w:rPr>
                <w:rFonts w:asciiTheme="minorHAnsi" w:hAnsiTheme="minorHAnsi" w:cstheme="minorHAnsi"/>
                <w:sz w:val="22"/>
                <w:szCs w:val="22"/>
              </w:rPr>
            </w:pPr>
            <w:hyperlink r:id="rId56" w:history="1">
              <w:r w:rsidR="006D00D4" w:rsidRPr="006D00D4">
                <w:rPr>
                  <w:rStyle w:val="Hypertextovodkaz"/>
                  <w:rFonts w:asciiTheme="minorHAnsi" w:hAnsiTheme="minorHAnsi" w:cstheme="minorHAnsi"/>
                  <w:sz w:val="22"/>
                  <w:szCs w:val="22"/>
                </w:rPr>
                <w:t>http://www.mpo.cz/assets/cz/e-komunikace-a-posta/Internet/2013/4/Digi_esko_v.2.0.pdf</w:t>
              </w:r>
            </w:hyperlink>
            <w:r w:rsidR="006D00D4" w:rsidRPr="006D00D4">
              <w:rPr>
                <w:rFonts w:asciiTheme="minorHAnsi" w:hAnsiTheme="minorHAnsi" w:cstheme="minorHAnsi"/>
                <w:sz w:val="22"/>
                <w:szCs w:val="22"/>
              </w:rPr>
              <w:t xml:space="preserve">  </w:t>
            </w:r>
          </w:p>
          <w:p w:rsidR="006D00D4" w:rsidRPr="006D00D4" w:rsidRDefault="00400236" w:rsidP="006D00D4">
            <w:pPr>
              <w:rPr>
                <w:rFonts w:asciiTheme="minorHAnsi" w:hAnsiTheme="minorHAnsi" w:cstheme="minorHAnsi"/>
                <w:sz w:val="22"/>
                <w:szCs w:val="22"/>
              </w:rPr>
            </w:pPr>
            <w:hyperlink r:id="rId57" w:history="1">
              <w:r w:rsidR="006D00D4" w:rsidRPr="006D00D4">
                <w:rPr>
                  <w:rStyle w:val="Hypertextovodkaz"/>
                  <w:rFonts w:asciiTheme="minorHAnsi" w:hAnsiTheme="minorHAnsi" w:cstheme="minorHAnsi"/>
                  <w:sz w:val="22"/>
                  <w:szCs w:val="22"/>
                </w:rPr>
                <w:t>http://www.mpo.cz/dokument119071.html</w:t>
              </w:r>
            </w:hyperlink>
            <w:r w:rsidR="006D00D4" w:rsidRPr="006D00D4">
              <w:rPr>
                <w:rFonts w:asciiTheme="minorHAnsi" w:hAnsiTheme="minorHAnsi" w:cstheme="minorHAnsi"/>
                <w:sz w:val="22"/>
                <w:szCs w:val="22"/>
              </w:rPr>
              <w:t xml:space="preserve"> </w:t>
            </w:r>
          </w:p>
          <w:p w:rsidR="006D00D4" w:rsidRPr="006D00D4" w:rsidRDefault="00400236" w:rsidP="006D00D4">
            <w:pPr>
              <w:rPr>
                <w:rFonts w:asciiTheme="minorHAnsi" w:hAnsiTheme="minorHAnsi" w:cstheme="minorHAnsi"/>
                <w:sz w:val="22"/>
                <w:szCs w:val="22"/>
              </w:rPr>
            </w:pPr>
            <w:hyperlink r:id="rId58" w:history="1">
              <w:r w:rsidR="006D00D4" w:rsidRPr="006D00D4">
                <w:rPr>
                  <w:rStyle w:val="Hypertextovodkaz"/>
                  <w:rFonts w:asciiTheme="minorHAnsi" w:hAnsiTheme="minorHAnsi" w:cstheme="minorHAnsi"/>
                  <w:sz w:val="22"/>
                  <w:szCs w:val="22"/>
                </w:rPr>
                <w:t>http://www.czso.cz/csu/redakce.nsf/i/informacni_ekonomika</w:t>
              </w:r>
            </w:hyperlink>
            <w:r w:rsidR="006D00D4" w:rsidRPr="006D00D4">
              <w:rPr>
                <w:rFonts w:asciiTheme="minorHAnsi" w:hAnsiTheme="minorHAnsi" w:cstheme="minorHAnsi"/>
                <w:sz w:val="22"/>
                <w:szCs w:val="22"/>
              </w:rPr>
              <w:t xml:space="preserve"> </w:t>
            </w:r>
          </w:p>
        </w:tc>
        <w:tc>
          <w:tcPr>
            <w:tcW w:w="4253" w:type="dxa"/>
            <w:tcBorders>
              <w:top w:val="single" w:sz="8" w:space="0" w:color="auto"/>
              <w:left w:val="nil"/>
              <w:bottom w:val="single" w:sz="4" w:space="0" w:color="auto"/>
              <w:right w:val="single" w:sz="8" w:space="0" w:color="auto"/>
            </w:tcBorders>
            <w:shd w:val="clear" w:color="auto" w:fill="FFFFFF"/>
            <w:hideMark/>
          </w:tcPr>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Oblast je součástí Digitálního Česka 2.0, které upozorňuje na problematické oblasti zejména s ohledem na regulační rámec služeb a sítí elektronických komunikací, proto jsou navrhována opatření např. i v oblasti správy kmitočtového spektra.</w:t>
            </w:r>
          </w:p>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Obsaženo také v Koncepci podpory malých a středních podnikatelů na období let 2014 – 2020 (kapitola 4.9 ICT – prostředí a příležitosti pro MSP).</w:t>
            </w:r>
          </w:p>
          <w:p w:rsidR="006D00D4" w:rsidRPr="006D00D4" w:rsidRDefault="006D00D4" w:rsidP="006D00D4">
            <w:pPr>
              <w:rPr>
                <w:rFonts w:asciiTheme="minorHAnsi" w:hAnsiTheme="minorHAnsi" w:cstheme="minorHAnsi"/>
                <w:sz w:val="22"/>
                <w:szCs w:val="22"/>
              </w:rPr>
            </w:pPr>
            <w:r w:rsidRPr="006D00D4">
              <w:rPr>
                <w:rFonts w:asciiTheme="minorHAnsi" w:hAnsiTheme="minorHAnsi" w:cstheme="minorHAnsi"/>
                <w:sz w:val="22"/>
                <w:szCs w:val="22"/>
              </w:rPr>
              <w:t xml:space="preserve">Stěžejní jsou rovněž každoroční údaje od ČSÚ </w:t>
            </w:r>
            <w:r w:rsidRPr="006D00D4">
              <w:rPr>
                <w:rFonts w:asciiTheme="minorHAnsi" w:hAnsiTheme="minorHAnsi" w:cstheme="minorHAnsi"/>
                <w:sz w:val="22"/>
                <w:szCs w:val="22"/>
              </w:rPr>
              <w:lastRenderedPageBreak/>
              <w:t>internetová ekonomika v číslech a Informace o vývoji trhu elektronických komunikací, které zpracovává ČTÚ.</w:t>
            </w:r>
          </w:p>
        </w:tc>
      </w:tr>
    </w:tbl>
    <w:p w:rsidR="006D00D4" w:rsidRDefault="006D00D4" w:rsidP="006D00D4">
      <w:pPr>
        <w:jc w:val="both"/>
        <w:rPr>
          <w:rFonts w:cstheme="minorHAnsi"/>
          <w:b/>
          <w:szCs w:val="22"/>
          <w:u w:val="single"/>
        </w:rPr>
        <w:sectPr w:rsidR="006D00D4" w:rsidSect="006D00D4">
          <w:pgSz w:w="16838" w:h="11906" w:orient="landscape"/>
          <w:pgMar w:top="1417" w:right="1417" w:bottom="1417" w:left="1417" w:header="708" w:footer="708" w:gutter="0"/>
          <w:cols w:space="708"/>
          <w:docGrid w:linePitch="299"/>
        </w:sectPr>
      </w:pPr>
    </w:p>
    <w:p w:rsidR="006D00D4" w:rsidRDefault="006D00D4" w:rsidP="006D00D4">
      <w:pPr>
        <w:jc w:val="both"/>
        <w:rPr>
          <w:rFonts w:cstheme="minorHAnsi"/>
          <w:b/>
          <w:szCs w:val="22"/>
          <w:u w:val="single"/>
        </w:rPr>
      </w:pPr>
      <w:r w:rsidRPr="00952BA9">
        <w:rPr>
          <w:rFonts w:cstheme="minorHAnsi"/>
          <w:b/>
          <w:szCs w:val="22"/>
          <w:u w:val="single"/>
        </w:rPr>
        <w:lastRenderedPageBreak/>
        <w:t>Opatření ke splnění podmínky</w:t>
      </w:r>
    </w:p>
    <w:p w:rsidR="006D00D4" w:rsidRPr="00952BA9" w:rsidRDefault="006D00D4" w:rsidP="006D00D4">
      <w:pPr>
        <w:jc w:val="both"/>
        <w:rPr>
          <w:rFonts w:cstheme="minorHAnsi"/>
          <w:szCs w:val="22"/>
        </w:rPr>
      </w:pPr>
      <w:r w:rsidRPr="00952BA9">
        <w:rPr>
          <w:rFonts w:cstheme="minorHAnsi"/>
          <w:szCs w:val="22"/>
        </w:rPr>
        <w:t>(tabulka 26 programového dokumentu)</w:t>
      </w:r>
    </w:p>
    <w:tbl>
      <w:tblPr>
        <w:tblW w:w="5334" w:type="pct"/>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498"/>
        <w:gridCol w:w="3459"/>
        <w:gridCol w:w="1690"/>
        <w:gridCol w:w="1673"/>
      </w:tblGrid>
      <w:tr w:rsidR="006D00D4" w:rsidRPr="00A04CFB" w:rsidTr="00882A1B">
        <w:trPr>
          <w:trHeight w:val="572"/>
          <w:tblHeader/>
          <w:jc w:val="center"/>
        </w:trPr>
        <w:tc>
          <w:tcPr>
            <w:tcW w:w="801" w:type="pct"/>
            <w:shd w:val="clear" w:color="auto" w:fill="B8CCE4"/>
          </w:tcPr>
          <w:p w:rsidR="006D00D4" w:rsidRPr="00A04CFB" w:rsidRDefault="006D00D4" w:rsidP="006D00D4">
            <w:pPr>
              <w:pStyle w:val="Default"/>
              <w:spacing w:before="80" w:after="80"/>
              <w:rPr>
                <w:rFonts w:asciiTheme="minorHAnsi" w:hAnsiTheme="minorHAnsi" w:cstheme="minorHAnsi"/>
                <w:b/>
                <w:bCs/>
                <w:sz w:val="22"/>
                <w:szCs w:val="22"/>
              </w:rPr>
            </w:pPr>
            <w:r w:rsidRPr="00A04CFB">
              <w:rPr>
                <w:rFonts w:asciiTheme="minorHAnsi" w:hAnsiTheme="minorHAnsi" w:cstheme="minorHAnsi"/>
                <w:b/>
                <w:bCs/>
                <w:sz w:val="22"/>
                <w:szCs w:val="22"/>
              </w:rPr>
              <w:t xml:space="preserve">Nesplněná nebo částečně splněná použitelná </w:t>
            </w:r>
            <w:r w:rsidRPr="00A04CFB">
              <w:rPr>
                <w:rFonts w:asciiTheme="minorHAnsi" w:hAnsiTheme="minorHAnsi" w:cstheme="minorHAnsi"/>
                <w:b/>
                <w:bCs/>
                <w:sz w:val="22"/>
                <w:szCs w:val="22"/>
                <w:u w:val="single"/>
              </w:rPr>
              <w:t>tematická</w:t>
            </w:r>
            <w:r w:rsidRPr="00A04CFB">
              <w:rPr>
                <w:rFonts w:asciiTheme="minorHAnsi" w:hAnsiTheme="minorHAnsi" w:cstheme="minorHAnsi"/>
                <w:b/>
                <w:bCs/>
                <w:sz w:val="22"/>
                <w:szCs w:val="22"/>
              </w:rPr>
              <w:t xml:space="preserve"> předběžná podmínka</w:t>
            </w:r>
          </w:p>
        </w:tc>
        <w:tc>
          <w:tcPr>
            <w:tcW w:w="756" w:type="pct"/>
            <w:shd w:val="clear" w:color="auto" w:fill="B8CCE4"/>
          </w:tcPr>
          <w:p w:rsidR="006D00D4" w:rsidRPr="00A04CFB" w:rsidRDefault="006D00D4" w:rsidP="006D00D4">
            <w:pPr>
              <w:pStyle w:val="Default"/>
              <w:spacing w:before="80" w:after="80"/>
              <w:rPr>
                <w:rFonts w:asciiTheme="minorHAnsi" w:hAnsiTheme="minorHAnsi" w:cstheme="minorHAnsi"/>
                <w:b/>
                <w:bCs/>
                <w:sz w:val="22"/>
                <w:szCs w:val="22"/>
              </w:rPr>
            </w:pPr>
            <w:r w:rsidRPr="00A04CFB">
              <w:rPr>
                <w:rFonts w:asciiTheme="minorHAnsi" w:hAnsiTheme="minorHAnsi" w:cstheme="minorHAnsi"/>
                <w:b/>
                <w:bCs/>
                <w:sz w:val="22"/>
                <w:szCs w:val="22"/>
              </w:rPr>
              <w:t xml:space="preserve">Nesplněná kritéria </w:t>
            </w:r>
          </w:p>
        </w:tc>
        <w:tc>
          <w:tcPr>
            <w:tcW w:w="1746" w:type="pct"/>
            <w:shd w:val="clear" w:color="auto" w:fill="B8CCE4"/>
          </w:tcPr>
          <w:p w:rsidR="006D00D4" w:rsidRPr="00A04CFB" w:rsidRDefault="006D00D4" w:rsidP="006D00D4">
            <w:pPr>
              <w:pStyle w:val="Default"/>
              <w:spacing w:before="80" w:after="80"/>
              <w:rPr>
                <w:rFonts w:asciiTheme="minorHAnsi" w:hAnsiTheme="minorHAnsi" w:cstheme="minorHAnsi"/>
                <w:b/>
                <w:bCs/>
                <w:sz w:val="22"/>
                <w:szCs w:val="22"/>
              </w:rPr>
            </w:pPr>
            <w:r w:rsidRPr="00A04CFB">
              <w:rPr>
                <w:rFonts w:asciiTheme="minorHAnsi" w:hAnsiTheme="minorHAnsi" w:cstheme="minorHAnsi"/>
                <w:b/>
                <w:bCs/>
                <w:sz w:val="22"/>
                <w:szCs w:val="22"/>
              </w:rPr>
              <w:t xml:space="preserve">Opatření, která je nutno přijmout </w:t>
            </w:r>
          </w:p>
        </w:tc>
        <w:tc>
          <w:tcPr>
            <w:tcW w:w="853" w:type="pct"/>
            <w:shd w:val="clear" w:color="auto" w:fill="B8CCE4"/>
          </w:tcPr>
          <w:p w:rsidR="006D00D4" w:rsidRPr="00A04CFB" w:rsidRDefault="006D00D4" w:rsidP="006D00D4">
            <w:pPr>
              <w:pStyle w:val="Default"/>
              <w:spacing w:before="80" w:after="80"/>
              <w:rPr>
                <w:rFonts w:asciiTheme="minorHAnsi" w:hAnsiTheme="minorHAnsi" w:cstheme="minorHAnsi"/>
                <w:b/>
                <w:bCs/>
                <w:sz w:val="22"/>
                <w:szCs w:val="22"/>
              </w:rPr>
            </w:pPr>
            <w:r w:rsidRPr="00A04CFB">
              <w:rPr>
                <w:rFonts w:asciiTheme="minorHAnsi" w:hAnsiTheme="minorHAnsi" w:cstheme="minorHAnsi"/>
                <w:b/>
                <w:bCs/>
                <w:sz w:val="22"/>
                <w:szCs w:val="22"/>
              </w:rPr>
              <w:t>Termín splnění (datum)</w:t>
            </w:r>
          </w:p>
        </w:tc>
        <w:tc>
          <w:tcPr>
            <w:tcW w:w="844" w:type="pct"/>
            <w:shd w:val="clear" w:color="auto" w:fill="B8CCE4"/>
          </w:tcPr>
          <w:p w:rsidR="006D00D4" w:rsidRPr="00A04CFB" w:rsidRDefault="006D00D4" w:rsidP="006D00D4">
            <w:pPr>
              <w:pStyle w:val="Default"/>
              <w:spacing w:before="80" w:after="80"/>
              <w:rPr>
                <w:rFonts w:asciiTheme="minorHAnsi" w:hAnsiTheme="minorHAnsi" w:cstheme="minorHAnsi"/>
                <w:b/>
                <w:bCs/>
                <w:sz w:val="22"/>
                <w:szCs w:val="22"/>
              </w:rPr>
            </w:pPr>
            <w:r w:rsidRPr="00A04CFB">
              <w:rPr>
                <w:rFonts w:asciiTheme="minorHAnsi" w:hAnsiTheme="minorHAnsi" w:cstheme="minorHAnsi"/>
                <w:b/>
                <w:bCs/>
                <w:sz w:val="22"/>
                <w:szCs w:val="22"/>
              </w:rPr>
              <w:t>Orgány zodpovědné za plnění</w:t>
            </w:r>
          </w:p>
        </w:tc>
      </w:tr>
      <w:tr w:rsidR="00882A1B" w:rsidRPr="005D7EE2" w:rsidTr="00F8551C">
        <w:trPr>
          <w:trHeight w:val="11031"/>
          <w:jc w:val="center"/>
        </w:trPr>
        <w:tc>
          <w:tcPr>
            <w:tcW w:w="801" w:type="pct"/>
            <w:vMerge w:val="restart"/>
          </w:tcPr>
          <w:p w:rsidR="00882A1B" w:rsidRPr="005D7EE2" w:rsidRDefault="00882A1B" w:rsidP="006D00D4">
            <w:pPr>
              <w:rPr>
                <w:rFonts w:asciiTheme="minorHAnsi" w:hAnsiTheme="minorHAnsi" w:cstheme="minorHAnsi"/>
                <w:b/>
                <w:bCs/>
                <w:sz w:val="22"/>
                <w:szCs w:val="22"/>
              </w:rPr>
            </w:pPr>
            <w:r w:rsidRPr="005D7EE2">
              <w:rPr>
                <w:rFonts w:asciiTheme="minorHAnsi" w:hAnsiTheme="minorHAnsi" w:cstheme="minorHAnsi"/>
                <w:b/>
                <w:bCs/>
                <w:sz w:val="22"/>
                <w:szCs w:val="22"/>
              </w:rPr>
              <w:t xml:space="preserve">2.1. </w:t>
            </w:r>
            <w:r w:rsidRPr="005D7EE2">
              <w:rPr>
                <w:rFonts w:asciiTheme="minorHAnsi" w:hAnsiTheme="minorHAnsi" w:cstheme="minorHAnsi"/>
                <w:b/>
                <w:color w:val="000000"/>
                <w:sz w:val="22"/>
                <w:szCs w:val="22"/>
              </w:rPr>
              <w:t>Digitální růst: Strategický rámec politiky pro digitální růst, který má podněcovat cenově dostupné, kvalitní a interoperabilní soukromé a veřejné služby v oblasti IKT a zvýšit míru jejich využívání občany (včetně zranitelných skupin), podniky a orgány veřejné správy včetně přeshraničních iniciativ.</w:t>
            </w:r>
          </w:p>
        </w:tc>
        <w:tc>
          <w:tcPr>
            <w:tcW w:w="756" w:type="pct"/>
          </w:tcPr>
          <w:p w:rsidR="00882A1B" w:rsidRPr="005D7EE2" w:rsidRDefault="00882A1B" w:rsidP="006D00D4">
            <w:pPr>
              <w:rPr>
                <w:rFonts w:asciiTheme="minorHAnsi" w:hAnsiTheme="minorHAnsi" w:cstheme="minorHAnsi"/>
                <w:color w:val="000000"/>
                <w:sz w:val="22"/>
                <w:szCs w:val="22"/>
              </w:rPr>
            </w:pPr>
            <w:r w:rsidRPr="005D7EE2">
              <w:rPr>
                <w:rFonts w:asciiTheme="minorHAnsi" w:hAnsiTheme="minorHAnsi" w:cstheme="minorHAnsi"/>
                <w:color w:val="000000"/>
                <w:sz w:val="22"/>
                <w:szCs w:val="22"/>
              </w:rPr>
              <w:t>V rámci národní nebo regionální strategie pro inteligentní specializaci je vypracován například strategický rámec politiky pro digitální růst, který obsahuje:</w:t>
            </w:r>
          </w:p>
        </w:tc>
        <w:tc>
          <w:tcPr>
            <w:tcW w:w="1746" w:type="pct"/>
          </w:tcPr>
          <w:p w:rsidR="00882A1B" w:rsidRPr="005D7EE2" w:rsidRDefault="00882A1B" w:rsidP="006D00D4">
            <w:pPr>
              <w:pStyle w:val="DAVA"/>
              <w:spacing w:before="0"/>
              <w:rPr>
                <w:rFonts w:asciiTheme="minorHAnsi" w:hAnsiTheme="minorHAnsi" w:cstheme="minorHAnsi"/>
                <w:sz w:val="22"/>
                <w:szCs w:val="22"/>
              </w:rPr>
            </w:pPr>
            <w:r w:rsidRPr="005D7EE2">
              <w:rPr>
                <w:rFonts w:asciiTheme="minorHAnsi" w:hAnsiTheme="minorHAnsi" w:cstheme="minorHAnsi"/>
                <w:sz w:val="22"/>
                <w:szCs w:val="22"/>
              </w:rPr>
              <w:t xml:space="preserve">V současnosti je připravována </w:t>
            </w:r>
            <w:r w:rsidRPr="00190EB7">
              <w:rPr>
                <w:rFonts w:asciiTheme="minorHAnsi" w:hAnsiTheme="minorHAnsi" w:cstheme="minorHAnsi"/>
                <w:sz w:val="22"/>
                <w:szCs w:val="22"/>
              </w:rPr>
              <w:t>Strategie digitální gramotnosti ČR na období 2015 – 2020</w:t>
            </w:r>
            <w:r w:rsidRPr="005D7EE2">
              <w:rPr>
                <w:rFonts w:asciiTheme="minorHAnsi" w:hAnsiTheme="minorHAnsi" w:cstheme="minorHAnsi"/>
                <w:sz w:val="22"/>
                <w:szCs w:val="22"/>
              </w:rPr>
              <w:t xml:space="preserve"> (podkladové analýzy, SWOT analýza, příprava návrhu strategie).</w:t>
            </w:r>
          </w:p>
          <w:p w:rsidR="00882A1B" w:rsidRPr="005D7EE2" w:rsidRDefault="00882A1B" w:rsidP="006D00D4">
            <w:pPr>
              <w:pStyle w:val="DAVA"/>
              <w:spacing w:before="0"/>
              <w:rPr>
                <w:rFonts w:asciiTheme="minorHAnsi" w:hAnsiTheme="minorHAnsi" w:cstheme="minorHAnsi"/>
                <w:sz w:val="22"/>
                <w:szCs w:val="22"/>
              </w:rPr>
            </w:pPr>
          </w:p>
        </w:tc>
        <w:tc>
          <w:tcPr>
            <w:tcW w:w="853" w:type="pct"/>
          </w:tcPr>
          <w:p w:rsidR="00882A1B" w:rsidRPr="005D7EE2" w:rsidRDefault="00882A1B" w:rsidP="006D00D4">
            <w:pPr>
              <w:pStyle w:val="DAVA"/>
              <w:spacing w:before="0"/>
              <w:rPr>
                <w:rFonts w:asciiTheme="minorHAnsi" w:hAnsiTheme="minorHAnsi" w:cstheme="minorHAnsi"/>
                <w:sz w:val="22"/>
                <w:szCs w:val="22"/>
              </w:rPr>
            </w:pPr>
            <w:r w:rsidRPr="005D7EE2">
              <w:rPr>
                <w:rFonts w:asciiTheme="minorHAnsi" w:hAnsiTheme="minorHAnsi" w:cstheme="minorHAnsi"/>
                <w:sz w:val="22"/>
                <w:szCs w:val="22"/>
              </w:rPr>
              <w:t>2Q 2015</w:t>
            </w:r>
          </w:p>
          <w:p w:rsidR="00882A1B" w:rsidRPr="005D7EE2" w:rsidRDefault="00882A1B" w:rsidP="006D00D4">
            <w:pPr>
              <w:rPr>
                <w:rFonts w:asciiTheme="minorHAnsi" w:hAnsiTheme="minorHAnsi" w:cstheme="minorHAnsi"/>
                <w:color w:val="000000"/>
                <w:sz w:val="22"/>
                <w:szCs w:val="22"/>
              </w:rPr>
            </w:pPr>
            <w:r w:rsidRPr="005D7EE2">
              <w:rPr>
                <w:rFonts w:asciiTheme="minorHAnsi" w:hAnsiTheme="minorHAnsi" w:cstheme="minorHAnsi"/>
                <w:color w:val="000000"/>
                <w:sz w:val="22"/>
                <w:szCs w:val="22"/>
              </w:rPr>
              <w:t>Indikativní HMG:</w:t>
            </w:r>
          </w:p>
          <w:p w:rsidR="00882A1B" w:rsidRPr="00797B25" w:rsidRDefault="00882A1B" w:rsidP="00FE7B99">
            <w:pPr>
              <w:jc w:val="both"/>
              <w:rPr>
                <w:rFonts w:asciiTheme="minorHAnsi" w:hAnsiTheme="minorHAnsi" w:cstheme="minorHAnsi"/>
                <w:sz w:val="22"/>
                <w:szCs w:val="22"/>
              </w:rPr>
            </w:pPr>
            <w:r w:rsidRPr="005D7EE2">
              <w:rPr>
                <w:rFonts w:asciiTheme="minorHAnsi" w:hAnsiTheme="minorHAnsi" w:cstheme="minorHAnsi"/>
                <w:color w:val="000000"/>
                <w:sz w:val="22"/>
                <w:szCs w:val="22"/>
              </w:rPr>
              <w:t>2014 - Příprava dokumentu (práce na strategii již byly zahájeny ve spolupráci MPSV s MŠMT)</w:t>
            </w:r>
            <w:r w:rsidRPr="00797B25">
              <w:rPr>
                <w:rFonts w:asciiTheme="minorHAnsi" w:hAnsiTheme="minorHAnsi" w:cstheme="minorHAnsi"/>
                <w:sz w:val="22"/>
                <w:szCs w:val="22"/>
              </w:rPr>
              <w:t xml:space="preserve"> Leden 2015: expertní konzultace k první verzi dokumentu (kulaté stoly) – připomínky z veřejného připomínkování </w:t>
            </w:r>
            <w:r>
              <w:rPr>
                <w:rFonts w:asciiTheme="minorHAnsi" w:hAnsiTheme="minorHAnsi" w:cstheme="minorHAnsi"/>
                <w:sz w:val="22"/>
                <w:szCs w:val="22"/>
              </w:rPr>
              <w:t xml:space="preserve">byly </w:t>
            </w:r>
            <w:r w:rsidRPr="00797B25">
              <w:rPr>
                <w:rFonts w:asciiTheme="minorHAnsi" w:hAnsiTheme="minorHAnsi" w:cstheme="minorHAnsi"/>
                <w:sz w:val="22"/>
                <w:szCs w:val="22"/>
              </w:rPr>
              <w:t>vypořádány a zapracovány do konce ledna 2015</w:t>
            </w:r>
          </w:p>
          <w:p w:rsidR="00882A1B" w:rsidRPr="00797B25" w:rsidRDefault="00882A1B" w:rsidP="00FE7B99">
            <w:pPr>
              <w:jc w:val="both"/>
              <w:rPr>
                <w:rFonts w:asciiTheme="minorHAnsi" w:hAnsiTheme="minorHAnsi" w:cstheme="minorHAnsi"/>
                <w:sz w:val="22"/>
                <w:szCs w:val="22"/>
              </w:rPr>
            </w:pPr>
            <w:r w:rsidRPr="00882A1B">
              <w:rPr>
                <w:rFonts w:asciiTheme="minorHAnsi" w:hAnsiTheme="minorHAnsi" w:cstheme="minorHAnsi"/>
                <w:sz w:val="22"/>
                <w:szCs w:val="22"/>
              </w:rPr>
              <w:t>Únor 2015: do konce února byla dopracována</w:t>
            </w:r>
            <w:r w:rsidRPr="00797B25">
              <w:rPr>
                <w:rFonts w:asciiTheme="minorHAnsi" w:hAnsiTheme="minorHAnsi" w:cstheme="minorHAnsi"/>
                <w:sz w:val="22"/>
                <w:szCs w:val="22"/>
              </w:rPr>
              <w:t xml:space="preserve"> Strategie do druhé verze, která se následně předloží do mezirezortního připomínkového řízení.</w:t>
            </w:r>
          </w:p>
          <w:p w:rsidR="00882A1B" w:rsidRPr="005D7EE2" w:rsidRDefault="00882A1B" w:rsidP="00882A1B">
            <w:pPr>
              <w:jc w:val="both"/>
              <w:rPr>
                <w:rFonts w:asciiTheme="minorHAnsi" w:hAnsiTheme="minorHAnsi" w:cstheme="minorHAnsi"/>
                <w:sz w:val="22"/>
                <w:szCs w:val="22"/>
              </w:rPr>
            </w:pPr>
            <w:r w:rsidRPr="00797B25">
              <w:rPr>
                <w:rFonts w:asciiTheme="minorHAnsi" w:hAnsiTheme="minorHAnsi" w:cstheme="minorHAnsi"/>
                <w:sz w:val="22"/>
                <w:szCs w:val="22"/>
              </w:rPr>
              <w:t>30. 6. 2015 - Nejzazší termín</w:t>
            </w:r>
            <w:r>
              <w:rPr>
                <w:rFonts w:asciiTheme="minorHAnsi" w:hAnsiTheme="minorHAnsi" w:cstheme="minorHAnsi"/>
                <w:sz w:val="22"/>
                <w:szCs w:val="22"/>
              </w:rPr>
              <w:t xml:space="preserve"> schválení Strategie Vládou ČR.</w:t>
            </w:r>
          </w:p>
        </w:tc>
        <w:tc>
          <w:tcPr>
            <w:tcW w:w="844" w:type="pct"/>
          </w:tcPr>
          <w:p w:rsidR="00882A1B" w:rsidRDefault="00882A1B" w:rsidP="006D00D4">
            <w:pPr>
              <w:pStyle w:val="DAVA"/>
              <w:spacing w:before="0"/>
              <w:rPr>
                <w:rFonts w:asciiTheme="minorHAnsi" w:hAnsiTheme="minorHAnsi" w:cstheme="minorHAnsi"/>
                <w:sz w:val="22"/>
                <w:szCs w:val="22"/>
                <w:lang w:val="cs-CZ"/>
              </w:rPr>
            </w:pPr>
            <w:r w:rsidRPr="005D7EE2">
              <w:rPr>
                <w:rFonts w:asciiTheme="minorHAnsi" w:hAnsiTheme="minorHAnsi" w:cstheme="minorHAnsi"/>
                <w:sz w:val="22"/>
                <w:szCs w:val="22"/>
              </w:rPr>
              <w:t>MPSV (gestor), MŠMT (</w:t>
            </w:r>
            <w:proofErr w:type="spellStart"/>
            <w:r w:rsidRPr="005D7EE2">
              <w:rPr>
                <w:rFonts w:asciiTheme="minorHAnsi" w:hAnsiTheme="minorHAnsi" w:cstheme="minorHAnsi"/>
                <w:sz w:val="22"/>
                <w:szCs w:val="22"/>
              </w:rPr>
              <w:t>spolugestor</w:t>
            </w:r>
            <w:proofErr w:type="spellEnd"/>
            <w:r w:rsidRPr="005D7EE2">
              <w:rPr>
                <w:rFonts w:asciiTheme="minorHAnsi" w:hAnsiTheme="minorHAnsi" w:cstheme="minorHAnsi"/>
                <w:sz w:val="22"/>
                <w:szCs w:val="22"/>
              </w:rPr>
              <w:t>)</w:t>
            </w:r>
          </w:p>
          <w:p w:rsidR="00882A1B" w:rsidRPr="005D7EE2" w:rsidRDefault="00882A1B" w:rsidP="00653FDD">
            <w:pPr>
              <w:pStyle w:val="DAVA"/>
              <w:spacing w:before="0"/>
              <w:rPr>
                <w:rFonts w:asciiTheme="minorHAnsi" w:hAnsiTheme="minorHAnsi" w:cstheme="minorHAnsi"/>
                <w:color w:val="000000"/>
                <w:sz w:val="22"/>
                <w:szCs w:val="22"/>
              </w:rPr>
            </w:pPr>
            <w:r w:rsidRPr="00190EB7">
              <w:rPr>
                <w:rFonts w:asciiTheme="minorHAnsi" w:hAnsiTheme="minorHAnsi" w:cstheme="minorHAnsi"/>
                <w:sz w:val="22"/>
                <w:szCs w:val="22"/>
              </w:rPr>
              <w:t>Strategie digitální gramotnosti ČR na období 2015 – 2020</w:t>
            </w:r>
            <w:r w:rsidRPr="00190EB7" w:rsidDel="00E70710">
              <w:rPr>
                <w:rFonts w:asciiTheme="minorHAnsi" w:hAnsiTheme="minorHAnsi" w:cstheme="minorHAnsi"/>
                <w:sz w:val="22"/>
                <w:szCs w:val="22"/>
              </w:rPr>
              <w:t xml:space="preserve"> </w:t>
            </w:r>
            <w:r>
              <w:rPr>
                <w:rFonts w:asciiTheme="minorHAnsi" w:hAnsiTheme="minorHAnsi" w:cstheme="minorHAnsi"/>
                <w:color w:val="000000"/>
                <w:sz w:val="22"/>
                <w:szCs w:val="22"/>
                <w:lang w:val="cs-CZ"/>
              </w:rPr>
              <w:t xml:space="preserve"> </w:t>
            </w:r>
            <w:r w:rsidRPr="005D7EE2">
              <w:rPr>
                <w:rFonts w:asciiTheme="minorHAnsi" w:hAnsiTheme="minorHAnsi" w:cstheme="minorHAnsi"/>
                <w:color w:val="000000"/>
                <w:sz w:val="22"/>
                <w:szCs w:val="22"/>
              </w:rPr>
              <w:t>vznik</w:t>
            </w:r>
            <w:r>
              <w:rPr>
                <w:rFonts w:asciiTheme="minorHAnsi" w:hAnsiTheme="minorHAnsi" w:cstheme="minorHAnsi"/>
                <w:color w:val="000000"/>
                <w:sz w:val="22"/>
                <w:szCs w:val="22"/>
                <w:lang w:val="cs-CZ"/>
              </w:rPr>
              <w:t>á</w:t>
            </w:r>
            <w:r w:rsidRPr="005D7EE2">
              <w:rPr>
                <w:rFonts w:asciiTheme="minorHAnsi" w:hAnsiTheme="minorHAnsi" w:cstheme="minorHAnsi"/>
                <w:color w:val="000000"/>
                <w:sz w:val="22"/>
                <w:szCs w:val="22"/>
              </w:rPr>
              <w:t xml:space="preserve"> v gesci MPSV (MŠMT bude </w:t>
            </w:r>
            <w:proofErr w:type="spellStart"/>
            <w:r w:rsidRPr="005D7EE2">
              <w:rPr>
                <w:rFonts w:asciiTheme="minorHAnsi" w:hAnsiTheme="minorHAnsi" w:cstheme="minorHAnsi"/>
                <w:color w:val="000000"/>
                <w:sz w:val="22"/>
                <w:szCs w:val="22"/>
              </w:rPr>
              <w:t>spolugestorem</w:t>
            </w:r>
            <w:proofErr w:type="spellEnd"/>
            <w:r w:rsidRPr="005D7EE2">
              <w:rPr>
                <w:rFonts w:asciiTheme="minorHAnsi" w:hAnsiTheme="minorHAnsi" w:cstheme="minorHAnsi"/>
                <w:color w:val="000000"/>
                <w:sz w:val="22"/>
                <w:szCs w:val="22"/>
              </w:rPr>
              <w:t xml:space="preserve">). Přípravy byly zahájeny v prvním kvartálu roku 2014, </w:t>
            </w:r>
            <w:r w:rsidRPr="008028A0">
              <w:rPr>
                <w:rFonts w:asciiTheme="minorHAnsi" w:hAnsiTheme="minorHAnsi" w:cstheme="minorHAnsi"/>
                <w:color w:val="000000"/>
                <w:sz w:val="22"/>
                <w:szCs w:val="22"/>
                <w:lang w:val="cs-CZ"/>
              </w:rPr>
              <w:t>v lednu 2015 byla dokončena a je projednávána první verze dokumentu</w:t>
            </w:r>
            <w:r>
              <w:rPr>
                <w:rFonts w:asciiTheme="minorHAnsi" w:hAnsiTheme="minorHAnsi" w:cstheme="minorHAnsi"/>
                <w:color w:val="000000"/>
                <w:sz w:val="22"/>
                <w:szCs w:val="22"/>
                <w:lang w:val="cs-CZ"/>
              </w:rPr>
              <w:t>,</w:t>
            </w:r>
            <w:r w:rsidRPr="008028A0">
              <w:rPr>
                <w:rFonts w:asciiTheme="minorHAnsi" w:hAnsiTheme="minorHAnsi" w:cstheme="minorHAnsi"/>
                <w:color w:val="000000"/>
                <w:sz w:val="22"/>
                <w:szCs w:val="22"/>
                <w:lang w:val="cs-CZ"/>
              </w:rPr>
              <w:t xml:space="preserve"> </w:t>
            </w:r>
            <w:r w:rsidRPr="005D7EE2">
              <w:rPr>
                <w:rFonts w:asciiTheme="minorHAnsi" w:hAnsiTheme="minorHAnsi" w:cstheme="minorHAnsi"/>
                <w:color w:val="000000"/>
                <w:sz w:val="22"/>
                <w:szCs w:val="22"/>
              </w:rPr>
              <w:t>přičemž následné projednání a schválení je plánováno do konce 2 Q. roku 2015.</w:t>
            </w:r>
          </w:p>
        </w:tc>
      </w:tr>
      <w:tr w:rsidR="006D00D4" w:rsidRPr="005D7EE2" w:rsidTr="00882A1B">
        <w:trPr>
          <w:trHeight w:val="509"/>
          <w:jc w:val="center"/>
        </w:trPr>
        <w:tc>
          <w:tcPr>
            <w:tcW w:w="801" w:type="pct"/>
            <w:vMerge/>
          </w:tcPr>
          <w:p w:rsidR="006D00D4" w:rsidRPr="005D7EE2" w:rsidRDefault="006D00D4" w:rsidP="006D00D4">
            <w:pPr>
              <w:rPr>
                <w:rFonts w:asciiTheme="minorHAnsi" w:hAnsiTheme="minorHAnsi" w:cstheme="minorHAnsi"/>
                <w:b/>
                <w:bCs/>
                <w:sz w:val="22"/>
                <w:szCs w:val="22"/>
              </w:rPr>
            </w:pPr>
          </w:p>
        </w:tc>
        <w:tc>
          <w:tcPr>
            <w:tcW w:w="756" w:type="pct"/>
          </w:tcPr>
          <w:p w:rsidR="006D00D4" w:rsidRPr="005D7EE2" w:rsidRDefault="006D00D4" w:rsidP="006D00D4">
            <w:pPr>
              <w:rPr>
                <w:rFonts w:asciiTheme="minorHAnsi" w:hAnsiTheme="minorHAnsi" w:cstheme="minorHAnsi"/>
                <w:color w:val="000000"/>
                <w:sz w:val="22"/>
                <w:szCs w:val="22"/>
              </w:rPr>
            </w:pPr>
            <w:r w:rsidRPr="005D7EE2">
              <w:rPr>
                <w:rFonts w:asciiTheme="minorHAnsi" w:hAnsiTheme="minorHAnsi" w:cstheme="minorHAnsi"/>
                <w:color w:val="000000"/>
                <w:sz w:val="22"/>
                <w:szCs w:val="22"/>
              </w:rPr>
              <w:t>ukazatele umožňující měření pokroku zásahů v oblastech, jako jsou počítačová gramotnost, digitální začlenění, digitální přístupnost a pokrok v elektronickém zdravotnictví v mezích článku 168 Smlouvy o fungování EU, jež jsou v souladu se stávajícími příslušnými unijními, vnitrostátními nebo regionálními strategiemi pro jednotlivá odvětví;</w:t>
            </w:r>
          </w:p>
        </w:tc>
        <w:tc>
          <w:tcPr>
            <w:tcW w:w="1746" w:type="pct"/>
          </w:tcPr>
          <w:p w:rsidR="006D00D4" w:rsidRPr="005D7EE2" w:rsidRDefault="006D00D4" w:rsidP="006D00D4">
            <w:pPr>
              <w:rPr>
                <w:rFonts w:asciiTheme="minorHAnsi" w:hAnsiTheme="minorHAnsi" w:cstheme="minorHAnsi"/>
                <w:color w:val="000000"/>
                <w:sz w:val="22"/>
                <w:szCs w:val="22"/>
              </w:rPr>
            </w:pPr>
            <w:r w:rsidRPr="005D7EE2">
              <w:rPr>
                <w:rFonts w:asciiTheme="minorHAnsi" w:hAnsiTheme="minorHAnsi" w:cstheme="minorHAnsi"/>
                <w:sz w:val="22"/>
                <w:szCs w:val="22"/>
              </w:rPr>
              <w:t xml:space="preserve">Zpracování </w:t>
            </w:r>
            <w:r w:rsidR="00FE7B99" w:rsidRPr="00F221DE">
              <w:rPr>
                <w:rFonts w:asciiTheme="minorHAnsi" w:hAnsiTheme="minorHAnsi" w:cstheme="minorHAnsi"/>
                <w:sz w:val="22"/>
                <w:szCs w:val="22"/>
              </w:rPr>
              <w:t>Strategie digitální gramotnosti ČR na období 2015 – 2020</w:t>
            </w:r>
            <w:r w:rsidRPr="005D7EE2">
              <w:rPr>
                <w:rFonts w:asciiTheme="minorHAnsi" w:hAnsiTheme="minorHAnsi" w:cstheme="minorHAnsi"/>
                <w:sz w:val="22"/>
                <w:szCs w:val="22"/>
              </w:rPr>
              <w:t>, která naplňuje opatření Digitálního Česka 2.0 v kapitole 5.6. Digitální gramotnost, elektronické dovednosti (e-</w:t>
            </w:r>
            <w:proofErr w:type="spellStart"/>
            <w:r w:rsidRPr="005D7EE2">
              <w:rPr>
                <w:rFonts w:asciiTheme="minorHAnsi" w:hAnsiTheme="minorHAnsi" w:cstheme="minorHAnsi"/>
                <w:sz w:val="22"/>
                <w:szCs w:val="22"/>
              </w:rPr>
              <w:t>skills</w:t>
            </w:r>
            <w:proofErr w:type="spellEnd"/>
            <w:r w:rsidRPr="005D7EE2">
              <w:rPr>
                <w:rFonts w:asciiTheme="minorHAnsi" w:hAnsiTheme="minorHAnsi" w:cstheme="minorHAnsi"/>
                <w:sz w:val="22"/>
                <w:szCs w:val="22"/>
              </w:rPr>
              <w:t xml:space="preserve">). </w:t>
            </w:r>
            <w:r w:rsidR="00FE7B99" w:rsidRPr="00F221DE">
              <w:rPr>
                <w:rFonts w:asciiTheme="minorHAnsi" w:hAnsiTheme="minorHAnsi" w:cstheme="minorHAnsi"/>
                <w:sz w:val="22"/>
                <w:szCs w:val="22"/>
              </w:rPr>
              <w:t>Strategie digitální gramotnosti ČR na období 2015 – 2020</w:t>
            </w:r>
            <w:r w:rsidR="00FE7B99">
              <w:rPr>
                <w:rFonts w:asciiTheme="minorHAnsi" w:hAnsiTheme="minorHAnsi" w:cstheme="minorHAnsi"/>
                <w:color w:val="000000"/>
                <w:sz w:val="22"/>
                <w:szCs w:val="22"/>
              </w:rPr>
              <w:t xml:space="preserve"> </w:t>
            </w:r>
            <w:r w:rsidRPr="005D7EE2">
              <w:rPr>
                <w:rFonts w:asciiTheme="minorHAnsi" w:hAnsiTheme="minorHAnsi" w:cstheme="minorHAnsi"/>
                <w:color w:val="000000"/>
                <w:sz w:val="22"/>
                <w:szCs w:val="22"/>
              </w:rPr>
              <w:t xml:space="preserve"> vznikne v gesci MPSV (MŠMT bude </w:t>
            </w:r>
            <w:proofErr w:type="spellStart"/>
            <w:r w:rsidRPr="005D7EE2">
              <w:rPr>
                <w:rFonts w:asciiTheme="minorHAnsi" w:hAnsiTheme="minorHAnsi" w:cstheme="minorHAnsi"/>
                <w:color w:val="000000"/>
                <w:sz w:val="22"/>
                <w:szCs w:val="22"/>
              </w:rPr>
              <w:t>spolugestorem</w:t>
            </w:r>
            <w:proofErr w:type="spellEnd"/>
            <w:r w:rsidRPr="005D7EE2">
              <w:rPr>
                <w:rFonts w:asciiTheme="minorHAnsi" w:hAnsiTheme="minorHAnsi" w:cstheme="minorHAnsi"/>
                <w:color w:val="000000"/>
                <w:sz w:val="22"/>
                <w:szCs w:val="22"/>
              </w:rPr>
              <w:t xml:space="preserve">). Přípravy byly zahájeny v prvním kvartálu roku 2014, </w:t>
            </w:r>
            <w:r w:rsidR="00FE7B99" w:rsidRPr="008028A0">
              <w:rPr>
                <w:rFonts w:asciiTheme="minorHAnsi" w:hAnsiTheme="minorHAnsi" w:cstheme="minorHAnsi"/>
                <w:color w:val="000000"/>
                <w:sz w:val="22"/>
                <w:szCs w:val="22"/>
              </w:rPr>
              <w:t>v lednu 2015 byla dokončena a je pro</w:t>
            </w:r>
            <w:r w:rsidR="00FE7B99">
              <w:rPr>
                <w:rFonts w:asciiTheme="minorHAnsi" w:hAnsiTheme="minorHAnsi" w:cstheme="minorHAnsi"/>
                <w:color w:val="000000"/>
                <w:sz w:val="22"/>
                <w:szCs w:val="22"/>
              </w:rPr>
              <w:t xml:space="preserve">jednávána první verze dokumentu, </w:t>
            </w:r>
            <w:r w:rsidRPr="005D7EE2">
              <w:rPr>
                <w:rFonts w:asciiTheme="minorHAnsi" w:hAnsiTheme="minorHAnsi" w:cstheme="minorHAnsi"/>
                <w:color w:val="000000"/>
                <w:sz w:val="22"/>
                <w:szCs w:val="22"/>
              </w:rPr>
              <w:t>přičemž následné projednání a schválení je plánováno do konce 2 Q. roku 2015.</w:t>
            </w:r>
          </w:p>
          <w:p w:rsidR="006D00D4" w:rsidRPr="005D7EE2" w:rsidRDefault="006D00D4" w:rsidP="006D00D4">
            <w:pPr>
              <w:rPr>
                <w:rFonts w:asciiTheme="minorHAnsi" w:hAnsiTheme="minorHAnsi" w:cstheme="minorHAnsi"/>
                <w:color w:val="000000"/>
                <w:sz w:val="22"/>
                <w:szCs w:val="22"/>
              </w:rPr>
            </w:pPr>
            <w:r w:rsidRPr="005D7EE2">
              <w:rPr>
                <w:rFonts w:asciiTheme="minorHAnsi" w:hAnsiTheme="minorHAnsi" w:cstheme="minorHAnsi"/>
                <w:color w:val="000000"/>
                <w:sz w:val="22"/>
                <w:szCs w:val="22"/>
              </w:rPr>
              <w:t>Součástí této strategie budou ukazatele umožňující měření pokroku zásahů v oblasti počítačové gramotnosti a digitálního začlenění.</w:t>
            </w:r>
          </w:p>
          <w:p w:rsidR="006D00D4" w:rsidRPr="005D7EE2" w:rsidRDefault="006D00D4" w:rsidP="006D00D4">
            <w:pPr>
              <w:rPr>
                <w:rFonts w:asciiTheme="minorHAnsi" w:hAnsiTheme="minorHAnsi" w:cstheme="minorHAnsi"/>
                <w:sz w:val="22"/>
                <w:szCs w:val="22"/>
              </w:rPr>
            </w:pPr>
          </w:p>
        </w:tc>
        <w:tc>
          <w:tcPr>
            <w:tcW w:w="853" w:type="pct"/>
          </w:tcPr>
          <w:p w:rsidR="006D00D4" w:rsidRPr="005D7EE2" w:rsidRDefault="006D00D4" w:rsidP="006D00D4">
            <w:pPr>
              <w:pStyle w:val="DAVA"/>
              <w:spacing w:before="0"/>
              <w:rPr>
                <w:rFonts w:asciiTheme="minorHAnsi" w:hAnsiTheme="minorHAnsi" w:cstheme="minorHAnsi"/>
                <w:sz w:val="22"/>
                <w:szCs w:val="22"/>
              </w:rPr>
            </w:pPr>
            <w:r w:rsidRPr="005D7EE2">
              <w:rPr>
                <w:rFonts w:asciiTheme="minorHAnsi" w:hAnsiTheme="minorHAnsi" w:cstheme="minorHAnsi"/>
                <w:sz w:val="22"/>
                <w:szCs w:val="22"/>
              </w:rPr>
              <w:t>2Q 2015</w:t>
            </w:r>
          </w:p>
        </w:tc>
        <w:tc>
          <w:tcPr>
            <w:tcW w:w="844" w:type="pct"/>
          </w:tcPr>
          <w:p w:rsidR="006D00D4" w:rsidRPr="005D7EE2" w:rsidRDefault="006D00D4" w:rsidP="006D00D4">
            <w:pPr>
              <w:rPr>
                <w:rFonts w:asciiTheme="minorHAnsi" w:hAnsiTheme="minorHAnsi" w:cstheme="minorHAnsi"/>
                <w:color w:val="000000"/>
                <w:sz w:val="22"/>
                <w:szCs w:val="22"/>
              </w:rPr>
            </w:pPr>
            <w:r w:rsidRPr="005D7EE2">
              <w:rPr>
                <w:rFonts w:asciiTheme="minorHAnsi" w:hAnsiTheme="minorHAnsi" w:cstheme="minorHAnsi"/>
                <w:sz w:val="22"/>
                <w:szCs w:val="22"/>
              </w:rPr>
              <w:t>MPSV (gestor), MŠMT (</w:t>
            </w:r>
            <w:proofErr w:type="spellStart"/>
            <w:r w:rsidRPr="005D7EE2">
              <w:rPr>
                <w:rFonts w:asciiTheme="minorHAnsi" w:hAnsiTheme="minorHAnsi" w:cstheme="minorHAnsi"/>
                <w:sz w:val="22"/>
                <w:szCs w:val="22"/>
              </w:rPr>
              <w:t>spolugestor</w:t>
            </w:r>
            <w:proofErr w:type="spellEnd"/>
            <w:r w:rsidRPr="005D7EE2">
              <w:rPr>
                <w:rFonts w:asciiTheme="minorHAnsi" w:hAnsiTheme="minorHAnsi" w:cstheme="minorHAnsi"/>
                <w:sz w:val="22"/>
                <w:szCs w:val="22"/>
              </w:rPr>
              <w:t>)</w:t>
            </w:r>
          </w:p>
        </w:tc>
      </w:tr>
    </w:tbl>
    <w:p w:rsidR="006D00D4" w:rsidRPr="00A04CFB" w:rsidRDefault="006D00D4" w:rsidP="006D00D4">
      <w:pPr>
        <w:jc w:val="both"/>
        <w:rPr>
          <w:rFonts w:cstheme="minorHAnsi"/>
          <w:szCs w:val="22"/>
        </w:rPr>
      </w:pPr>
    </w:p>
    <w:p w:rsidR="006D00D4" w:rsidRPr="00A04CFB" w:rsidRDefault="006D00D4" w:rsidP="006D00D4">
      <w:pPr>
        <w:jc w:val="both"/>
        <w:rPr>
          <w:rFonts w:cstheme="minorHAnsi"/>
          <w:szCs w:val="22"/>
        </w:rPr>
      </w:pPr>
    </w:p>
    <w:p w:rsidR="006E6B3F" w:rsidRDefault="006E6B3F">
      <w:pPr>
        <w:overflowPunct/>
        <w:autoSpaceDE/>
        <w:autoSpaceDN/>
        <w:adjustRightInd/>
        <w:textAlignment w:val="auto"/>
        <w:rPr>
          <w:rFonts w:cstheme="minorHAnsi"/>
          <w:b/>
          <w:smallCaps/>
          <w:szCs w:val="22"/>
        </w:rPr>
        <w:sectPr w:rsidR="006E6B3F" w:rsidSect="006D00D4">
          <w:type w:val="continuous"/>
          <w:pgSz w:w="11906" w:h="16838"/>
          <w:pgMar w:top="1418" w:right="1418" w:bottom="1418" w:left="1418" w:header="709" w:footer="709" w:gutter="0"/>
          <w:cols w:space="708"/>
          <w:docGrid w:linePitch="299"/>
        </w:sectPr>
      </w:pPr>
    </w:p>
    <w:p w:rsidR="006E6B3F" w:rsidRPr="006E6B3F" w:rsidRDefault="006E6B3F" w:rsidP="007F3553">
      <w:pPr>
        <w:pStyle w:val="Standardntext"/>
        <w:numPr>
          <w:ilvl w:val="0"/>
          <w:numId w:val="22"/>
        </w:numPr>
        <w:rPr>
          <w:b/>
        </w:rPr>
      </w:pPr>
      <w:r w:rsidRPr="006E6B3F">
        <w:rPr>
          <w:b/>
          <w:sz w:val="28"/>
          <w:szCs w:val="28"/>
        </w:rPr>
        <w:lastRenderedPageBreak/>
        <w:t>Akční plán naplnění předběžné podmínky 2.2</w:t>
      </w:r>
    </w:p>
    <w:p w:rsidR="006E6B3F" w:rsidRPr="00DE00DA" w:rsidRDefault="006E6B3F" w:rsidP="006E6B3F">
      <w:pPr>
        <w:jc w:val="both"/>
        <w:rPr>
          <w:i/>
          <w:sz w:val="24"/>
        </w:rPr>
      </w:pPr>
      <w:r w:rsidRPr="00DE00DA">
        <w:rPr>
          <w:i/>
          <w:sz w:val="24"/>
        </w:rPr>
        <w:t>Infrastruktura přístupových sítí nové generace: Existence celostátních nebo regionálních plánů sítí nové generace, které zohledňují regionální opatření k</w:t>
      </w:r>
      <w:r>
        <w:rPr>
          <w:i/>
          <w:sz w:val="24"/>
        </w:rPr>
        <w:t> </w:t>
      </w:r>
      <w:r w:rsidRPr="00DE00DA">
        <w:rPr>
          <w:i/>
          <w:sz w:val="24"/>
        </w:rPr>
        <w:t>dosažení cílů Unie v</w:t>
      </w:r>
      <w:r>
        <w:rPr>
          <w:i/>
          <w:sz w:val="24"/>
        </w:rPr>
        <w:t> </w:t>
      </w:r>
      <w:r w:rsidRPr="00DE00DA">
        <w:rPr>
          <w:i/>
          <w:sz w:val="24"/>
        </w:rPr>
        <w:t>oblasti vysokorychlostního přístupu k</w:t>
      </w:r>
      <w:r>
        <w:rPr>
          <w:i/>
          <w:sz w:val="24"/>
        </w:rPr>
        <w:t> </w:t>
      </w:r>
      <w:r w:rsidRPr="00DE00DA">
        <w:rPr>
          <w:i/>
          <w:sz w:val="24"/>
        </w:rPr>
        <w:t>internetu se zaměřením na oblasti, kde trh není schopen poskytovat otevřenou infrastrukturu za dostupnou cenu a</w:t>
      </w:r>
      <w:r>
        <w:rPr>
          <w:i/>
          <w:sz w:val="24"/>
        </w:rPr>
        <w:t> </w:t>
      </w:r>
      <w:r w:rsidRPr="00DE00DA">
        <w:rPr>
          <w:i/>
          <w:sz w:val="24"/>
        </w:rPr>
        <w:t>v odpovídající kvalitě v</w:t>
      </w:r>
      <w:r>
        <w:rPr>
          <w:i/>
          <w:sz w:val="24"/>
        </w:rPr>
        <w:t> </w:t>
      </w:r>
      <w:r w:rsidRPr="00DE00DA">
        <w:rPr>
          <w:i/>
          <w:sz w:val="24"/>
        </w:rPr>
        <w:t>souladu s</w:t>
      </w:r>
      <w:r>
        <w:rPr>
          <w:i/>
          <w:sz w:val="24"/>
        </w:rPr>
        <w:t> </w:t>
      </w:r>
      <w:r w:rsidRPr="00DE00DA">
        <w:rPr>
          <w:i/>
          <w:sz w:val="24"/>
        </w:rPr>
        <w:t>pravidly Unie pro hospodářskou soutěž a</w:t>
      </w:r>
      <w:r>
        <w:rPr>
          <w:i/>
          <w:sz w:val="24"/>
        </w:rPr>
        <w:t> </w:t>
      </w:r>
      <w:r w:rsidRPr="00DE00DA">
        <w:rPr>
          <w:i/>
          <w:sz w:val="24"/>
        </w:rPr>
        <w:t>státní podpory, a</w:t>
      </w:r>
      <w:r>
        <w:rPr>
          <w:i/>
          <w:sz w:val="24"/>
        </w:rPr>
        <w:t> </w:t>
      </w:r>
      <w:r w:rsidRPr="00DE00DA">
        <w:rPr>
          <w:i/>
          <w:sz w:val="24"/>
        </w:rPr>
        <w:t>poskytují dostupné služby zranitelným skupinám.</w:t>
      </w:r>
    </w:p>
    <w:p w:rsidR="006E6B3F" w:rsidRDefault="006E6B3F" w:rsidP="006E6B3F">
      <w:pPr>
        <w:jc w:val="both"/>
        <w:rPr>
          <w:sz w:val="24"/>
        </w:rPr>
      </w:pPr>
    </w:p>
    <w:p w:rsidR="006E6B3F" w:rsidRPr="00DE00DA" w:rsidRDefault="006E6B3F" w:rsidP="006E6B3F">
      <w:pPr>
        <w:jc w:val="both"/>
        <w:rPr>
          <w:b/>
          <w:sz w:val="24"/>
        </w:rPr>
      </w:pPr>
      <w:r w:rsidRPr="00DE00DA">
        <w:rPr>
          <w:b/>
          <w:sz w:val="24"/>
        </w:rPr>
        <w:t>Úvod</w:t>
      </w:r>
    </w:p>
    <w:p w:rsidR="006E6B3F" w:rsidRDefault="006E6B3F" w:rsidP="006E6B3F">
      <w:pPr>
        <w:jc w:val="both"/>
        <w:rPr>
          <w:sz w:val="24"/>
        </w:rPr>
      </w:pPr>
      <w:r>
        <w:rPr>
          <w:sz w:val="24"/>
        </w:rPr>
        <w:t>ČR přehodnotila formu způsobu naplňování předběžné podmínky 2.2. Původní záměr směřoval k tomu, že k aktualizované státní politice v elektronických komunikacích Digitální Česko 2.0 bude vypracována ze strany Českého telekomunikačního úřadu (dále jen „ČTÚ“) S</w:t>
      </w:r>
      <w:r w:rsidRPr="00DE00DA">
        <w:rPr>
          <w:sz w:val="24"/>
        </w:rPr>
        <w:t>tudi</w:t>
      </w:r>
      <w:r>
        <w:rPr>
          <w:sz w:val="24"/>
        </w:rPr>
        <w:t>e</w:t>
      </w:r>
      <w:r w:rsidRPr="00DE00DA">
        <w:rPr>
          <w:sz w:val="24"/>
        </w:rPr>
        <w:t xml:space="preserve"> procesu mapování infrastruktury pro poskytování vysokorychlostního přístupu k</w:t>
      </w:r>
      <w:r>
        <w:rPr>
          <w:sz w:val="24"/>
        </w:rPr>
        <w:t> </w:t>
      </w:r>
      <w:r w:rsidRPr="00DE00DA">
        <w:rPr>
          <w:sz w:val="24"/>
        </w:rPr>
        <w:t>internetu v</w:t>
      </w:r>
      <w:r>
        <w:rPr>
          <w:sz w:val="24"/>
        </w:rPr>
        <w:t> </w:t>
      </w:r>
      <w:r w:rsidRPr="00DE00DA">
        <w:rPr>
          <w:sz w:val="24"/>
        </w:rPr>
        <w:t>ČR</w:t>
      </w:r>
      <w:r>
        <w:rPr>
          <w:sz w:val="24"/>
        </w:rPr>
        <w:t>. Tento přístup byl přehodnocen a nově se předběžná podmínka 2.2 naplní zpracováním samostatného materiálu „</w:t>
      </w:r>
      <w:r w:rsidRPr="00E41DB8">
        <w:rPr>
          <w:b/>
          <w:sz w:val="24"/>
        </w:rPr>
        <w:t>Národní</w:t>
      </w:r>
      <w:r>
        <w:rPr>
          <w:b/>
          <w:sz w:val="24"/>
        </w:rPr>
        <w:t xml:space="preserve"> plán</w:t>
      </w:r>
      <w:r w:rsidRPr="00E41DB8">
        <w:rPr>
          <w:b/>
          <w:sz w:val="24"/>
        </w:rPr>
        <w:t xml:space="preserve"> rozvoje sítí nové generace</w:t>
      </w:r>
      <w:r w:rsidRPr="00F3546E">
        <w:rPr>
          <w:sz w:val="24"/>
        </w:rPr>
        <w:t>“</w:t>
      </w:r>
      <w:r>
        <w:rPr>
          <w:sz w:val="24"/>
        </w:rPr>
        <w:t>.</w:t>
      </w:r>
    </w:p>
    <w:p w:rsidR="006E6B3F" w:rsidRDefault="006E6B3F" w:rsidP="006E6B3F">
      <w:pPr>
        <w:jc w:val="both"/>
        <w:rPr>
          <w:sz w:val="24"/>
        </w:rPr>
      </w:pPr>
    </w:p>
    <w:p w:rsidR="006E6B3F" w:rsidRPr="00DE00DA" w:rsidRDefault="006E6B3F" w:rsidP="006E6B3F">
      <w:pPr>
        <w:jc w:val="both"/>
        <w:rPr>
          <w:b/>
          <w:sz w:val="24"/>
        </w:rPr>
      </w:pPr>
      <w:r w:rsidRPr="00DE00DA">
        <w:rPr>
          <w:b/>
          <w:sz w:val="24"/>
        </w:rPr>
        <w:t>Východiska</w:t>
      </w:r>
    </w:p>
    <w:p w:rsidR="006E6B3F" w:rsidRDefault="006E6B3F" w:rsidP="006E6B3F">
      <w:pPr>
        <w:jc w:val="both"/>
        <w:rPr>
          <w:sz w:val="24"/>
        </w:rPr>
      </w:pPr>
      <w:r>
        <w:rPr>
          <w:sz w:val="24"/>
        </w:rPr>
        <w:t>Národní plán rozvoje sítí nové generace bude založen na následujících východiscích:</w:t>
      </w:r>
    </w:p>
    <w:p w:rsidR="006E6B3F" w:rsidRDefault="006E6B3F" w:rsidP="006E6B3F">
      <w:pPr>
        <w:jc w:val="both"/>
        <w:rPr>
          <w:sz w:val="24"/>
        </w:rPr>
      </w:pPr>
      <w:r>
        <w:rPr>
          <w:sz w:val="24"/>
        </w:rPr>
        <w:t xml:space="preserve">a) </w:t>
      </w:r>
      <w:r w:rsidRPr="00DE00DA">
        <w:rPr>
          <w:sz w:val="24"/>
        </w:rPr>
        <w:t>aktualizovan</w:t>
      </w:r>
      <w:r>
        <w:rPr>
          <w:sz w:val="24"/>
        </w:rPr>
        <w:t>á</w:t>
      </w:r>
      <w:r w:rsidRPr="00DE00DA">
        <w:rPr>
          <w:sz w:val="24"/>
        </w:rPr>
        <w:t xml:space="preserve"> státní politi</w:t>
      </w:r>
      <w:r>
        <w:rPr>
          <w:sz w:val="24"/>
        </w:rPr>
        <w:t>ka</w:t>
      </w:r>
      <w:r w:rsidRPr="00DE00DA">
        <w:rPr>
          <w:sz w:val="24"/>
        </w:rPr>
        <w:t xml:space="preserve"> v</w:t>
      </w:r>
      <w:r>
        <w:rPr>
          <w:sz w:val="24"/>
        </w:rPr>
        <w:t> </w:t>
      </w:r>
      <w:r w:rsidRPr="00DE00DA">
        <w:rPr>
          <w:sz w:val="24"/>
        </w:rPr>
        <w:t xml:space="preserve">elektronických komunikacích Digitální Česko </w:t>
      </w:r>
      <w:r w:rsidRPr="00F3546E">
        <w:rPr>
          <w:sz w:val="24"/>
        </w:rPr>
        <w:t xml:space="preserve">v. </w:t>
      </w:r>
      <w:r w:rsidRPr="00DE00DA">
        <w:rPr>
          <w:sz w:val="24"/>
        </w:rPr>
        <w:t>2.0</w:t>
      </w:r>
      <w:r>
        <w:rPr>
          <w:sz w:val="24"/>
        </w:rPr>
        <w:t>,</w:t>
      </w:r>
      <w:r w:rsidRPr="00C81B77">
        <w:t xml:space="preserve"> </w:t>
      </w:r>
      <w:r w:rsidRPr="00C81B77">
        <w:rPr>
          <w:sz w:val="24"/>
        </w:rPr>
        <w:t>Cesta k</w:t>
      </w:r>
      <w:r>
        <w:rPr>
          <w:sz w:val="24"/>
        </w:rPr>
        <w:t> </w:t>
      </w:r>
      <w:r w:rsidRPr="00C81B77">
        <w:rPr>
          <w:sz w:val="24"/>
        </w:rPr>
        <w:t>digitální ekonomice</w:t>
      </w:r>
      <w:r>
        <w:rPr>
          <w:sz w:val="24"/>
        </w:rPr>
        <w:t>,</w:t>
      </w:r>
    </w:p>
    <w:p w:rsidR="006E6B3F" w:rsidRDefault="006E6B3F" w:rsidP="006E6B3F">
      <w:pPr>
        <w:jc w:val="both"/>
        <w:rPr>
          <w:sz w:val="24"/>
        </w:rPr>
      </w:pPr>
      <w:r>
        <w:rPr>
          <w:sz w:val="24"/>
        </w:rPr>
        <w:t xml:space="preserve">b) vyhodnocení </w:t>
      </w:r>
      <w:r w:rsidRPr="00DE00DA">
        <w:rPr>
          <w:sz w:val="24"/>
        </w:rPr>
        <w:t>procesu mapování infrastruktury pro poskytování vysokorychlostního přístupu k</w:t>
      </w:r>
      <w:r>
        <w:rPr>
          <w:sz w:val="24"/>
        </w:rPr>
        <w:t> </w:t>
      </w:r>
      <w:r w:rsidRPr="00DE00DA">
        <w:rPr>
          <w:sz w:val="24"/>
        </w:rPr>
        <w:t>internetu v</w:t>
      </w:r>
      <w:r>
        <w:rPr>
          <w:sz w:val="24"/>
        </w:rPr>
        <w:t> </w:t>
      </w:r>
      <w:r w:rsidRPr="00DE00DA">
        <w:rPr>
          <w:sz w:val="24"/>
        </w:rPr>
        <w:t>ČR</w:t>
      </w:r>
      <w:r>
        <w:rPr>
          <w:sz w:val="24"/>
        </w:rPr>
        <w:t>.</w:t>
      </w:r>
    </w:p>
    <w:p w:rsidR="006E6B3F" w:rsidRDefault="006E6B3F" w:rsidP="006E6B3F">
      <w:pPr>
        <w:jc w:val="both"/>
        <w:rPr>
          <w:sz w:val="24"/>
        </w:rPr>
      </w:pPr>
    </w:p>
    <w:p w:rsidR="006E6B3F" w:rsidRDefault="006E6B3F" w:rsidP="006E6B3F">
      <w:pPr>
        <w:jc w:val="both"/>
        <w:rPr>
          <w:sz w:val="24"/>
        </w:rPr>
      </w:pPr>
      <w:r>
        <w:rPr>
          <w:sz w:val="24"/>
        </w:rPr>
        <w:t>Ad a)</w:t>
      </w:r>
    </w:p>
    <w:p w:rsidR="006E6B3F" w:rsidRDefault="006E6B3F" w:rsidP="006E6B3F">
      <w:pPr>
        <w:jc w:val="both"/>
        <w:rPr>
          <w:sz w:val="24"/>
        </w:rPr>
      </w:pPr>
      <w:r>
        <w:rPr>
          <w:sz w:val="24"/>
        </w:rPr>
        <w:t>A</w:t>
      </w:r>
      <w:r w:rsidRPr="00C81B77">
        <w:rPr>
          <w:sz w:val="24"/>
        </w:rPr>
        <w:t>ktualizovan</w:t>
      </w:r>
      <w:r>
        <w:rPr>
          <w:sz w:val="24"/>
        </w:rPr>
        <w:t>á</w:t>
      </w:r>
      <w:r w:rsidRPr="00C81B77">
        <w:rPr>
          <w:sz w:val="24"/>
        </w:rPr>
        <w:t xml:space="preserve"> Státní politik</w:t>
      </w:r>
      <w:r>
        <w:rPr>
          <w:sz w:val="24"/>
        </w:rPr>
        <w:t>a</w:t>
      </w:r>
      <w:r w:rsidRPr="00C81B77">
        <w:rPr>
          <w:sz w:val="24"/>
        </w:rPr>
        <w:t xml:space="preserve"> </w:t>
      </w:r>
      <w:r>
        <w:rPr>
          <w:sz w:val="24"/>
        </w:rPr>
        <w:t xml:space="preserve">v elektronických komunikacích </w:t>
      </w:r>
      <w:r w:rsidRPr="00C81B77">
        <w:rPr>
          <w:sz w:val="24"/>
        </w:rPr>
        <w:t>Digitální Česko v. 2.0</w:t>
      </w:r>
      <w:r>
        <w:rPr>
          <w:sz w:val="24"/>
        </w:rPr>
        <w:t>,</w:t>
      </w:r>
      <w:r w:rsidRPr="00C81B77">
        <w:rPr>
          <w:sz w:val="24"/>
        </w:rPr>
        <w:t xml:space="preserve"> Cesta k</w:t>
      </w:r>
      <w:r>
        <w:rPr>
          <w:sz w:val="24"/>
        </w:rPr>
        <w:t> </w:t>
      </w:r>
      <w:r w:rsidRPr="00C81B77">
        <w:rPr>
          <w:sz w:val="24"/>
        </w:rPr>
        <w:t>digitální ekonomice</w:t>
      </w:r>
      <w:r>
        <w:rPr>
          <w:sz w:val="24"/>
        </w:rPr>
        <w:t xml:space="preserve"> byla schválena usnesením vlády ze dne 20. 3. 2013 č. 203. Zpráva o plnění všech opatření byla předložena vládě a dne </w:t>
      </w:r>
      <w:r w:rsidRPr="001052C1">
        <w:rPr>
          <w:sz w:val="24"/>
        </w:rPr>
        <w:t xml:space="preserve">21. </w:t>
      </w:r>
      <w:r>
        <w:rPr>
          <w:sz w:val="24"/>
        </w:rPr>
        <w:t>5.</w:t>
      </w:r>
      <w:r w:rsidRPr="001052C1">
        <w:rPr>
          <w:sz w:val="24"/>
        </w:rPr>
        <w:t xml:space="preserve"> 2014 </w:t>
      </w:r>
      <w:r>
        <w:rPr>
          <w:sz w:val="24"/>
        </w:rPr>
        <w:t>schválena</w:t>
      </w:r>
      <w:r w:rsidRPr="001052C1">
        <w:rPr>
          <w:sz w:val="24"/>
        </w:rPr>
        <w:t xml:space="preserve"> </w:t>
      </w:r>
      <w:r>
        <w:rPr>
          <w:sz w:val="24"/>
        </w:rPr>
        <w:t xml:space="preserve">usnesením č. 370 jako </w:t>
      </w:r>
      <w:r w:rsidRPr="008165E0">
        <w:rPr>
          <w:sz w:val="24"/>
        </w:rPr>
        <w:t>„</w:t>
      </w:r>
      <w:r w:rsidRPr="001052C1">
        <w:rPr>
          <w:sz w:val="24"/>
        </w:rPr>
        <w:t>Zpráva o plnění opatření aktualizované Státní politik</w:t>
      </w:r>
      <w:r>
        <w:rPr>
          <w:sz w:val="24"/>
        </w:rPr>
        <w:t xml:space="preserve">y v elektronických komunikacích </w:t>
      </w:r>
      <w:r w:rsidRPr="001052C1">
        <w:rPr>
          <w:sz w:val="24"/>
        </w:rPr>
        <w:t>‚Digitální Česko v. 2.0 — Cesta k digitální ekonomice‘ a o naplňování Digitální agendy pro Evropu v ČR</w:t>
      </w:r>
      <w:r w:rsidRPr="008165E0">
        <w:rPr>
          <w:sz w:val="24"/>
        </w:rPr>
        <w:t>“</w:t>
      </w:r>
      <w:r>
        <w:rPr>
          <w:sz w:val="24"/>
        </w:rPr>
        <w:t>.</w:t>
      </w:r>
    </w:p>
    <w:p w:rsidR="006E6B3F" w:rsidRDefault="006E6B3F" w:rsidP="006E6B3F">
      <w:pPr>
        <w:jc w:val="both"/>
        <w:rPr>
          <w:sz w:val="24"/>
        </w:rPr>
      </w:pPr>
    </w:p>
    <w:p w:rsidR="006E6B3F" w:rsidRDefault="006E6B3F" w:rsidP="006E6B3F">
      <w:pPr>
        <w:jc w:val="both"/>
        <w:rPr>
          <w:sz w:val="24"/>
        </w:rPr>
      </w:pPr>
      <w:r>
        <w:rPr>
          <w:sz w:val="24"/>
        </w:rPr>
        <w:t>Ad b)</w:t>
      </w:r>
    </w:p>
    <w:p w:rsidR="006E6B3F" w:rsidRDefault="006E6B3F" w:rsidP="006E6B3F">
      <w:pPr>
        <w:jc w:val="both"/>
        <w:rPr>
          <w:sz w:val="24"/>
        </w:rPr>
      </w:pPr>
      <w:r>
        <w:rPr>
          <w:sz w:val="24"/>
        </w:rPr>
        <w:t>Dne 11. 4. 2014 uveřejnil ČTÚ výzvu</w:t>
      </w:r>
      <w:r w:rsidRPr="00C81B77">
        <w:rPr>
          <w:sz w:val="24"/>
        </w:rPr>
        <w:t xml:space="preserve"> k</w:t>
      </w:r>
      <w:r>
        <w:rPr>
          <w:sz w:val="24"/>
        </w:rPr>
        <w:t> </w:t>
      </w:r>
      <w:r w:rsidRPr="00C81B77">
        <w:rPr>
          <w:sz w:val="24"/>
        </w:rPr>
        <w:t>uplatnění připomínek k</w:t>
      </w:r>
      <w:r>
        <w:rPr>
          <w:sz w:val="24"/>
        </w:rPr>
        <w:t> </w:t>
      </w:r>
      <w:r w:rsidRPr="00C81B77">
        <w:rPr>
          <w:sz w:val="24"/>
        </w:rPr>
        <w:t>výsledkům průzkumu penetrace infrastruktury pro poskytování služeb vysokorychlostního přístupu k</w:t>
      </w:r>
      <w:r>
        <w:rPr>
          <w:sz w:val="24"/>
        </w:rPr>
        <w:t> </w:t>
      </w:r>
      <w:r w:rsidRPr="00C81B77">
        <w:rPr>
          <w:sz w:val="24"/>
        </w:rPr>
        <w:t>internetu</w:t>
      </w:r>
      <w:r>
        <w:rPr>
          <w:sz w:val="24"/>
        </w:rPr>
        <w:t>. Jednalo se již o </w:t>
      </w:r>
      <w:r w:rsidRPr="00C81B77">
        <w:rPr>
          <w:sz w:val="24"/>
        </w:rPr>
        <w:t>2. kolo veřejné konzultace</w:t>
      </w:r>
      <w:r>
        <w:rPr>
          <w:sz w:val="24"/>
        </w:rPr>
        <w:t>, jehož výsledky byly zveřejněny na internetových stránkách ČTÚ dne 1. 7. 2014.</w:t>
      </w:r>
    </w:p>
    <w:p w:rsidR="006E6B3F" w:rsidRDefault="006E6B3F" w:rsidP="006E6B3F">
      <w:pPr>
        <w:jc w:val="both"/>
        <w:rPr>
          <w:sz w:val="24"/>
        </w:rPr>
      </w:pPr>
    </w:p>
    <w:p w:rsidR="0041758F" w:rsidRPr="00E41DB8" w:rsidRDefault="006E6B3F" w:rsidP="006E6B3F">
      <w:pPr>
        <w:jc w:val="both"/>
        <w:rPr>
          <w:b/>
          <w:sz w:val="24"/>
        </w:rPr>
      </w:pPr>
      <w:r w:rsidRPr="00E41DB8">
        <w:rPr>
          <w:b/>
          <w:sz w:val="24"/>
        </w:rPr>
        <w:t>Harmonogram</w:t>
      </w:r>
    </w:p>
    <w:p w:rsidR="005F7B1E" w:rsidRPr="0041758F" w:rsidRDefault="006E6B3F" w:rsidP="0041758F">
      <w:pPr>
        <w:pStyle w:val="Odstavecseseznamem"/>
        <w:numPr>
          <w:ilvl w:val="0"/>
          <w:numId w:val="58"/>
        </w:numPr>
        <w:spacing w:after="0" w:line="240" w:lineRule="auto"/>
        <w:ind w:left="425" w:hanging="425"/>
        <w:jc w:val="both"/>
        <w:rPr>
          <w:rFonts w:ascii="Times New Roman" w:hAnsi="Times New Roman"/>
          <w:sz w:val="24"/>
        </w:rPr>
      </w:pPr>
      <w:r w:rsidRPr="0041758F">
        <w:rPr>
          <w:rFonts w:ascii="Times New Roman" w:hAnsi="Times New Roman"/>
          <w:sz w:val="24"/>
        </w:rPr>
        <w:t xml:space="preserve">V listopadu 2014 </w:t>
      </w:r>
      <w:r w:rsidR="007F3553" w:rsidRPr="0041758F">
        <w:rPr>
          <w:rFonts w:ascii="Times New Roman" w:hAnsi="Times New Roman"/>
          <w:sz w:val="24"/>
        </w:rPr>
        <w:t>byla dokončena</w:t>
      </w:r>
      <w:r w:rsidRPr="0041758F">
        <w:rPr>
          <w:rFonts w:ascii="Times New Roman" w:hAnsi="Times New Roman"/>
          <w:sz w:val="24"/>
        </w:rPr>
        <w:t xml:space="preserve"> ucelen</w:t>
      </w:r>
      <w:r w:rsidR="007F3553" w:rsidRPr="0041758F">
        <w:rPr>
          <w:rFonts w:ascii="Times New Roman" w:hAnsi="Times New Roman"/>
          <w:sz w:val="24"/>
        </w:rPr>
        <w:t>á</w:t>
      </w:r>
      <w:r w:rsidRPr="0041758F">
        <w:rPr>
          <w:rFonts w:ascii="Times New Roman" w:hAnsi="Times New Roman"/>
          <w:sz w:val="24"/>
        </w:rPr>
        <w:t xml:space="preserve"> pracovní verze Národního plánu rozvoje sítí nové generace</w:t>
      </w:r>
      <w:r w:rsidR="007F3553" w:rsidRPr="0041758F">
        <w:rPr>
          <w:rFonts w:ascii="Times New Roman" w:hAnsi="Times New Roman"/>
          <w:sz w:val="24"/>
        </w:rPr>
        <w:t xml:space="preserve"> a v</w:t>
      </w:r>
      <w:r w:rsidR="005F7B1E" w:rsidRPr="0041758F">
        <w:rPr>
          <w:rFonts w:ascii="Times New Roman" w:hAnsi="Times New Roman"/>
          <w:sz w:val="24"/>
        </w:rPr>
        <w:t xml:space="preserve"> období prosinec 2014 – leden 2015 proběhla </w:t>
      </w:r>
      <w:r w:rsidR="007F3553" w:rsidRPr="0041758F">
        <w:rPr>
          <w:rFonts w:ascii="Times New Roman" w:hAnsi="Times New Roman"/>
          <w:sz w:val="24"/>
        </w:rPr>
        <w:t xml:space="preserve">k této verzi </w:t>
      </w:r>
      <w:r w:rsidR="005F7B1E" w:rsidRPr="0041758F">
        <w:rPr>
          <w:rFonts w:ascii="Times New Roman" w:hAnsi="Times New Roman"/>
          <w:sz w:val="24"/>
        </w:rPr>
        <w:t>veřejná konzultace</w:t>
      </w:r>
      <w:r w:rsidR="007F3553" w:rsidRPr="0041758F">
        <w:rPr>
          <w:rFonts w:ascii="Times New Roman" w:hAnsi="Times New Roman"/>
          <w:sz w:val="24"/>
        </w:rPr>
        <w:t>. D</w:t>
      </w:r>
      <w:r w:rsidR="005F7B1E" w:rsidRPr="0041758F">
        <w:rPr>
          <w:rFonts w:ascii="Times New Roman" w:hAnsi="Times New Roman"/>
          <w:sz w:val="24"/>
        </w:rPr>
        <w:t>okument byl rovněž neformálně zaslán Evropské komisi.</w:t>
      </w:r>
    </w:p>
    <w:p w:rsidR="0041758F" w:rsidRPr="0041758F" w:rsidRDefault="006E6B3F" w:rsidP="0041758F">
      <w:pPr>
        <w:pStyle w:val="Odstavecseseznamem"/>
        <w:numPr>
          <w:ilvl w:val="0"/>
          <w:numId w:val="58"/>
        </w:numPr>
        <w:spacing w:after="0" w:line="240" w:lineRule="auto"/>
        <w:ind w:left="425" w:hanging="425"/>
        <w:jc w:val="both"/>
        <w:rPr>
          <w:rFonts w:ascii="Times New Roman" w:hAnsi="Times New Roman"/>
          <w:sz w:val="24"/>
        </w:rPr>
      </w:pPr>
      <w:r w:rsidRPr="0041758F">
        <w:rPr>
          <w:rFonts w:ascii="Times New Roman" w:hAnsi="Times New Roman"/>
          <w:sz w:val="24"/>
        </w:rPr>
        <w:t xml:space="preserve">V únoru 2015 </w:t>
      </w:r>
      <w:r w:rsidR="00A0238E" w:rsidRPr="0041758F">
        <w:rPr>
          <w:rFonts w:ascii="Times New Roman" w:hAnsi="Times New Roman"/>
          <w:sz w:val="24"/>
        </w:rPr>
        <w:t xml:space="preserve">proběhlo </w:t>
      </w:r>
      <w:r w:rsidRPr="0041758F">
        <w:rPr>
          <w:rFonts w:ascii="Times New Roman" w:hAnsi="Times New Roman"/>
          <w:sz w:val="24"/>
        </w:rPr>
        <w:t>vyhodnocení veřejné konzultace</w:t>
      </w:r>
      <w:r w:rsidR="00A0238E" w:rsidRPr="0041758F">
        <w:rPr>
          <w:rFonts w:ascii="Times New Roman" w:hAnsi="Times New Roman"/>
          <w:sz w:val="24"/>
        </w:rPr>
        <w:t>.</w:t>
      </w:r>
      <w:r w:rsidRPr="0041758F">
        <w:rPr>
          <w:rFonts w:ascii="Times New Roman" w:hAnsi="Times New Roman"/>
          <w:sz w:val="24"/>
        </w:rPr>
        <w:t xml:space="preserve"> </w:t>
      </w:r>
      <w:r w:rsidR="00A0238E" w:rsidRPr="0041758F">
        <w:rPr>
          <w:rFonts w:ascii="Times New Roman" w:hAnsi="Times New Roman"/>
          <w:sz w:val="24"/>
        </w:rPr>
        <w:t xml:space="preserve">Připravuje se </w:t>
      </w:r>
      <w:r w:rsidR="005F7B1E" w:rsidRPr="0041758F">
        <w:rPr>
          <w:rFonts w:ascii="Times New Roman" w:hAnsi="Times New Roman"/>
          <w:sz w:val="24"/>
        </w:rPr>
        <w:t xml:space="preserve">finální verze a </w:t>
      </w:r>
      <w:r w:rsidR="00A0238E" w:rsidRPr="0041758F">
        <w:rPr>
          <w:rFonts w:ascii="Times New Roman" w:hAnsi="Times New Roman"/>
          <w:sz w:val="24"/>
        </w:rPr>
        <w:t xml:space="preserve">dokument bude následně </w:t>
      </w:r>
      <w:r w:rsidR="005F7B1E" w:rsidRPr="0041758F">
        <w:rPr>
          <w:rFonts w:ascii="Times New Roman" w:hAnsi="Times New Roman"/>
          <w:sz w:val="24"/>
        </w:rPr>
        <w:t>předložen do meziresortního připomínkového řízení.</w:t>
      </w:r>
    </w:p>
    <w:p w:rsidR="006E6B3F" w:rsidRPr="0041758F" w:rsidRDefault="006E6B3F" w:rsidP="0041758F">
      <w:pPr>
        <w:ind w:left="425" w:hanging="425"/>
        <w:jc w:val="both"/>
        <w:rPr>
          <w:sz w:val="24"/>
        </w:rPr>
      </w:pPr>
      <w:r w:rsidRPr="0041758F">
        <w:rPr>
          <w:sz w:val="24"/>
        </w:rPr>
        <w:t xml:space="preserve">c) </w:t>
      </w:r>
      <w:r w:rsidR="0041758F">
        <w:rPr>
          <w:sz w:val="24"/>
        </w:rPr>
        <w:t xml:space="preserve">   </w:t>
      </w:r>
      <w:r w:rsidRPr="0041758F">
        <w:rPr>
          <w:sz w:val="24"/>
        </w:rPr>
        <w:t>V </w:t>
      </w:r>
      <w:r w:rsidR="005F7B1E" w:rsidRPr="0041758F">
        <w:rPr>
          <w:sz w:val="24"/>
        </w:rPr>
        <w:t xml:space="preserve">červnu </w:t>
      </w:r>
      <w:r w:rsidRPr="0041758F">
        <w:rPr>
          <w:sz w:val="24"/>
        </w:rPr>
        <w:t xml:space="preserve">2015 </w:t>
      </w:r>
      <w:r w:rsidR="005F7B1E" w:rsidRPr="0041758F">
        <w:rPr>
          <w:sz w:val="24"/>
        </w:rPr>
        <w:t xml:space="preserve">bude </w:t>
      </w:r>
      <w:r w:rsidRPr="0041758F">
        <w:rPr>
          <w:sz w:val="24"/>
        </w:rPr>
        <w:t xml:space="preserve">Národní plán rozvoje sítí nové generace </w:t>
      </w:r>
      <w:r w:rsidR="005F7B1E" w:rsidRPr="0041758F">
        <w:rPr>
          <w:sz w:val="24"/>
        </w:rPr>
        <w:t>předložen vládě</w:t>
      </w:r>
      <w:r w:rsidRPr="0041758F">
        <w:rPr>
          <w:sz w:val="24"/>
        </w:rPr>
        <w:t>.</w:t>
      </w:r>
    </w:p>
    <w:p w:rsidR="006E6B3F" w:rsidRDefault="006E6B3F" w:rsidP="006E6B3F">
      <w:pPr>
        <w:jc w:val="both"/>
        <w:rPr>
          <w:sz w:val="24"/>
        </w:rPr>
      </w:pPr>
    </w:p>
    <w:p w:rsidR="006E6B3F" w:rsidRPr="00F3546E" w:rsidRDefault="006E6B3F" w:rsidP="006E6B3F">
      <w:pPr>
        <w:jc w:val="both"/>
        <w:rPr>
          <w:b/>
          <w:sz w:val="24"/>
        </w:rPr>
      </w:pPr>
      <w:r w:rsidRPr="00F3546E">
        <w:rPr>
          <w:b/>
          <w:sz w:val="24"/>
        </w:rPr>
        <w:t>Závěr</w:t>
      </w:r>
    </w:p>
    <w:p w:rsidR="006E6B3F" w:rsidRDefault="006E6B3F" w:rsidP="006E6B3F">
      <w:pPr>
        <w:jc w:val="both"/>
        <w:rPr>
          <w:sz w:val="24"/>
        </w:rPr>
      </w:pPr>
      <w:r w:rsidRPr="00F3546E">
        <w:rPr>
          <w:sz w:val="24"/>
        </w:rPr>
        <w:t>Národní plán rozvoje sítí nové generace</w:t>
      </w:r>
      <w:r>
        <w:rPr>
          <w:sz w:val="24"/>
        </w:rPr>
        <w:t xml:space="preserve"> bude zohledňovat v nevyšší možné míře kritéria předběžné podmínky 2.2 a další aspekty podle </w:t>
      </w:r>
      <w:proofErr w:type="spellStart"/>
      <w:r w:rsidRPr="001F67D4">
        <w:rPr>
          <w:sz w:val="24"/>
        </w:rPr>
        <w:t>Guidance</w:t>
      </w:r>
      <w:proofErr w:type="spellEnd"/>
      <w:r w:rsidRPr="001F67D4">
        <w:rPr>
          <w:sz w:val="24"/>
        </w:rPr>
        <w:t xml:space="preserve"> on Ex ante </w:t>
      </w:r>
      <w:proofErr w:type="spellStart"/>
      <w:r w:rsidRPr="001F67D4">
        <w:rPr>
          <w:sz w:val="24"/>
        </w:rPr>
        <w:t>Conditionalities</w:t>
      </w:r>
      <w:proofErr w:type="spellEnd"/>
      <w:r>
        <w:rPr>
          <w:sz w:val="24"/>
        </w:rPr>
        <w:t>.</w:t>
      </w:r>
    </w:p>
    <w:p w:rsidR="006E6B3F" w:rsidRDefault="006E6B3F" w:rsidP="006E6B3F">
      <w:pPr>
        <w:jc w:val="both"/>
        <w:rPr>
          <w:sz w:val="24"/>
        </w:rPr>
      </w:pPr>
    </w:p>
    <w:p w:rsidR="006E6B3F" w:rsidRDefault="006E6B3F" w:rsidP="006E6B3F">
      <w:pPr>
        <w:jc w:val="both"/>
        <w:rPr>
          <w:sz w:val="24"/>
        </w:rPr>
        <w:sectPr w:rsidR="006E6B3F" w:rsidSect="006E6B3F">
          <w:pgSz w:w="11906" w:h="16838"/>
          <w:pgMar w:top="1418" w:right="1418" w:bottom="1418" w:left="1418" w:header="709" w:footer="709" w:gutter="0"/>
          <w:cols w:space="708"/>
          <w:docGrid w:linePitch="299"/>
        </w:sectPr>
      </w:pPr>
      <w:r>
        <w:rPr>
          <w:sz w:val="24"/>
        </w:rPr>
        <w:t xml:space="preserve">Ministerstvo průmyslu a obchodu, </w:t>
      </w:r>
      <w:r w:rsidR="00A0238E">
        <w:rPr>
          <w:sz w:val="24"/>
        </w:rPr>
        <w:t>3.</w:t>
      </w:r>
      <w:r w:rsidR="0041758F">
        <w:rPr>
          <w:sz w:val="24"/>
        </w:rPr>
        <w:t xml:space="preserve"> </w:t>
      </w:r>
      <w:r w:rsidR="00A0238E">
        <w:rPr>
          <w:sz w:val="24"/>
        </w:rPr>
        <w:t>4.</w:t>
      </w:r>
      <w:r w:rsidR="0041758F">
        <w:rPr>
          <w:sz w:val="24"/>
        </w:rPr>
        <w:t xml:space="preserve"> </w:t>
      </w:r>
      <w:r w:rsidR="00A0238E">
        <w:rPr>
          <w:sz w:val="24"/>
        </w:rPr>
        <w:t>2015</w:t>
      </w:r>
    </w:p>
    <w:p w:rsidR="006E6B3F" w:rsidRDefault="006E6B3F" w:rsidP="006E6B3F">
      <w:pPr>
        <w:pStyle w:val="Standardntext"/>
      </w:pPr>
    </w:p>
    <w:p w:rsidR="006E6B3F" w:rsidRPr="00E44916" w:rsidRDefault="006E6B3F" w:rsidP="0096423D">
      <w:pPr>
        <w:pStyle w:val="Standardntext"/>
        <w:numPr>
          <w:ilvl w:val="0"/>
          <w:numId w:val="22"/>
        </w:numPr>
        <w:jc w:val="center"/>
        <w:rPr>
          <w:b/>
        </w:rPr>
      </w:pPr>
      <w:r w:rsidRPr="00E44916">
        <w:rPr>
          <w:b/>
        </w:rPr>
        <w:t>Akční plán pro tematické předběžné podmínky 3.1 a 8.2</w:t>
      </w:r>
    </w:p>
    <w:p w:rsidR="006E6B3F" w:rsidRDefault="006E6B3F" w:rsidP="006E6B3F">
      <w:pPr>
        <w:pStyle w:val="Standardntext"/>
        <w:ind w:left="720"/>
      </w:pPr>
    </w:p>
    <w:p w:rsidR="00E44916" w:rsidRDefault="00E44916" w:rsidP="00E44916">
      <w:pPr>
        <w:jc w:val="both"/>
        <w:rPr>
          <w:b/>
          <w:sz w:val="24"/>
        </w:rPr>
      </w:pPr>
      <w:r>
        <w:rPr>
          <w:b/>
          <w:sz w:val="24"/>
        </w:rPr>
        <w:t>D</w:t>
      </w:r>
      <w:r w:rsidRPr="00461D10">
        <w:rPr>
          <w:b/>
          <w:sz w:val="24"/>
        </w:rPr>
        <w:t xml:space="preserve">ůvod přípravy </w:t>
      </w:r>
    </w:p>
    <w:p w:rsidR="00E44916" w:rsidRPr="00461D10" w:rsidRDefault="00E44916" w:rsidP="00E44916">
      <w:pPr>
        <w:jc w:val="both"/>
        <w:rPr>
          <w:b/>
          <w:sz w:val="24"/>
        </w:rPr>
      </w:pPr>
    </w:p>
    <w:p w:rsidR="00E44916" w:rsidRPr="0058383E" w:rsidRDefault="00E44916" w:rsidP="00E44916">
      <w:pPr>
        <w:jc w:val="both"/>
        <w:rPr>
          <w:sz w:val="24"/>
        </w:rPr>
      </w:pPr>
      <w:r w:rsidRPr="0058383E">
        <w:rPr>
          <w:sz w:val="24"/>
        </w:rPr>
        <w:t>NAŘÍZENÍ EVROPSKÉHO PARLAMENTU A RADY (EU) č. 1303/2013, o společných ustanoveních o Evropském fondu pro regionální rozvoj, Evropském sociálním fondu, Fondu soudržnosti, Evropském zemědělském fondu pro rozvoj</w:t>
      </w:r>
      <w:r>
        <w:rPr>
          <w:sz w:val="24"/>
        </w:rPr>
        <w:t xml:space="preserve"> venkova a Evropském námořním a </w:t>
      </w:r>
      <w:r w:rsidRPr="0058383E">
        <w:rPr>
          <w:sz w:val="24"/>
        </w:rPr>
        <w:t>rybářském fondu, o obecných ustanoveních o Evropském fondu pro regionální rozvoj, Evropském sociálním fondu, Fondu soudržnosti a Evropsk</w:t>
      </w:r>
      <w:r>
        <w:rPr>
          <w:sz w:val="24"/>
        </w:rPr>
        <w:t>ém námořním a rybářském fondu a </w:t>
      </w:r>
      <w:r w:rsidRPr="0058383E">
        <w:rPr>
          <w:sz w:val="24"/>
        </w:rPr>
        <w:t>o zrušení nařízení Rady (ES) č. 1083/2006, kromě jiného definuje i tzv. předběžné podmínky, které jsou členské státy povinny splnit. V opačném případě by mohlo dojít k nezapočetí čerpání z Evropských strukturálních a investičních fondů (dále jen „fondy ESI“) nebo k pozastavení průběžných plateb dotčených částí programů ze strany Evropské komise.</w:t>
      </w:r>
    </w:p>
    <w:p w:rsidR="00E44916" w:rsidRPr="0058383E" w:rsidRDefault="00E44916" w:rsidP="00E44916">
      <w:pPr>
        <w:jc w:val="both"/>
        <w:rPr>
          <w:rFonts w:ascii="EUAlbertina" w:hAnsi="EUAlbertina" w:cs="EUAlbertina"/>
          <w:color w:val="000000"/>
          <w:sz w:val="24"/>
        </w:rPr>
      </w:pPr>
      <w:r w:rsidRPr="0058383E">
        <w:rPr>
          <w:sz w:val="24"/>
        </w:rPr>
        <w:t xml:space="preserve">Ministerstvo spravedlnosti je gestorem předběžné podmínky 3.1 a 8.2, které jsou stanoveny v Příloze XI k výše uvedenému nařízení. Předběžné podmínky zní následovně: </w:t>
      </w:r>
    </w:p>
    <w:p w:rsidR="00E44916" w:rsidRPr="0058383E" w:rsidRDefault="00E44916" w:rsidP="00E44916">
      <w:pPr>
        <w:jc w:val="both"/>
        <w:rPr>
          <w:sz w:val="24"/>
        </w:rPr>
      </w:pPr>
      <w:r w:rsidRPr="0058383E">
        <w:rPr>
          <w:sz w:val="24"/>
        </w:rPr>
        <w:t>3.1: Byla provedena zvláštní opatření, o něž se opírá podpora podnikání, zohledňující „</w:t>
      </w:r>
      <w:proofErr w:type="spellStart"/>
      <w:r w:rsidRPr="0058383E">
        <w:rPr>
          <w:sz w:val="24"/>
        </w:rPr>
        <w:t>Small</w:t>
      </w:r>
      <w:proofErr w:type="spellEnd"/>
      <w:r w:rsidRPr="0058383E">
        <w:rPr>
          <w:sz w:val="24"/>
        </w:rPr>
        <w:t xml:space="preserve"> Business </w:t>
      </w:r>
      <w:proofErr w:type="spellStart"/>
      <w:r w:rsidRPr="0058383E">
        <w:rPr>
          <w:sz w:val="24"/>
        </w:rPr>
        <w:t>Act</w:t>
      </w:r>
      <w:proofErr w:type="spellEnd"/>
      <w:r w:rsidRPr="0058383E">
        <w:rPr>
          <w:sz w:val="24"/>
        </w:rPr>
        <w:t>“ (SBA).</w:t>
      </w:r>
    </w:p>
    <w:p w:rsidR="00E44916" w:rsidRPr="0058383E" w:rsidRDefault="00E44916" w:rsidP="00E44916">
      <w:pPr>
        <w:jc w:val="both"/>
        <w:rPr>
          <w:sz w:val="24"/>
        </w:rPr>
      </w:pPr>
      <w:r w:rsidRPr="0058383E">
        <w:rPr>
          <w:sz w:val="24"/>
        </w:rPr>
        <w:t xml:space="preserve">8.2: Samostatná výdělečná činnost, podnikání a zakládání firem: existence strategického rámce politiky podpory začínajících podniků přispívající k začlenění. </w:t>
      </w:r>
    </w:p>
    <w:p w:rsidR="00E44916" w:rsidRPr="00DA5379" w:rsidRDefault="00E44916" w:rsidP="00E44916">
      <w:pPr>
        <w:pStyle w:val="CM1"/>
        <w:spacing w:before="200" w:after="200"/>
        <w:jc w:val="both"/>
        <w:rPr>
          <w:rFonts w:ascii="Times New Roman" w:hAnsi="Times New Roman"/>
          <w:szCs w:val="22"/>
        </w:rPr>
      </w:pPr>
      <w:r w:rsidRPr="00EE628C">
        <w:rPr>
          <w:rFonts w:ascii="Times New Roman" w:hAnsi="Times New Roman"/>
          <w:szCs w:val="22"/>
        </w:rPr>
        <w:t xml:space="preserve">U obou těchto předběžných podmínek jsou pro Ministerstvo spravedlnosti relevantní kritéria </w:t>
      </w:r>
      <w:r>
        <w:rPr>
          <w:rFonts w:ascii="Times New Roman" w:hAnsi="Times New Roman"/>
          <w:szCs w:val="22"/>
        </w:rPr>
        <w:t>s</w:t>
      </w:r>
      <w:r w:rsidRPr="00EE628C">
        <w:rPr>
          <w:rFonts w:ascii="Times New Roman" w:hAnsi="Times New Roman"/>
          <w:szCs w:val="22"/>
        </w:rPr>
        <w:t xml:space="preserve">plnění, která </w:t>
      </w:r>
      <w:r>
        <w:rPr>
          <w:rFonts w:ascii="Times New Roman" w:hAnsi="Times New Roman"/>
          <w:szCs w:val="22"/>
        </w:rPr>
        <w:t>shodně požadují zavést „</w:t>
      </w:r>
      <w:r w:rsidRPr="002F1799">
        <w:rPr>
          <w:rFonts w:ascii="Times New Roman" w:hAnsi="Times New Roman"/>
          <w:i/>
          <w:szCs w:val="22"/>
        </w:rPr>
        <w:t>opatření s cílem zkrátit dobu potřebnou k založení firmy a snížit příslušné náklady, která zohledňují cíle SBA“.</w:t>
      </w:r>
      <w:r>
        <w:rPr>
          <w:rFonts w:ascii="Times New Roman" w:hAnsi="Times New Roman"/>
          <w:szCs w:val="22"/>
        </w:rPr>
        <w:t xml:space="preserve"> Cíle definované ve SBA požadují zkrátit dobu potřebnou k založení firmy na 3 dny a snížit nutné náklady na založení podniku na částku 100 EUR.</w:t>
      </w:r>
    </w:p>
    <w:p w:rsidR="00E44916" w:rsidRDefault="00E44916" w:rsidP="00E44916">
      <w:pPr>
        <w:jc w:val="both"/>
        <w:rPr>
          <w:sz w:val="24"/>
        </w:rPr>
      </w:pPr>
      <w:r w:rsidRPr="00EE628C">
        <w:rPr>
          <w:sz w:val="24"/>
        </w:rPr>
        <w:t>Co se týká části podmínky o 3 denní lhůtě</w:t>
      </w:r>
      <w:r>
        <w:rPr>
          <w:sz w:val="24"/>
        </w:rPr>
        <w:t>,</w:t>
      </w:r>
      <w:r w:rsidRPr="00EE628C">
        <w:rPr>
          <w:sz w:val="24"/>
        </w:rPr>
        <w:t xml:space="preserve"> zákon č. 304/2013 Sb., o veřejných rejstřících právnických a fyzických osob, který vstoupil v účinnost 1. ledna 2014, ukládá rejstříkovým soudům povinnost provést zápis do obchodního rejstříku ve standardních případech do 5 dní od podání návrhu. Pokud rejstříkový soud do této doby zápis neprovede, považuje se zápis za provedený dnem následujícím po uplynutí této lhůty (fikce zápisu). Zákon dále umožňuje, aby právnické osoby zapisoval do veřejného rejstříku notář, pokud je podkladem pro zápis do veřejného rejstříku notářs</w:t>
      </w:r>
      <w:r>
        <w:rPr>
          <w:sz w:val="24"/>
        </w:rPr>
        <w:t>ký zápis (§ 108 a násl. zákona)</w:t>
      </w:r>
      <w:r w:rsidRPr="00EE628C">
        <w:rPr>
          <w:sz w:val="24"/>
        </w:rPr>
        <w:t xml:space="preserve"> Takto lze nejen měnit údaje v příslušném veřejném rejstříku, ale rovněž provést </w:t>
      </w:r>
      <w:proofErr w:type="spellStart"/>
      <w:r w:rsidRPr="00EE628C">
        <w:rPr>
          <w:sz w:val="24"/>
        </w:rPr>
        <w:t>prvozápis</w:t>
      </w:r>
      <w:proofErr w:type="spellEnd"/>
      <w:r w:rsidRPr="00EE628C">
        <w:rPr>
          <w:sz w:val="24"/>
        </w:rPr>
        <w:t xml:space="preserve"> společnosti. Pokud bude mít notář k dispozici veškeré podklady pro zápis do obchodního rejstříku, bude schopen zápis provést bě</w:t>
      </w:r>
      <w:r>
        <w:rPr>
          <w:sz w:val="24"/>
        </w:rPr>
        <w:t>hem jediného dne, resp. ihned.</w:t>
      </w:r>
    </w:p>
    <w:p w:rsidR="00E44916" w:rsidRDefault="00E44916" w:rsidP="00E44916">
      <w:pPr>
        <w:jc w:val="both"/>
        <w:rPr>
          <w:sz w:val="24"/>
        </w:rPr>
      </w:pPr>
      <w:r>
        <w:rPr>
          <w:sz w:val="24"/>
        </w:rPr>
        <w:t>K uvedené problematice ohledně lhůty pro provedení zápisu je třeba uvést následující. V červenci 2014 byl vládě Ministerstvem spravedlnosti předložen návrh zákona, kterým se mění některé zákony v souvislosti s účinností rekodifikace soukromého práva. Tento návrh tak reagoval na poznatky z praxe. Jedním z důvodů předložení návrhu zákona byla rovněž nedostatečná úprava možnosti notářů provádět tzv. přímé zápisy. Uvedeným návrhem by měly být odstraněny všechny legislativní potíže. V době předložení tohoto Akčního plánu, tj. </w:t>
      </w:r>
      <w:r w:rsidR="0028592D">
        <w:rPr>
          <w:sz w:val="24"/>
        </w:rPr>
        <w:t>únor 2015</w:t>
      </w:r>
      <w:r>
        <w:rPr>
          <w:sz w:val="24"/>
        </w:rPr>
        <w:t>, byl výše uvedený návrh zákona v 1. čtení v </w:t>
      </w:r>
      <w:r w:rsidR="0028592D">
        <w:rPr>
          <w:sz w:val="24"/>
        </w:rPr>
        <w:t>Senátu</w:t>
      </w:r>
      <w:r>
        <w:rPr>
          <w:sz w:val="24"/>
        </w:rPr>
        <w:t xml:space="preserve"> ČR.</w:t>
      </w:r>
    </w:p>
    <w:p w:rsidR="00E44916" w:rsidRPr="008F5121" w:rsidRDefault="00E44916" w:rsidP="00E44916">
      <w:pPr>
        <w:jc w:val="both"/>
        <w:rPr>
          <w:sz w:val="24"/>
        </w:rPr>
      </w:pPr>
      <w:r w:rsidRPr="008F5121">
        <w:rPr>
          <w:sz w:val="24"/>
        </w:rPr>
        <w:t xml:space="preserve">Co se týče vyřešení problémů, které se vyskytly v rámci technických systémů umožňujících notářům provádět tzv. přímé zápisy do veřejných rejstříků, lze </w:t>
      </w:r>
      <w:r>
        <w:rPr>
          <w:sz w:val="24"/>
        </w:rPr>
        <w:t>uvést, že technický systém tzv. </w:t>
      </w:r>
      <w:r w:rsidRPr="008F5121">
        <w:rPr>
          <w:sz w:val="24"/>
        </w:rPr>
        <w:t xml:space="preserve">přímých zápisů </w:t>
      </w:r>
      <w:r>
        <w:rPr>
          <w:sz w:val="24"/>
        </w:rPr>
        <w:t>je v současné době dopracováván</w:t>
      </w:r>
      <w:r w:rsidRPr="008F5121">
        <w:rPr>
          <w:sz w:val="24"/>
        </w:rPr>
        <w:t xml:space="preserve"> tak, </w:t>
      </w:r>
      <w:r>
        <w:rPr>
          <w:sz w:val="24"/>
        </w:rPr>
        <w:t>aby</w:t>
      </w:r>
      <w:r w:rsidRPr="008F5121">
        <w:rPr>
          <w:sz w:val="24"/>
        </w:rPr>
        <w:t xml:space="preserve"> definitivní řešení by</w:t>
      </w:r>
      <w:r>
        <w:rPr>
          <w:sz w:val="24"/>
        </w:rPr>
        <w:t xml:space="preserve">lo </w:t>
      </w:r>
      <w:r w:rsidRPr="008F5121">
        <w:rPr>
          <w:sz w:val="24"/>
        </w:rPr>
        <w:t>připraveno nejpozději k účinnosti zákona za předpokladu, že bude zákon přijat v navrhovaném znění.</w:t>
      </w:r>
    </w:p>
    <w:p w:rsidR="00E44916" w:rsidRDefault="00E44916" w:rsidP="00E44916">
      <w:pPr>
        <w:jc w:val="both"/>
        <w:rPr>
          <w:sz w:val="24"/>
        </w:rPr>
      </w:pPr>
      <w:r w:rsidRPr="0058383E">
        <w:rPr>
          <w:sz w:val="24"/>
        </w:rPr>
        <w:lastRenderedPageBreak/>
        <w:t xml:space="preserve">Tento </w:t>
      </w:r>
      <w:r>
        <w:rPr>
          <w:sz w:val="24"/>
        </w:rPr>
        <w:t>akční plán</w:t>
      </w:r>
      <w:r w:rsidRPr="0058383E">
        <w:rPr>
          <w:sz w:val="24"/>
        </w:rPr>
        <w:t xml:space="preserve"> se tak </w:t>
      </w:r>
      <w:r>
        <w:rPr>
          <w:sz w:val="24"/>
        </w:rPr>
        <w:t xml:space="preserve">dále </w:t>
      </w:r>
      <w:r w:rsidRPr="0058383E">
        <w:rPr>
          <w:sz w:val="24"/>
        </w:rPr>
        <w:t>zabývá pouze druhou částí uv</w:t>
      </w:r>
      <w:r>
        <w:rPr>
          <w:sz w:val="24"/>
        </w:rPr>
        <w:t>edených předběžných podmínek, a </w:t>
      </w:r>
      <w:r w:rsidRPr="0058383E">
        <w:rPr>
          <w:sz w:val="24"/>
        </w:rPr>
        <w:t>to je snížení nákladů nutných k založení podniku na částku 100 EUR. Tato částka vyplývá právě z</w:t>
      </w:r>
      <w:r>
        <w:rPr>
          <w:sz w:val="24"/>
        </w:rPr>
        <w:t>e</w:t>
      </w:r>
      <w:r w:rsidRPr="0058383E">
        <w:rPr>
          <w:sz w:val="24"/>
        </w:rPr>
        <w:t> </w:t>
      </w:r>
      <w:proofErr w:type="spellStart"/>
      <w:r w:rsidRPr="0058383E">
        <w:rPr>
          <w:sz w:val="24"/>
        </w:rPr>
        <w:t>Small</w:t>
      </w:r>
      <w:proofErr w:type="spellEnd"/>
      <w:r w:rsidRPr="0058383E">
        <w:rPr>
          <w:sz w:val="24"/>
        </w:rPr>
        <w:t xml:space="preserve"> Business </w:t>
      </w:r>
      <w:proofErr w:type="spellStart"/>
      <w:r w:rsidRPr="0058383E">
        <w:rPr>
          <w:sz w:val="24"/>
        </w:rPr>
        <w:t>Act</w:t>
      </w:r>
      <w:proofErr w:type="spellEnd"/>
      <w:r w:rsidRPr="0058383E">
        <w:rPr>
          <w:sz w:val="24"/>
        </w:rPr>
        <w:t>. Cílem této předběžné podmínky tak je podporovat podnikaní. Z odpovědí Evropské komise vyplývá, že tato předběžná podmínka se netýká všech sp</w:t>
      </w:r>
      <w:r>
        <w:rPr>
          <w:sz w:val="24"/>
        </w:rPr>
        <w:t>olečností, ale pouze společnosti</w:t>
      </w:r>
      <w:r w:rsidRPr="0058383E">
        <w:rPr>
          <w:sz w:val="24"/>
        </w:rPr>
        <w:t xml:space="preserve"> s ručením omezeným. Česká republika by tak ve výsledku měla umožnit rychlé a levné založení společnosti s ručením omezeným, přičemž Evropská kom</w:t>
      </w:r>
      <w:r>
        <w:rPr>
          <w:sz w:val="24"/>
        </w:rPr>
        <w:t>ise nestanovila žádná další doplňující kritéria.</w:t>
      </w:r>
    </w:p>
    <w:p w:rsidR="00E44916" w:rsidRDefault="00E44916" w:rsidP="00E44916">
      <w:pPr>
        <w:jc w:val="both"/>
        <w:rPr>
          <w:sz w:val="24"/>
        </w:rPr>
      </w:pPr>
      <w:r>
        <w:rPr>
          <w:sz w:val="24"/>
        </w:rPr>
        <w:t>Z komunikace s Evropskou komisí dále vyplynulo, že mezi „náklady nutné na založení podniku“ je v kontextu výše uvedeného zahrnut soudní poplatek za zápis společnosti a dále odměna notáře za sepsání notářského zápisu, když zakladatelské právní jednání společnosti s ručením omezeným musí mít formu veřejné listiny. Základní kapitál není mezi tyto náklady počítán.</w:t>
      </w:r>
    </w:p>
    <w:p w:rsidR="00E44916" w:rsidRDefault="00E44916" w:rsidP="00E44916">
      <w:pPr>
        <w:jc w:val="both"/>
        <w:rPr>
          <w:sz w:val="24"/>
        </w:rPr>
      </w:pPr>
      <w:r>
        <w:rPr>
          <w:sz w:val="24"/>
        </w:rPr>
        <w:t>Dle čl. 19 odst. 2 výše uvedeného nařízení musí být předběžné podmínky splněny nejpozději do 31. prosince 2016.</w:t>
      </w:r>
    </w:p>
    <w:p w:rsidR="00E44916" w:rsidRDefault="00E44916" w:rsidP="00E44916">
      <w:pPr>
        <w:jc w:val="both"/>
        <w:rPr>
          <w:b/>
          <w:sz w:val="24"/>
        </w:rPr>
      </w:pPr>
    </w:p>
    <w:p w:rsidR="00E44916" w:rsidRDefault="00E44916" w:rsidP="00E44916">
      <w:pPr>
        <w:jc w:val="both"/>
        <w:rPr>
          <w:b/>
          <w:sz w:val="24"/>
        </w:rPr>
      </w:pPr>
      <w:r w:rsidRPr="00DA0040">
        <w:rPr>
          <w:b/>
          <w:sz w:val="24"/>
        </w:rPr>
        <w:t>Současný stav</w:t>
      </w:r>
    </w:p>
    <w:p w:rsidR="00E44916" w:rsidRPr="00DA0040" w:rsidRDefault="00E44916" w:rsidP="00E44916">
      <w:pPr>
        <w:jc w:val="both"/>
        <w:rPr>
          <w:b/>
          <w:sz w:val="24"/>
        </w:rPr>
      </w:pPr>
    </w:p>
    <w:p w:rsidR="00E44916" w:rsidRDefault="00E44916" w:rsidP="00E44916">
      <w:pPr>
        <w:jc w:val="both"/>
        <w:rPr>
          <w:sz w:val="24"/>
        </w:rPr>
      </w:pPr>
      <w:r w:rsidRPr="00EE628C">
        <w:rPr>
          <w:sz w:val="24"/>
        </w:rPr>
        <w:t xml:space="preserve">Minimální náklady na založení společnosti s ručením omezeným, která je v současnosti nejběžnější formou obchodní </w:t>
      </w:r>
      <w:r>
        <w:rPr>
          <w:sz w:val="24"/>
        </w:rPr>
        <w:t>společnosti v České republice, jsou tvořeny následujícími dílčími náklady</w:t>
      </w:r>
      <w:r w:rsidRPr="00EE628C">
        <w:rPr>
          <w:sz w:val="24"/>
        </w:rPr>
        <w:t>: o</w:t>
      </w:r>
      <w:r>
        <w:rPr>
          <w:sz w:val="24"/>
        </w:rPr>
        <w:t>dměna notáře ve výši nejméně 4 0</w:t>
      </w:r>
      <w:r w:rsidRPr="00EE628C">
        <w:rPr>
          <w:sz w:val="24"/>
        </w:rPr>
        <w:t xml:space="preserve">00 Kč (bez DPH) za sepsání zakladatelské listiny či smlouvy; správní poplatek 1 000 Kč za ohlášení živnosti (živnostenské oprávnění není nezbytné pro veškerou podnikatelskou činnost) a soudní poplatek 6 000 Kč za </w:t>
      </w:r>
      <w:proofErr w:type="spellStart"/>
      <w:r w:rsidRPr="00EE628C">
        <w:rPr>
          <w:sz w:val="24"/>
        </w:rPr>
        <w:t>prvozápis</w:t>
      </w:r>
      <w:proofErr w:type="spellEnd"/>
      <w:r w:rsidRPr="00EE628C">
        <w:rPr>
          <w:sz w:val="24"/>
        </w:rPr>
        <w:t xml:space="preserve"> do obchodního rejstříku.</w:t>
      </w:r>
      <w:r>
        <w:rPr>
          <w:sz w:val="24"/>
        </w:rPr>
        <w:t xml:space="preserve"> V případě, že zápis bude provádět notář, je třeba ještě připočíst odměnu notáře za provedení zápisu ve výši 300 Kč. S ohledem na skutečnost, že živnostenské oprávnění není nezbytné, lze stanovit nutné náklady na založení podniku na minimální částku 10 000 Kč.</w:t>
      </w:r>
    </w:p>
    <w:p w:rsidR="00E44916" w:rsidRDefault="00E44916" w:rsidP="00E44916">
      <w:pPr>
        <w:jc w:val="both"/>
        <w:rPr>
          <w:sz w:val="24"/>
        </w:rPr>
      </w:pPr>
    </w:p>
    <w:p w:rsidR="0036452E" w:rsidRDefault="00E44916" w:rsidP="00DD7B01">
      <w:pPr>
        <w:jc w:val="both"/>
        <w:rPr>
          <w:b/>
          <w:sz w:val="24"/>
        </w:rPr>
      </w:pPr>
      <w:r w:rsidRPr="00DA0040">
        <w:rPr>
          <w:b/>
          <w:sz w:val="24"/>
        </w:rPr>
        <w:t>Návrh řešení</w:t>
      </w:r>
    </w:p>
    <w:p w:rsidR="00DD7B01" w:rsidRPr="00DD7B01" w:rsidRDefault="00DD7B01" w:rsidP="00DD7B01">
      <w:pPr>
        <w:jc w:val="both"/>
        <w:rPr>
          <w:b/>
          <w:sz w:val="24"/>
        </w:rPr>
      </w:pPr>
    </w:p>
    <w:p w:rsidR="0036452E" w:rsidRDefault="0036452E" w:rsidP="0036452E">
      <w:pPr>
        <w:overflowPunct/>
        <w:autoSpaceDE/>
        <w:autoSpaceDN/>
        <w:adjustRightInd/>
        <w:spacing w:after="200" w:line="276" w:lineRule="auto"/>
        <w:jc w:val="both"/>
        <w:textAlignment w:val="auto"/>
        <w:rPr>
          <w:sz w:val="24"/>
        </w:rPr>
      </w:pPr>
      <w:r w:rsidRPr="0036452E">
        <w:rPr>
          <w:sz w:val="24"/>
        </w:rPr>
        <w:t xml:space="preserve">Ministerstvo spravedlnosti po podrobných diskuzích se zainteresovanými subjekty pozměnilo koncepci toho, jak zohlednit zakladatelské právní jednání. Původně navrhlo vytvořit formulář zakladatelského právního jednání formou vyhlášky, tedy podzákonným právním předpisem. Z důvodu zvýšení právní jistoty koncových uživatelů, tj. zejména podnikatelů - </w:t>
      </w:r>
      <w:r w:rsidRPr="0036452E">
        <w:rPr>
          <w:sz w:val="24"/>
          <w:szCs w:val="24"/>
        </w:rPr>
        <w:t>žadatelů a příjemců podpory z fondů EU</w:t>
      </w:r>
      <w:r w:rsidRPr="0036452E">
        <w:rPr>
          <w:sz w:val="24"/>
        </w:rPr>
        <w:t xml:space="preserve">, se Ministerstvo spravedlnosti rozhodlo pro stanovení podmínek přímo v zákoně. Jedná se tedy pouze o jiné legislativně-technické provedení, přičemž věcné řešení však zůstává stejné. Podmínky pro osvobození od soudního poplatku jsou následující: 1) žadatel splní tzv. základní náležitosti zakladatelského právního jednání, které jsou uvedeny v občanském zákoníku a v zákoně o obchodních korporacích, 2) vkladová povinnost je splacena v penězích a 3) zápis do veřejného rejstříku provedl notář. Náklady pro založení podniku tak budou představovány pouze odměnou notáře. Při splnění těchto podmínek pak bude možné založit společnosti s ručením omezeným za náklady pohybující se ve výši dle požadavků Evropské komise. </w:t>
      </w:r>
    </w:p>
    <w:p w:rsidR="0036452E" w:rsidRDefault="0036452E" w:rsidP="0036452E">
      <w:pPr>
        <w:overflowPunct/>
        <w:autoSpaceDE/>
        <w:autoSpaceDN/>
        <w:adjustRightInd/>
        <w:spacing w:after="200" w:line="276" w:lineRule="auto"/>
        <w:jc w:val="both"/>
        <w:textAlignment w:val="auto"/>
        <w:rPr>
          <w:sz w:val="24"/>
        </w:rPr>
      </w:pPr>
      <w:r w:rsidRPr="0036452E">
        <w:rPr>
          <w:sz w:val="24"/>
        </w:rPr>
        <w:t xml:space="preserve">Z uvedeného tedy vyplývá, že Česká republika umožní založení společnosti s ručením omezeným s nízkými náklady, když umožní, aby zápis provedl notář s celkovými náklady odpovídající částce 100 EUR. </w:t>
      </w:r>
    </w:p>
    <w:p w:rsidR="00E44916" w:rsidRPr="0036452E" w:rsidRDefault="0036452E" w:rsidP="0036452E">
      <w:pPr>
        <w:overflowPunct/>
        <w:autoSpaceDE/>
        <w:autoSpaceDN/>
        <w:adjustRightInd/>
        <w:spacing w:after="200"/>
        <w:jc w:val="both"/>
        <w:textAlignment w:val="auto"/>
        <w:rPr>
          <w:sz w:val="24"/>
        </w:rPr>
      </w:pPr>
      <w:r w:rsidRPr="0036452E">
        <w:rPr>
          <w:sz w:val="24"/>
        </w:rPr>
        <w:lastRenderedPageBreak/>
        <w:t>Ministerstvo spravedlnosti rovněž počítá s tím, že v prvním čtvrtletí roku 2016 by provedlo evaluaci těchto opatření, aby byla ověřena maximální funkčnost a efektivita zavedených opatření.</w:t>
      </w:r>
    </w:p>
    <w:p w:rsidR="00E44916" w:rsidRDefault="00E44916" w:rsidP="00E44916">
      <w:pPr>
        <w:pStyle w:val="Normlnweb"/>
        <w:spacing w:before="0" w:after="0"/>
        <w:jc w:val="both"/>
        <w:rPr>
          <w:rFonts w:cs="Times New Roman"/>
          <w:b/>
          <w:bCs/>
          <w:color w:val="000000"/>
        </w:rPr>
      </w:pPr>
      <w:r w:rsidRPr="0089400B">
        <w:rPr>
          <w:rFonts w:cs="Times New Roman"/>
          <w:b/>
          <w:bCs/>
          <w:color w:val="000000"/>
        </w:rPr>
        <w:t>Časový harmonogram prací</w:t>
      </w:r>
    </w:p>
    <w:p w:rsidR="00E44916" w:rsidRPr="0089400B" w:rsidRDefault="00E44916" w:rsidP="00E44916">
      <w:pPr>
        <w:pStyle w:val="Normlnweb"/>
        <w:spacing w:before="0" w:after="0"/>
        <w:jc w:val="both"/>
        <w:rPr>
          <w:rFonts w:cs="Times New Roman"/>
          <w:b/>
          <w:bCs/>
          <w:color w:val="000000"/>
        </w:rPr>
      </w:pPr>
    </w:p>
    <w:p w:rsidR="00846E3A" w:rsidRDefault="00846E3A" w:rsidP="00846E3A">
      <w:pPr>
        <w:jc w:val="both"/>
        <w:rPr>
          <w:sz w:val="24"/>
        </w:rPr>
      </w:pPr>
      <w:r>
        <w:rPr>
          <w:sz w:val="24"/>
        </w:rPr>
        <w:t>Ministerstvo spravedlnosti v návrhu zákona navrhuje, aby zákon nabyl účinnosti 15. dnem po vyhlášení zákona ve Sbírce zákonů. Lze předpokládat, že návrh zákona by mohl být schválen tak, aby nabyl účinnosti v druhé polovině roku 2015, nejspíše v říjnu 2015. Je však třeba počítat s legislativním procesem, který nemůže Ministerstvo spravedlnosti ze své pozice nijak ovlivnit. Je tak možné, že vlivem procesu schvalování dojde k posunutí termínu nabytí účinnosti.</w:t>
      </w:r>
    </w:p>
    <w:p w:rsidR="00846E3A" w:rsidRDefault="00846E3A" w:rsidP="00E44916">
      <w:pPr>
        <w:jc w:val="both"/>
        <w:rPr>
          <w:sz w:val="24"/>
        </w:rPr>
      </w:pPr>
    </w:p>
    <w:p w:rsidR="00E44916" w:rsidRDefault="00E44916" w:rsidP="00E44916">
      <w:pPr>
        <w:jc w:val="both"/>
        <w:rPr>
          <w:sz w:val="24"/>
        </w:rPr>
      </w:pPr>
      <w:r>
        <w:rPr>
          <w:sz w:val="24"/>
        </w:rPr>
        <w:t xml:space="preserve">Ministerstvo spravedlnosti, </w:t>
      </w:r>
      <w:r w:rsidR="00846E3A">
        <w:rPr>
          <w:sz w:val="24"/>
        </w:rPr>
        <w:t>25. 2. 2015</w:t>
      </w:r>
    </w:p>
    <w:p w:rsidR="00E44916" w:rsidRDefault="00E44916" w:rsidP="00E44916">
      <w:pPr>
        <w:jc w:val="both"/>
        <w:rPr>
          <w:sz w:val="24"/>
        </w:rPr>
        <w:sectPr w:rsidR="00E44916" w:rsidSect="006E6B3F">
          <w:pgSz w:w="11906" w:h="16838"/>
          <w:pgMar w:top="1418" w:right="1418" w:bottom="1418" w:left="1418" w:header="709" w:footer="709" w:gutter="0"/>
          <w:cols w:space="708"/>
          <w:docGrid w:linePitch="299"/>
        </w:sectPr>
      </w:pPr>
    </w:p>
    <w:p w:rsidR="00E44916" w:rsidRDefault="00E44916" w:rsidP="00E44916">
      <w:pPr>
        <w:pStyle w:val="Standardntext"/>
      </w:pPr>
    </w:p>
    <w:p w:rsidR="00E44916" w:rsidRPr="00E44916" w:rsidRDefault="00E44916" w:rsidP="00EB7FEA">
      <w:pPr>
        <w:pStyle w:val="Standardntext"/>
        <w:numPr>
          <w:ilvl w:val="0"/>
          <w:numId w:val="22"/>
        </w:numPr>
      </w:pPr>
      <w:r w:rsidRPr="00E44916">
        <w:rPr>
          <w:b/>
          <w:smallCaps/>
        </w:rPr>
        <w:t>Akční plán splnění předběžné podmínky 4.1</w:t>
      </w:r>
    </w:p>
    <w:p w:rsidR="00E44916" w:rsidRDefault="00E44916" w:rsidP="00E44916">
      <w:pPr>
        <w:spacing w:line="312" w:lineRule="auto"/>
        <w:jc w:val="both"/>
        <w:rPr>
          <w:b/>
          <w:u w:val="single"/>
        </w:rPr>
      </w:pPr>
    </w:p>
    <w:p w:rsidR="00EB7FEA" w:rsidRPr="00D17B96" w:rsidRDefault="00EB7FEA" w:rsidP="00EB7FEA">
      <w:pPr>
        <w:spacing w:line="312" w:lineRule="auto"/>
        <w:jc w:val="both"/>
        <w:rPr>
          <w:b/>
          <w:sz w:val="22"/>
          <w:szCs w:val="22"/>
        </w:rPr>
      </w:pPr>
      <w:r w:rsidRPr="00D17B96">
        <w:rPr>
          <w:b/>
          <w:sz w:val="22"/>
          <w:szCs w:val="22"/>
        </w:rPr>
        <w:t>Úvod</w:t>
      </w:r>
    </w:p>
    <w:p w:rsidR="00EB7FEA" w:rsidRPr="00D17B96" w:rsidRDefault="00EB7FEA" w:rsidP="00EB7FEA">
      <w:pPr>
        <w:spacing w:line="312" w:lineRule="auto"/>
        <w:jc w:val="both"/>
        <w:rPr>
          <w:sz w:val="22"/>
          <w:szCs w:val="22"/>
        </w:rPr>
      </w:pPr>
      <w:r w:rsidRPr="00D17B96">
        <w:rPr>
          <w:sz w:val="22"/>
          <w:szCs w:val="22"/>
        </w:rPr>
        <w:t>Předběžné podmínky definuje tzv. nařízení o společných ustanoveních</w:t>
      </w:r>
      <w:r w:rsidRPr="00D17B96">
        <w:rPr>
          <w:sz w:val="22"/>
          <w:szCs w:val="22"/>
          <w:vertAlign w:val="superscript"/>
        </w:rPr>
        <w:footnoteReference w:id="8"/>
      </w:r>
      <w:r w:rsidRPr="00D17B96">
        <w:rPr>
          <w:sz w:val="22"/>
          <w:szCs w:val="22"/>
        </w:rPr>
        <w:t xml:space="preserve"> týkajících se evropských strukturálních a investičních fondů (článek 19). Jejich zavedení vychází z požadavku Komise, aby byla přijata opatření k zajištění prokazatelných výsledků intervencí z evropských strukturálních a investičních fondů (ESIF) v programovém období 2014–2020. Účelem předběžných podmínek je zajistit, aby členské státy EU zavedly rámcové podmínky nezbytné pro efektivní využívání podpory z fondů ESIF.</w:t>
      </w:r>
    </w:p>
    <w:p w:rsidR="00EB7FEA" w:rsidRPr="00D17B96" w:rsidRDefault="00EB7FEA" w:rsidP="00EB7FEA">
      <w:pPr>
        <w:spacing w:line="312" w:lineRule="auto"/>
        <w:jc w:val="both"/>
        <w:rPr>
          <w:sz w:val="22"/>
          <w:szCs w:val="22"/>
        </w:rPr>
      </w:pPr>
      <w:r w:rsidRPr="00D17B96">
        <w:rPr>
          <w:sz w:val="22"/>
          <w:szCs w:val="22"/>
        </w:rPr>
        <w:t>Příloha XI nařízení o společných ustanoveních obsahuje přehled tematických předběžných podmínek pro všechny tematické cíle stanovené v článku 9 tohoto nařízení. Podrobněji je návrh předběžných podmínek rozpracován v dokumentu Komise nazvaném „Návrh pokynů k předběžným podmínkám pro evropské strukturální a investiční fondy (ESI)“ (Evropská komise, únor 2014). Tento dokument se mimo jiné podrobněji věnuje otázce použitelnosti nebo splnění kritérií předběžných podmínek. Předběžné podmínky by obecně měly být splněny do konce roku 2013 nebo při schválení operačního programu. Není-li určitá předběžná podmínka splněna, měla by být přijata opatření k jejímu splnění. Nejzazší lhůtou pro splnění předběžných podmínek je 31. prosinec 2016.</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b/>
          <w:sz w:val="22"/>
          <w:szCs w:val="22"/>
        </w:rPr>
      </w:pPr>
      <w:r w:rsidRPr="00D17B96">
        <w:rPr>
          <w:b/>
          <w:sz w:val="22"/>
          <w:szCs w:val="22"/>
        </w:rPr>
        <w:t xml:space="preserve">Předběžná podmínka 4.1 </w:t>
      </w:r>
    </w:p>
    <w:p w:rsidR="00EB7FEA" w:rsidRPr="00D17B96" w:rsidRDefault="00EB7FEA" w:rsidP="00EB7FEA">
      <w:pPr>
        <w:spacing w:line="312" w:lineRule="auto"/>
        <w:jc w:val="both"/>
        <w:rPr>
          <w:sz w:val="22"/>
          <w:szCs w:val="22"/>
        </w:rPr>
      </w:pPr>
      <w:r w:rsidRPr="00D17B96">
        <w:rPr>
          <w:sz w:val="22"/>
          <w:szCs w:val="22"/>
        </w:rPr>
        <w:t>4.1 Byla provedena opatření na podporu nákladově efektivního zvyšování energetické účinnosti u koncového uživatele a nákladově efektivních investic do energetické účinnosti při výstavbě a renovaci budov.</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rPr>
      </w:pPr>
      <w:r w:rsidRPr="00D17B96">
        <w:rPr>
          <w:sz w:val="22"/>
          <w:szCs w:val="22"/>
        </w:rPr>
        <w:t>Těmito opatřeními jsou:</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i/>
          <w:sz w:val="22"/>
          <w:szCs w:val="22"/>
        </w:rPr>
      </w:pPr>
      <w:r w:rsidRPr="00D17B96">
        <w:rPr>
          <w:i/>
          <w:sz w:val="22"/>
          <w:szCs w:val="22"/>
        </w:rPr>
        <w:t>I. opatření k zajištění minimálních požadavků týkajících se energetické náročnosti budov v souladu s články 3, 4 a 5 směrnice Evropského parlamentu a Rady 2010/31/EU.</w:t>
      </w:r>
    </w:p>
    <w:p w:rsidR="00EB7FEA" w:rsidRPr="00D17B96" w:rsidRDefault="00EB7FEA" w:rsidP="00EB7FEA">
      <w:pPr>
        <w:spacing w:line="312" w:lineRule="auto"/>
        <w:jc w:val="both"/>
        <w:rPr>
          <w:sz w:val="22"/>
          <w:szCs w:val="22"/>
        </w:rPr>
      </w:pPr>
      <w:r w:rsidRPr="00D17B96">
        <w:rPr>
          <w:sz w:val="22"/>
          <w:szCs w:val="22"/>
        </w:rPr>
        <w:t>Útvary Komise chtějí upozornit na to, že čl. 4 odst. 2 směrnice o energetické náročnosti budov (přepracování) stanovuje restriktivní seznam kategorií budov, u kterých se mohou členské státy rozhodnout nestanovit nebo neuplatňovat určité požadavky.</w:t>
      </w:r>
    </w:p>
    <w:p w:rsidR="00EB7FEA" w:rsidRPr="00D17B96" w:rsidRDefault="00EB7FEA" w:rsidP="00EB7FEA">
      <w:pPr>
        <w:spacing w:line="312" w:lineRule="auto"/>
        <w:jc w:val="both"/>
        <w:rPr>
          <w:sz w:val="22"/>
          <w:szCs w:val="22"/>
        </w:rPr>
      </w:pPr>
      <w:r w:rsidRPr="00D17B96">
        <w:rPr>
          <w:sz w:val="22"/>
          <w:szCs w:val="22"/>
        </w:rPr>
        <w:t>Zákon č. 318/2012 Sb., § 7 odst. 5 písm. d) vyjímá z těchto požadavků stavby pro rodinnou rekreaci, zatímco směrnice stanovuje, že je možné vyjmout obytné budovy, které jsou užívány nebo určeny k užívání buď kratšímu než čtyři měsíce v roce, nebo případně k využívání na omezenou část roku, a jejichž odhadovaná spotřeba energie je nižší než 25 % ze spotřeby, k níž by došlo při celoročním užívání.</w:t>
      </w:r>
    </w:p>
    <w:p w:rsidR="00EB7FEA" w:rsidRPr="00D17B96" w:rsidRDefault="00EB7FEA" w:rsidP="00EB7FEA">
      <w:pPr>
        <w:spacing w:line="312" w:lineRule="auto"/>
        <w:jc w:val="both"/>
        <w:rPr>
          <w:sz w:val="22"/>
          <w:szCs w:val="22"/>
        </w:rPr>
      </w:pPr>
      <w:r w:rsidRPr="00D17B96">
        <w:rPr>
          <w:sz w:val="22"/>
          <w:szCs w:val="22"/>
        </w:rPr>
        <w:t xml:space="preserve">Komise se domnívá, že vynětím veškerých „staveb pro rodinnou rekreaci“ bez stanovení konkrétní definice těchto staveb (jež by měla být v souladu s čl. 4 odst. 2 směrnice o energetické náročnosti </w:t>
      </w:r>
      <w:r w:rsidRPr="00D17B96">
        <w:rPr>
          <w:sz w:val="22"/>
          <w:szCs w:val="22"/>
        </w:rPr>
        <w:lastRenderedPageBreak/>
        <w:t>budov) zákon č. 318/2012 Sb. umožňuje vyloučení budov nad rámec restriktivního seznamu uvedeného ve směrnici 2010/31/EU (přepracování). To znamená, že je ve vnitrostátním právu provedena chybně.</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ne</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w:t>
      </w:r>
    </w:p>
    <w:p w:rsidR="00EB7FEA" w:rsidRPr="00D17B96" w:rsidRDefault="00EB7FEA" w:rsidP="00EB7FEA">
      <w:pPr>
        <w:spacing w:line="312" w:lineRule="auto"/>
        <w:jc w:val="both"/>
        <w:rPr>
          <w:sz w:val="22"/>
          <w:szCs w:val="22"/>
        </w:rPr>
      </w:pPr>
      <w:r w:rsidRPr="00D17B96">
        <w:rPr>
          <w:sz w:val="22"/>
          <w:szCs w:val="22"/>
        </w:rPr>
        <w:t>Česká republika se rozhodla vyhovět Evropské komisi a přijmout následující změny. Ustanovení § 7 odst. 5 zákona č. 406/2000 Sb. bude změněno. Co se týče vnitrostátního legislativního procesu, zmíněná změna zákona č. 406/2000 Sb. o hospodaření energií má nabýt účinnosti dnem 1. července 2015.</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59"/>
        </w:numPr>
        <w:overflowPunct/>
        <w:autoSpaceDE/>
        <w:autoSpaceDN/>
        <w:adjustRightInd/>
        <w:spacing w:line="312" w:lineRule="auto"/>
        <w:jc w:val="both"/>
        <w:textAlignment w:val="auto"/>
        <w:rPr>
          <w:sz w:val="22"/>
          <w:szCs w:val="22"/>
        </w:rPr>
      </w:pPr>
      <w:r w:rsidRPr="00D17B96">
        <w:rPr>
          <w:sz w:val="22"/>
          <w:szCs w:val="22"/>
        </w:rPr>
        <w:t>Členský stát nebo jeho regiony přijaly metodu výpočtu energetické náročnosti budov (nejzazší lhůta stanovená směrnicí byla 9. ledna 2013).</w:t>
      </w:r>
    </w:p>
    <w:p w:rsidR="00EB7FEA" w:rsidRPr="00D17B96" w:rsidRDefault="00EB7FEA" w:rsidP="00EB7FEA">
      <w:pPr>
        <w:spacing w:line="312" w:lineRule="auto"/>
        <w:ind w:left="36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ano</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Česká republika přijala metodu výpočtu energetické náročnosti budov (nejzazší lhůta stanovená směrnicí byla 9. ledna 2013).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59"/>
        </w:numPr>
        <w:overflowPunct/>
        <w:autoSpaceDE/>
        <w:autoSpaceDN/>
        <w:adjustRightInd/>
        <w:spacing w:line="312" w:lineRule="auto"/>
        <w:jc w:val="both"/>
        <w:textAlignment w:val="auto"/>
        <w:rPr>
          <w:sz w:val="22"/>
          <w:szCs w:val="22"/>
        </w:rPr>
      </w:pPr>
      <w:r w:rsidRPr="00D17B96">
        <w:rPr>
          <w:sz w:val="22"/>
          <w:szCs w:val="22"/>
        </w:rPr>
        <w:t>Metoda je v souladu s přílohou I, zejména:</w:t>
      </w:r>
    </w:p>
    <w:p w:rsidR="00EB7FEA" w:rsidRPr="00D17B96" w:rsidRDefault="00EB7FEA" w:rsidP="00EB7FEA">
      <w:pPr>
        <w:numPr>
          <w:ilvl w:val="0"/>
          <w:numId w:val="60"/>
        </w:numPr>
        <w:overflowPunct/>
        <w:autoSpaceDE/>
        <w:autoSpaceDN/>
        <w:adjustRightInd/>
        <w:spacing w:line="312" w:lineRule="auto"/>
        <w:jc w:val="both"/>
        <w:textAlignment w:val="auto"/>
        <w:rPr>
          <w:sz w:val="22"/>
          <w:szCs w:val="22"/>
        </w:rPr>
      </w:pPr>
      <w:r w:rsidRPr="00D17B96">
        <w:rPr>
          <w:sz w:val="22"/>
          <w:szCs w:val="22"/>
        </w:rPr>
        <w:t>Energetická náročnost budovy se určí na základě vypočtené nebo naměřené spotřeby energie potřebné ke splnění požadavku na spotřebu energie v souvislosti s typickým užíváním budovy, což zahrnuje mimo jiné energii na vytápění, na chlazení, na větrání, na přípravu teplé vody a na osvětlení.</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ano</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 xml:space="preserve">Česká republika přijala metodu výpočtu energetické náročnosti budov (nejzazší lhůta stanovená směrnicí byla 9. ledna 2013).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3 této </w:t>
      </w:r>
      <w:r w:rsidRPr="00D17B96">
        <w:rPr>
          <w:sz w:val="22"/>
          <w:szCs w:val="22"/>
        </w:rPr>
        <w:lastRenderedPageBreak/>
        <w:t>vyhlášky stanovuje ukazatele energetické náročnosti budovy, paragraf 4 výpočet dodané energie a paragraf 5 výpočet primární energie. Příloha č. 1 této vyhlášky stanovuje konkrétní technické údaje.</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60"/>
        </w:numPr>
        <w:overflowPunct/>
        <w:autoSpaceDE/>
        <w:autoSpaceDN/>
        <w:adjustRightInd/>
        <w:spacing w:line="312" w:lineRule="auto"/>
        <w:jc w:val="both"/>
        <w:textAlignment w:val="auto"/>
        <w:rPr>
          <w:sz w:val="22"/>
          <w:szCs w:val="22"/>
        </w:rPr>
      </w:pPr>
      <w:r w:rsidRPr="00D17B96">
        <w:rPr>
          <w:sz w:val="22"/>
          <w:szCs w:val="22"/>
        </w:rPr>
        <w:t>Metoda výpočtu zohledňuje spotřebu energie na vytápění, chlazení, větrání a přípravu teplé vody pro domácnost a u nebytových budov na osvětlení.</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ano</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Česká republika přijala metodu výpočtu energetické náročnosti budov (nejzazší lhůta stanovená směrnicí byla 9. ledna 2013).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3 této vyhlášky stanovuje ukazatele energetické náročnosti budovy, paragraf 4 výpočet dodané energie a paragraf 5 výpočet primární energie. Příloha č. 1 této vyhlášky stanovuje konkrétní technické údaje.</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60"/>
        </w:numPr>
        <w:overflowPunct/>
        <w:autoSpaceDE/>
        <w:autoSpaceDN/>
        <w:adjustRightInd/>
        <w:spacing w:line="312" w:lineRule="auto"/>
        <w:jc w:val="both"/>
        <w:textAlignment w:val="auto"/>
        <w:rPr>
          <w:sz w:val="22"/>
          <w:szCs w:val="22"/>
        </w:rPr>
      </w:pPr>
      <w:r w:rsidRPr="00D17B96">
        <w:rPr>
          <w:sz w:val="22"/>
          <w:szCs w:val="22"/>
        </w:rPr>
        <w:t>Energetická náročnost budovy je vyjádřena transparentně a zahrnuje ukazatel energetické náročnosti a číselný ukazatel spotřeby primární energie.</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ano</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Česká republika přijala metodu výpočtu energetické náročnosti budov (nejzazší lhůta stanovená směrnicí byla 9. ledna 2013).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3 této vyhlášky stanovuje ukazatele energetické náročnosti budovy, paragraf 4 výpočet dodané energie a paragraf 5 výpočet primární energie. Příloha č. 1 této vyhlášky stanovuje konkrétní technické údaje.</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61"/>
        </w:numPr>
        <w:overflowPunct/>
        <w:autoSpaceDE/>
        <w:autoSpaceDN/>
        <w:adjustRightInd/>
        <w:spacing w:line="312" w:lineRule="auto"/>
        <w:jc w:val="both"/>
        <w:textAlignment w:val="auto"/>
        <w:rPr>
          <w:sz w:val="22"/>
          <w:szCs w:val="22"/>
        </w:rPr>
      </w:pPr>
      <w:r w:rsidRPr="00D17B96">
        <w:rPr>
          <w:sz w:val="22"/>
          <w:szCs w:val="22"/>
        </w:rPr>
        <w:t>Metoda zohledňuje níže uvedené faktory, jež mají vliv na energetickou náročnost:</w:t>
      </w:r>
    </w:p>
    <w:p w:rsidR="00EB7FEA" w:rsidRPr="00D17B96" w:rsidRDefault="00EB7FEA" w:rsidP="00EB7FEA">
      <w:pPr>
        <w:numPr>
          <w:ilvl w:val="0"/>
          <w:numId w:val="62"/>
        </w:numPr>
        <w:overflowPunct/>
        <w:autoSpaceDE/>
        <w:autoSpaceDN/>
        <w:adjustRightInd/>
        <w:spacing w:line="312" w:lineRule="auto"/>
        <w:jc w:val="both"/>
        <w:textAlignment w:val="auto"/>
        <w:rPr>
          <w:sz w:val="22"/>
          <w:szCs w:val="22"/>
        </w:rPr>
      </w:pPr>
      <w:r w:rsidRPr="00D17B96">
        <w:rPr>
          <w:sz w:val="22"/>
          <w:szCs w:val="22"/>
        </w:rPr>
        <w:t>Charakteristiky budovy a energetických zařízení: vytápění, dodávky teplé vody, klimatizace, větrání, osvětlení, solární systém a ochrana, vnitřní klimatické podmínky atd. (viz bod 3 přílohy č. 1).</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ano</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 xml:space="preserve">Metoda je v souladu s přílohou I. Česká republika zapracovala minimální požadavky na energetickou náročnost budov podle článku 3, článku 4 a článku 5 směrnice 2010/31/EU do zákona č. 406/2000 Sb. o hospodaření energií (paragraf 7 „Snižování energetické náročnosti budov“). Konkrétní technické </w:t>
      </w:r>
      <w:r w:rsidRPr="00D17B96">
        <w:rPr>
          <w:sz w:val="22"/>
          <w:szCs w:val="22"/>
        </w:rPr>
        <w:lastRenderedPageBreak/>
        <w:t>požadavky stanovuje vyhláška č. 78/2013 Sb. o energetické náročnosti budov. Paragraf 3 této vyhlášky stanovuje ukazatele energetické náročnosti budovy, paragraf 4 výpočet dodané energie a paragraf 5 výpočet primární energie. Příloha č. 1 této vyhlášky stanovuje konkrétní technické údaje.</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62"/>
        </w:numPr>
        <w:overflowPunct/>
        <w:autoSpaceDE/>
        <w:autoSpaceDN/>
        <w:adjustRightInd/>
        <w:spacing w:line="312" w:lineRule="auto"/>
        <w:jc w:val="both"/>
        <w:textAlignment w:val="auto"/>
        <w:rPr>
          <w:sz w:val="22"/>
          <w:szCs w:val="22"/>
        </w:rPr>
      </w:pPr>
      <w:r w:rsidRPr="00D17B96">
        <w:rPr>
          <w:sz w:val="22"/>
          <w:szCs w:val="22"/>
        </w:rPr>
        <w:t>Faktory, jež mohou pozitivně ovlivnit energetickou náročnost: místní podmínky slunečního osvitu, aktivní solární systémy a jiné otopné soustavy a elektrické systémy využívající energii z obnovitelných zdrojů; elektřina vyráběná formou kombinované výroby tepla a elektřiny; denní osvětlení (bod 4 přílohy č. 1).</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ano</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Metoda je v souladu s přílohou I.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3 této vyhlášky stanovuje ukazatele energetické náročnosti budovy, paragraf 4 výpočet dodané energie a paragraf 5 výpočet primární energie. Příloha č. 1 této vyhlášky stanovuje konkrétní technické údaje.</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62"/>
        </w:numPr>
        <w:overflowPunct/>
        <w:autoSpaceDE/>
        <w:autoSpaceDN/>
        <w:adjustRightInd/>
        <w:spacing w:line="312" w:lineRule="auto"/>
        <w:jc w:val="both"/>
        <w:textAlignment w:val="auto"/>
        <w:rPr>
          <w:sz w:val="22"/>
          <w:szCs w:val="22"/>
        </w:rPr>
      </w:pPr>
      <w:r w:rsidRPr="00D17B96">
        <w:rPr>
          <w:sz w:val="22"/>
          <w:szCs w:val="22"/>
        </w:rPr>
        <w:t>Byla přijata opatření k zajištění toho, aby byly stanoveny minimální požadavky na energetickou náročnost nových budov (nebo ucelených částí budov), které jsou předmětem větší renovace, a prvků budov, jež jsou součástí obvodového pláště budovy a jež mají významný dopad na energetickou náročnost budovy, za účelem dosažení nákladově optimálních úrovní (lhůta pro přijetí těchto opatření v případě budov užívaných orgány veřejné moci byla směrnicí stanovena do 9. ledna 2013 a u ostatních budov do 9. července 2013):</w:t>
      </w:r>
    </w:p>
    <w:p w:rsidR="00EB7FEA" w:rsidRPr="00D17B96" w:rsidRDefault="00EB7FEA" w:rsidP="00EB7FEA">
      <w:pPr>
        <w:numPr>
          <w:ilvl w:val="0"/>
          <w:numId w:val="61"/>
        </w:numPr>
        <w:overflowPunct/>
        <w:autoSpaceDE/>
        <w:autoSpaceDN/>
        <w:adjustRightInd/>
        <w:spacing w:line="312" w:lineRule="auto"/>
        <w:jc w:val="both"/>
        <w:textAlignment w:val="auto"/>
        <w:rPr>
          <w:sz w:val="22"/>
          <w:szCs w:val="22"/>
        </w:rPr>
      </w:pPr>
      <w:r w:rsidRPr="00D17B96">
        <w:rPr>
          <w:sz w:val="22"/>
          <w:szCs w:val="22"/>
        </w:rPr>
        <w:t>Nákladově optimální úrovně požadavků na energetickou náročnost byly vypočteny podle srovnávacího metodického rámce, jejž Komise stanovila pro různé kategorie budov (příloha I nařízení Komise v přenesené pravomoci č. 244/2012). Zde byla lhůta stanovena do 21. března 2013.</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ano</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Nákladově optimální úrovně minimálních požadavků na energetickou náročnost byly vypočteny podle srovnávacího metodického rámce, jejž Komise stanovila pro různé kategorie budov.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6 této vyhlášky stanovuje požadavky na energetickou náročnost stanovené na nákladově optimální úrovni. Příloha č. 2 a 3 této vyhlášky stanovuje konkrétní technické údaje.</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i/>
          <w:sz w:val="22"/>
          <w:szCs w:val="22"/>
        </w:rPr>
      </w:pPr>
      <w:r w:rsidRPr="00D17B96">
        <w:rPr>
          <w:i/>
          <w:sz w:val="22"/>
          <w:szCs w:val="22"/>
        </w:rPr>
        <w:t>II. opatření nezbytná pro zavedení systému certifikace energetické náročnosti budov v souladu s článkem 11 směrnice 2010/31/EU.</w:t>
      </w:r>
    </w:p>
    <w:p w:rsidR="00EB7FEA" w:rsidRPr="00D17B96" w:rsidRDefault="00EB7FEA" w:rsidP="00EB7FEA">
      <w:pPr>
        <w:spacing w:line="312" w:lineRule="auto"/>
        <w:jc w:val="both"/>
        <w:rPr>
          <w:i/>
          <w:sz w:val="22"/>
          <w:szCs w:val="22"/>
        </w:rPr>
      </w:pPr>
    </w:p>
    <w:p w:rsidR="00EB7FEA" w:rsidRPr="00D17B96" w:rsidRDefault="00EB7FEA" w:rsidP="00EB7FEA">
      <w:pPr>
        <w:spacing w:line="312" w:lineRule="auto"/>
        <w:jc w:val="both"/>
        <w:rPr>
          <w:sz w:val="22"/>
          <w:szCs w:val="22"/>
        </w:rPr>
      </w:pPr>
      <w:r w:rsidRPr="00D17B96">
        <w:rPr>
          <w:sz w:val="22"/>
          <w:szCs w:val="22"/>
        </w:rPr>
        <w:t>Není splněno kritérium 2 (článek 11). Vyhláška č. 78/2013 Sb. paragraf 8 odst. 2 stanovuje, že ekonomická vhodnost se dokládá dosažením prosté doby návratnosti kratší než doba životnosti doporučeného opatření. To není zcela v souladu s ustanovením čl. 11 odst. 3 směrnice, jež požaduje, aby certifikát udával rozsah období návratnosti nebo nákladů a výnosů po dobu ekonomického životního cyklu budovy, a proto není provedení ve vnitrostátním právu správné.</w:t>
      </w:r>
    </w:p>
    <w:p w:rsidR="00EB7FEA" w:rsidRPr="00D17B96" w:rsidRDefault="00EB7FEA" w:rsidP="00EB7FEA">
      <w:pPr>
        <w:spacing w:line="312" w:lineRule="auto"/>
        <w:jc w:val="both"/>
        <w:rPr>
          <w:bCs/>
          <w:sz w:val="22"/>
          <w:szCs w:val="22"/>
        </w:rPr>
      </w:pPr>
      <w:r w:rsidRPr="00D17B96">
        <w:rPr>
          <w:sz w:val="22"/>
          <w:szCs w:val="22"/>
        </w:rPr>
        <w:t xml:space="preserve"> </w:t>
      </w: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ano</w:t>
      </w:r>
    </w:p>
    <w:p w:rsidR="00EB7FEA" w:rsidRPr="00D17B96" w:rsidRDefault="00EB7FEA" w:rsidP="00EB7FEA">
      <w:pPr>
        <w:spacing w:line="312" w:lineRule="auto"/>
        <w:jc w:val="both"/>
        <w:rPr>
          <w:bCs/>
          <w:sz w:val="22"/>
          <w:szCs w:val="22"/>
        </w:rPr>
      </w:pPr>
    </w:p>
    <w:p w:rsidR="00EB7FEA" w:rsidRPr="00D17B96" w:rsidRDefault="00EB7FEA" w:rsidP="00EB7FEA">
      <w:pPr>
        <w:spacing w:line="312" w:lineRule="auto"/>
        <w:jc w:val="both"/>
        <w:rPr>
          <w:bCs/>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 xml:space="preserve">Česká republika se domnívá, že výše uvedený požadavek není v souladu s požadavkem směrnice Evropského parlamentu a Rady 2010/31/EU o energetické náročnosti budov (přepracování), jejíž čl. 11 odst. 3 ukládá pouze povinnost, že doporučení obsažená v certifikátu energetické náročnosti musí být pro konkrétní budovu technicky proveditelná. Uvedený článek nestanovuje žádnou další povinnost. Dále upozorňuje na to, že doporučení obsažená v certifikátu </w:t>
      </w:r>
      <w:r w:rsidRPr="00D17B96">
        <w:rPr>
          <w:b/>
          <w:sz w:val="22"/>
          <w:szCs w:val="22"/>
          <w:u w:val="single"/>
        </w:rPr>
        <w:t>mohou,</w:t>
      </w:r>
      <w:r w:rsidRPr="00D17B96">
        <w:rPr>
          <w:sz w:val="22"/>
          <w:szCs w:val="22"/>
        </w:rPr>
        <w:t xml:space="preserve"> a </w:t>
      </w:r>
      <w:r w:rsidRPr="00D17B96">
        <w:rPr>
          <w:b/>
          <w:sz w:val="22"/>
          <w:szCs w:val="22"/>
        </w:rPr>
        <w:t>nikoliv musí</w:t>
      </w:r>
      <w:r w:rsidRPr="00D17B96">
        <w:rPr>
          <w:sz w:val="22"/>
          <w:szCs w:val="22"/>
        </w:rPr>
        <w:t xml:space="preserve"> udávat odhad rozsahu období návratnosti nebo nákladů a výnosů po dobu jejího ekonomického životního cyklu.</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62"/>
        </w:numPr>
        <w:overflowPunct/>
        <w:autoSpaceDE/>
        <w:autoSpaceDN/>
        <w:adjustRightInd/>
        <w:spacing w:line="312" w:lineRule="auto"/>
        <w:jc w:val="both"/>
        <w:textAlignment w:val="auto"/>
        <w:rPr>
          <w:sz w:val="22"/>
          <w:szCs w:val="22"/>
        </w:rPr>
      </w:pPr>
      <w:r w:rsidRPr="00D17B96">
        <w:rPr>
          <w:sz w:val="22"/>
          <w:szCs w:val="22"/>
        </w:rPr>
        <w:t xml:space="preserve">Certifikát energetické náročnosti existuje proto, aby umožnil vlastníkům nebo nájemcům budovy nebo ucelené části budovy porovnání a posouzení její energetické náročnosti (citace vnitrostátního/regionálního regulačního rámce). </w:t>
      </w:r>
    </w:p>
    <w:p w:rsidR="00EB7FEA" w:rsidRPr="00D17B96" w:rsidRDefault="00EB7FEA" w:rsidP="00EB7FEA">
      <w:pPr>
        <w:numPr>
          <w:ilvl w:val="0"/>
          <w:numId w:val="61"/>
        </w:numPr>
        <w:overflowPunct/>
        <w:autoSpaceDE/>
        <w:autoSpaceDN/>
        <w:adjustRightInd/>
        <w:spacing w:line="312" w:lineRule="auto"/>
        <w:jc w:val="both"/>
        <w:textAlignment w:val="auto"/>
        <w:rPr>
          <w:sz w:val="22"/>
          <w:szCs w:val="22"/>
        </w:rPr>
      </w:pPr>
      <w:r w:rsidRPr="00D17B96">
        <w:rPr>
          <w:sz w:val="22"/>
          <w:szCs w:val="22"/>
        </w:rPr>
        <w:t>Certifikáty obsahují alespoň tyto údaje: energetická náročnost budovy, referenční hodnoty, jako jsou minimální požadavky na energetickou náročnost, a doporučení na snížení energetické náročnosti budovy nebo ucelené části budovy, které je optimální nebo efektivní vzhledem k vynaloženým nákladům. Poskytne také údaje o tom, kde vlastník nebo nájemce může získat podrobnější informace.</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ne</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 xml:space="preserve">Česká republika provedla ve vnitrostátním právu požadavky na certifikáty energetické náročnosti v souladu s článkem 11 směrnice 2010/31/EU. Provedla je zákonem č. 406/2000 Sb. o hospodaření energií. Příslušný požadavek je obsažen v paragrafu 7a „Průkaz energetické náročnosti“. Konkrétní požadavky stanovuje vyhláška č. 78/2013 Sb. o energetické náročnosti budov. Paragraf 9 stanovuje vzor a obsah průkazu. Příloha č. 4 této vyhlášky stanovuje konkrétní technické údaje. Avšak v souvislosti s řízením pro nesplnění povinnosti CZ 2012/0335 Evropská komise České republice vytýká, že z provedení v právních předpisech České republiky není jasné, že mezi opatření uvedená v certifikátu energetické náročnosti by měla být zahrnuta také opatření přijatá v souvislosti s jednotlivými prvky budov nezávisle na větší renovaci (čl. 11 odst. 2 písm. b) směrnice – doporučená </w:t>
      </w:r>
      <w:r w:rsidRPr="00D17B96">
        <w:rPr>
          <w:sz w:val="22"/>
          <w:szCs w:val="22"/>
        </w:rPr>
        <w:lastRenderedPageBreak/>
        <w:t>opatření pro jednotlivé prvky budov). Další námitka Evropské komise zní, že i když ČR v souladu s čl. 11 odst. 4 zavedla nástroje pro podrobnější informování, konkrétně v podobě informačních služeb EKIS, v českých právních předpisech není uveden žádný odkaz na tyto služby. Uvedené stížnosti Komise budou zohledněny ve vyhlášce Ministerstva obchodu a průmyslu č. 78/2013 Sb. o energetické náročnosti budov. Co se týče vnitrostátního legislativního procesu, zmíněná změna vyhlášky č. 78/2013 Sb. má nabýt účinnosti dnem 1. července 2015.</w:t>
      </w:r>
    </w:p>
    <w:p w:rsidR="00EB7FEA" w:rsidRPr="00D17B96" w:rsidRDefault="00EB7FEA" w:rsidP="00EB7FEA">
      <w:pPr>
        <w:spacing w:line="312" w:lineRule="auto"/>
        <w:jc w:val="both"/>
        <w:rPr>
          <w:i/>
          <w:sz w:val="22"/>
          <w:szCs w:val="22"/>
        </w:rPr>
      </w:pPr>
    </w:p>
    <w:p w:rsidR="00EB7FEA" w:rsidRPr="00D17B96" w:rsidRDefault="00EB7FEA" w:rsidP="00EB7FEA">
      <w:pPr>
        <w:spacing w:line="312" w:lineRule="auto"/>
        <w:jc w:val="both"/>
        <w:rPr>
          <w:i/>
          <w:sz w:val="22"/>
          <w:szCs w:val="22"/>
        </w:rPr>
      </w:pPr>
      <w:r w:rsidRPr="00D17B96">
        <w:rPr>
          <w:i/>
          <w:sz w:val="22"/>
          <w:szCs w:val="22"/>
        </w:rPr>
        <w:t>III. Opatření k zajištění strategického plánování v oblasti energetické účinnosti, v souladu s článkem 3 směrnice 2012/12/EU</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63"/>
        </w:numPr>
        <w:overflowPunct/>
        <w:autoSpaceDE/>
        <w:autoSpaceDN/>
        <w:adjustRightInd/>
        <w:spacing w:line="312" w:lineRule="auto"/>
        <w:jc w:val="both"/>
        <w:textAlignment w:val="auto"/>
        <w:rPr>
          <w:sz w:val="22"/>
          <w:szCs w:val="22"/>
        </w:rPr>
      </w:pPr>
      <w:r w:rsidRPr="00D17B96">
        <w:rPr>
          <w:sz w:val="22"/>
          <w:szCs w:val="22"/>
        </w:rPr>
        <w:t>Členský stát stanoví národní indikativní cíl v oblasti energetické účinnosti (směrnice stanovila lhůtu do 30. dubna 2013 v souladu s článkem 3 směrnice 2012/27/EU).</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ne</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Nevčasná transpozice směrnice. Transpoziční lhůta uplynula dne 5. 6. 2014. Transpozice směrnice je prováděna novelou zákona č. 406/2000 Sb., o hospodaření energií a novelou zákona č. 458/2000 Sb., o podmínkách podnikání a o výkonu státní správy v energetických odvětvích a o změně některých zákonů (energetický zákon). Předpokládané nabytí účinnosti novel zákonů je v případě zákona č. 406/2000 Sb. o hospodaření energií 1. července 2015 a v případě zákona č. 458/2000 Sb. 1. července 2015.</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i/>
          <w:sz w:val="22"/>
          <w:szCs w:val="22"/>
        </w:rPr>
      </w:pPr>
      <w:r w:rsidRPr="00D17B96">
        <w:rPr>
          <w:i/>
          <w:sz w:val="22"/>
          <w:szCs w:val="22"/>
        </w:rPr>
        <w:t>IV. opatření v souladu s článkem 13 směrnice 2006/32/ES, jež zajistí vybavení konečných zákazníků individuálními měřiči (směrnice stanovila lhůtu do 17. května 2008):</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62"/>
        </w:numPr>
        <w:overflowPunct/>
        <w:autoSpaceDE/>
        <w:autoSpaceDN/>
        <w:adjustRightInd/>
        <w:spacing w:line="312" w:lineRule="auto"/>
        <w:jc w:val="both"/>
        <w:textAlignment w:val="auto"/>
        <w:rPr>
          <w:sz w:val="22"/>
          <w:szCs w:val="22"/>
        </w:rPr>
      </w:pPr>
      <w:r w:rsidRPr="00D17B96">
        <w:rPr>
          <w:sz w:val="22"/>
          <w:szCs w:val="22"/>
        </w:rPr>
        <w:t>Členské státy zavedly regulační rámec, který zajistí, aby u nových budov nebo budov, které jsou předmětem větší renovace, či pokud je to technicky možné, byli koneční zákazníci odebírající elektřinu, zemní plyn, dálkové vytápění či chlazení a teplou vodu pro domácnosti vždy vybaveni, budou-li náklady úměrné potenciálním úsporám energie, individuálními měřiči, které přesně zobrazují skutečnou spotřebu energie a skutečnou dobu její spotřeby.</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ne</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 xml:space="preserve">Dodávky elektřiny, zemního plynu, energie na vytápění a chlazení včetně dodávek teplé vody koncovým zákazníkům se v České republice měří již dlouho a tato měření jim v současnosti poskytují dostatečné informace o skutečné spotřebě za konkrétní období. Povinnosti týkající se měření spotřeby a účtování jsou ve vnitrostátním právu provedeny zákonem č. 458/2000 Sb., tzv. energetickým zákonem, konkrétně paragrafy 49, 71 a 78, zákonem č. 406/2000 Sb. o hospodaření energií, konkrétně paragrafem 7, a vyhláškami č. 108/2011 Sb., č. 82/2011 Sb., č. 372/2001 Sb. a č. 541/2005 Sb. Tyto předpisy ukládají distributorům povinnost bezplatně instalovat měřicí zařízení, tedy vybavit koncové </w:t>
      </w:r>
      <w:r w:rsidRPr="00D17B96">
        <w:rPr>
          <w:sz w:val="22"/>
          <w:szCs w:val="22"/>
        </w:rPr>
        <w:lastRenderedPageBreak/>
        <w:t xml:space="preserve">zákazníky měřičem. U dodávek tepla a teplé vody z centrálního zdroje se používají měřící zařízení pro účtování spotřeby na předávacích stanicích. Předávací stanice by měla být zřízena pokud možno pro každého zákazníka samostatně, zvláště u větších renovačních projektů. Takto naměřená spotřeba se dále transparentně účtuje pomocí různých druhů měřicích zařízení pro teplo a teplou vodu. Zřídí-li se nové připojení v nové budově nebo při větších renovacích podle směrnice 2002/91/ES, pro plyn a elektřinu příslušnou povinnost jasně stanovuje energetický zákon, pro vytápění tato povinnost platí všude tam, kde lze měřit skutečnou spotřebu. Komise však kritizuje Českou republiku za to, že české právní předpisy nestanovují dostatečně jasně povinnost zajistit podle čl. 13 odst. 1 směrnice, aby všichni koncoví zákazníci byli vybaveni individuálními elektroměry. Komise žádá, aby bylo výslovně stanoveno právo koncového zákazníka na individuální měřicí zařízení. ČR změní text § 2 odst. 2 písm. a) bodu 17 energetického zákona tak, aby definice zákazníka byla zcela v souladu s definicí uvedenou v čl. 3 písm. n) směrnice. Dále změní znění § 49 odst. 7 energetického zákona tak, aby bylo výslovně stanoveno právo zákazníka na individuální měřící zařízení. Co se týče vnitrostátního legislativního procesu, zmíněná změna energetického zákona má vstoupit v platnost 1. 7. 2015. Co se týče povinného zavádění měřicích zařízení v případě nového připojení v nové budově nebo při větší renovaci budovy, Česká republika opakuje, že uvedená povinnost distributorů zavést individuální měřiče není omezena pouze na stávající, nové nebo renovované budovy. Tato povinnost má opravdu široký rozsah, a tak je ve skutečnosti každý zákazník vybaven měřicím zařízením. Česká republika se tudíž domnívá, že pokud jde o jasnost navrhovaných změn, uvedený sporný bod se tím vyřeší. </w:t>
      </w:r>
    </w:p>
    <w:p w:rsidR="00EB7FEA" w:rsidRPr="00D17B96" w:rsidRDefault="00EB7FEA" w:rsidP="00EB7FEA">
      <w:pPr>
        <w:spacing w:line="312" w:lineRule="auto"/>
        <w:jc w:val="both"/>
        <w:rPr>
          <w:sz w:val="22"/>
          <w:szCs w:val="22"/>
        </w:rPr>
      </w:pPr>
      <w:r w:rsidRPr="00D17B96">
        <w:rPr>
          <w:sz w:val="22"/>
          <w:szCs w:val="22"/>
        </w:rPr>
        <w:t>Dále Komise kritizuje Českou republiku za to, že české právní předpisy neplní dostatečně povinnost zajistit podle čl. 13 odst. 1 směrnice, aby všichni koncoví zákazníci byli vybaveni individuálními měřiči spotřeby tepla a teplé vody. Jak bylo uvedeno výše u výtky týkající se elektřiny, Česká republika se rozhodla vyhovět Evropské komisi a přijmout následující změny. Ustanovení § 7 odst. 4 zákona č. 406/2000 Sb. o hospodaření energií budou změněna. Změna zákona o hospodaření energií má vstoupit v platnost 1. 7. 2015. Co se týče zavedení individuálních měřicích zařízení v případě nového připojení v nové budově nebo při větší renovaci budovy, ve shodě s vysvětlením uvedeným v odstavci výše můžeme poukázat na to, že příslušná výtka se § 7 odst. 4 zákona o hospodaření energií netýká, neboť ustanovení této povinnosti nečiní rozdíl mezi již postavenými budovami a novými budovami a nestanovuje povinnost zavést měřicí zařízení při každé renovaci.</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62"/>
        </w:numPr>
        <w:overflowPunct/>
        <w:autoSpaceDE/>
        <w:autoSpaceDN/>
        <w:adjustRightInd/>
        <w:spacing w:line="312" w:lineRule="auto"/>
        <w:jc w:val="both"/>
        <w:textAlignment w:val="auto"/>
        <w:rPr>
          <w:sz w:val="22"/>
          <w:szCs w:val="22"/>
        </w:rPr>
      </w:pPr>
      <w:r w:rsidRPr="00D17B96">
        <w:rPr>
          <w:sz w:val="22"/>
          <w:szCs w:val="22"/>
        </w:rPr>
        <w:t>Tento regulační rámec má zajistit, aby bylo vyúčtování, které provádějí distributoři energie, provozovatelé distribučních soustav a maloobchodní prodejci energie, pokud je to vhodné, založeno na skutečné spotřebě energie, bylo předkládáno v jasné a pochopitelné formě a bylo prováděno často, aby zákazníci mohli svou spotřebu energie regulovat.</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ne</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 xml:space="preserve">Spotřeba elektřiny, plynu a tepla se koncovým zákazníkům měří a platby se obecně provádějí formou měsíčních záloh a čtvrtletních nebo ročních vyúčtování. Vyúčtování obsahuje podrobné ekonomické údaje, informace o tom, jaké položky platba zahrnuje, a graf znázorňující srovnání se spotřebou za předchozí období. Zákaznicí si mohou zvolit formu platby. Komise však tvrdí, že poskytované </w:t>
      </w:r>
      <w:r w:rsidRPr="00D17B96">
        <w:rPr>
          <w:sz w:val="22"/>
          <w:szCs w:val="22"/>
        </w:rPr>
        <w:lastRenderedPageBreak/>
        <w:t>informace o vyúčtování nejsou dostatečné. Nicméně Komise samotná prohlašuje, že to je pouze důsledek špatně upraveného práva koncového zákazníka na elektroměr a měřicí zařízení spotřeby tepla a teplé vody. Česká republika tudíž vychází z toho, že legislativní změny uvedené v odstavci výše tento problém nepochybně vyřeší. Co se týče vnitrostátního legislativního procesu, zmíněná změna energetického zákona má vstoupit v platnost 1. 7. 2015.</w:t>
      </w:r>
    </w:p>
    <w:p w:rsidR="00EB7FEA" w:rsidRPr="00D17B96" w:rsidRDefault="00EB7FEA" w:rsidP="00EB7FEA">
      <w:pPr>
        <w:spacing w:line="312" w:lineRule="auto"/>
        <w:jc w:val="both"/>
        <w:rPr>
          <w:sz w:val="22"/>
          <w:szCs w:val="22"/>
        </w:rPr>
      </w:pPr>
    </w:p>
    <w:p w:rsidR="00EB7FEA" w:rsidRPr="00D17B96" w:rsidRDefault="00EB7FEA" w:rsidP="00EB7FEA">
      <w:pPr>
        <w:numPr>
          <w:ilvl w:val="0"/>
          <w:numId w:val="62"/>
        </w:numPr>
        <w:overflowPunct/>
        <w:autoSpaceDE/>
        <w:autoSpaceDN/>
        <w:adjustRightInd/>
        <w:spacing w:line="312" w:lineRule="auto"/>
        <w:jc w:val="both"/>
        <w:textAlignment w:val="auto"/>
        <w:rPr>
          <w:sz w:val="22"/>
          <w:szCs w:val="22"/>
        </w:rPr>
      </w:pPr>
      <w:r w:rsidRPr="00D17B96">
        <w:rPr>
          <w:sz w:val="22"/>
          <w:szCs w:val="22"/>
        </w:rPr>
        <w:t>Členský stát může doložit, že konečným zákazníkům jsou v účtech, smlouvách, transakcích a stvrzenkách na distribučních místech poskytovány, kde je to vhodné, tyto informace: aktuální skutečné ceny a skutečná spotřeba energie; srovnání aktuální spotřeby energie se spotřebou za stejné období předchozího roku; kontaktní údaje na organizace spotřebitelů, energetické agentury nebo podobné subjekty (včetně adres internetových stránek), u nichž jsou dostupné informace o opatřeních ke zvýšení energetické účinnosti atd.</w:t>
      </w:r>
    </w:p>
    <w:p w:rsidR="00EB7FEA" w:rsidRPr="00D17B96" w:rsidRDefault="00EB7FEA" w:rsidP="00EB7FEA">
      <w:pPr>
        <w:spacing w:line="312" w:lineRule="auto"/>
        <w:ind w:left="720"/>
        <w:jc w:val="both"/>
        <w:rPr>
          <w:sz w:val="22"/>
          <w:szCs w:val="22"/>
        </w:rPr>
      </w:pPr>
    </w:p>
    <w:p w:rsidR="00EB7FEA" w:rsidRPr="00D17B96" w:rsidRDefault="00EB7FEA" w:rsidP="00EB7FEA">
      <w:pPr>
        <w:spacing w:line="312" w:lineRule="auto"/>
        <w:jc w:val="both"/>
        <w:rPr>
          <w:sz w:val="22"/>
          <w:szCs w:val="22"/>
        </w:rPr>
      </w:pPr>
      <w:r w:rsidRPr="00D17B96">
        <w:rPr>
          <w:sz w:val="22"/>
          <w:szCs w:val="22"/>
          <w:u w:val="single"/>
        </w:rPr>
        <w:t>Kritéria splněna:</w:t>
      </w:r>
      <w:r w:rsidRPr="00D17B96">
        <w:rPr>
          <w:sz w:val="22"/>
          <w:szCs w:val="22"/>
        </w:rPr>
        <w:t xml:space="preserve"> ano</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u w:val="single"/>
        </w:rPr>
      </w:pPr>
      <w:r w:rsidRPr="00D17B96">
        <w:rPr>
          <w:sz w:val="22"/>
          <w:szCs w:val="22"/>
          <w:u w:val="single"/>
        </w:rPr>
        <w:t>Důvody nesplnění a komentáře:</w:t>
      </w:r>
    </w:p>
    <w:p w:rsidR="00EB7FEA" w:rsidRPr="00D17B96" w:rsidRDefault="00EB7FEA" w:rsidP="00EB7FEA">
      <w:pPr>
        <w:spacing w:line="312" w:lineRule="auto"/>
        <w:jc w:val="both"/>
        <w:rPr>
          <w:sz w:val="22"/>
          <w:szCs w:val="22"/>
        </w:rPr>
      </w:pPr>
      <w:r w:rsidRPr="00D17B96">
        <w:rPr>
          <w:sz w:val="22"/>
          <w:szCs w:val="22"/>
        </w:rPr>
        <w:t xml:space="preserve">Vyúčtování dodávek elektřiny, plynu a energie na vytápění nebo chlazení se řídí vyhláškou č. 210/2011 Sb. o rozsahu, náležitostech a termínech vyúčtování dodávek elektřiny, plynu nebo tepelné energie a souvisejících služeb. Vyúčtování elektřiny a plynu zákazníci dostávají alespoň jednou ročně nebo v kratších intervalech a zálohy se platí každý měsíc. Dodavatelé tepla zákazníkům bezplatně vyúčtují dodávky tepelné energie nejméně jednou v každém kalendářním roce, a to nejpozději 31. prosince, jenž je posledním dnem účetního období. Dodavatelé tepla předloží zákazníkům vyúčtování za kalendářní rok nejpozději do 28. února následujícího kalendářního roku, pokud se se zákazníkem nedohodnou jinak. Koncoví zákazníci mohou získat veškeré potřebné informace v energetických konzultačních a informačních střediscích, jež fungují v každém kraji, nebo jim jejich dotazy mohou být zodpovězeny prostřednictvím internetového konzultačního střediska na adrese </w:t>
      </w:r>
      <w:hyperlink r:id="rId59" w:history="1">
        <w:r w:rsidRPr="00D17B96">
          <w:rPr>
            <w:rStyle w:val="Hypertextovodkaz"/>
            <w:sz w:val="22"/>
            <w:szCs w:val="22"/>
          </w:rPr>
          <w:t>http://www.mpo-efekt.cz/cz/ekis/i-ekis</w:t>
        </w:r>
      </w:hyperlink>
      <w:r w:rsidRPr="00D17B96">
        <w:rPr>
          <w:sz w:val="22"/>
          <w:szCs w:val="22"/>
        </w:rPr>
        <w:t>.</w:t>
      </w: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sz w:val="22"/>
          <w:szCs w:val="22"/>
        </w:rPr>
      </w:pPr>
    </w:p>
    <w:p w:rsidR="00EB7FEA" w:rsidRPr="00D17B96" w:rsidRDefault="00EB7FEA" w:rsidP="00EB7FEA">
      <w:pPr>
        <w:spacing w:line="312" w:lineRule="auto"/>
        <w:jc w:val="both"/>
        <w:rPr>
          <w:b/>
          <w:sz w:val="22"/>
          <w:szCs w:val="22"/>
          <w:u w:val="single"/>
        </w:rPr>
      </w:pPr>
      <w:r w:rsidRPr="00D17B96">
        <w:rPr>
          <w:b/>
          <w:sz w:val="22"/>
          <w:szCs w:val="22"/>
          <w:u w:val="single"/>
        </w:rPr>
        <w:t>Předběžný časový plán legislativního procesu:</w:t>
      </w:r>
    </w:p>
    <w:p w:rsidR="00EB7FEA" w:rsidRPr="00D17B96" w:rsidRDefault="00EB7FEA" w:rsidP="00EB7FEA">
      <w:pPr>
        <w:spacing w:line="312" w:lineRule="auto"/>
        <w:jc w:val="both"/>
        <w:rPr>
          <w:b/>
          <w:sz w:val="22"/>
          <w:szCs w:val="22"/>
          <w:u w:val="single"/>
        </w:rPr>
      </w:pPr>
    </w:p>
    <w:p w:rsidR="00EB7FEA" w:rsidRPr="00D17B96" w:rsidRDefault="00EB7FEA" w:rsidP="00EB7FEA">
      <w:pPr>
        <w:spacing w:line="312" w:lineRule="auto"/>
        <w:jc w:val="both"/>
        <w:rPr>
          <w:i/>
          <w:sz w:val="22"/>
          <w:szCs w:val="22"/>
          <w:u w:val="single"/>
        </w:rPr>
      </w:pPr>
      <w:r w:rsidRPr="00D17B96">
        <w:rPr>
          <w:i/>
          <w:sz w:val="22"/>
          <w:szCs w:val="22"/>
          <w:u w:val="single"/>
        </w:rPr>
        <w:t>Zákon č 406/2000 Sb., o hospodaření energií</w:t>
      </w:r>
    </w:p>
    <w:p w:rsidR="00EB7FEA" w:rsidRPr="00D17B96" w:rsidRDefault="00EB7FEA" w:rsidP="00EB7FEA">
      <w:pPr>
        <w:spacing w:line="312" w:lineRule="auto"/>
        <w:jc w:val="both"/>
        <w:rPr>
          <w:i/>
          <w:sz w:val="22"/>
          <w:szCs w:val="22"/>
        </w:rPr>
      </w:pPr>
      <w:r w:rsidRPr="00D17B96">
        <w:rPr>
          <w:i/>
          <w:sz w:val="22"/>
          <w:szCs w:val="22"/>
        </w:rPr>
        <w:t>I. Vláda návrh zákona schválila a postoupila PSP ČR dne 3. 9. 2014.</w:t>
      </w:r>
    </w:p>
    <w:p w:rsidR="00EB7FEA" w:rsidRPr="00D17B96" w:rsidRDefault="00EB7FEA" w:rsidP="00EB7FEA">
      <w:pPr>
        <w:spacing w:line="312" w:lineRule="auto"/>
        <w:jc w:val="both"/>
        <w:rPr>
          <w:i/>
          <w:sz w:val="22"/>
          <w:szCs w:val="22"/>
        </w:rPr>
      </w:pPr>
      <w:r w:rsidRPr="00D17B96">
        <w:rPr>
          <w:i/>
          <w:sz w:val="22"/>
          <w:szCs w:val="22"/>
        </w:rPr>
        <w:t>II. Dne 11. 2. na 25. schůzi PSP ČR proběhlo 3. čtení. Návrh zákona byl schválen.</w:t>
      </w:r>
    </w:p>
    <w:p w:rsidR="00EB7FEA" w:rsidRPr="00D17B96" w:rsidRDefault="00EB7FEA" w:rsidP="00EB7FEA">
      <w:pPr>
        <w:spacing w:line="312" w:lineRule="auto"/>
        <w:jc w:val="both"/>
        <w:rPr>
          <w:i/>
          <w:sz w:val="22"/>
          <w:szCs w:val="22"/>
        </w:rPr>
      </w:pPr>
      <w:r w:rsidRPr="00D17B96">
        <w:rPr>
          <w:i/>
          <w:sz w:val="22"/>
          <w:szCs w:val="22"/>
        </w:rPr>
        <w:t>III. Poslanecká sněmovna postoupila dne 24. 2. 2015 návrh zákona Senátu. Návrh projednán dne 19. 3. 2015 na 7. schůzi Senátu. Senát návrh vrátil sněmovně s pozměňovacími návrhy.</w:t>
      </w:r>
    </w:p>
    <w:p w:rsidR="00EB7FEA" w:rsidRPr="00D17B96" w:rsidRDefault="00EB7FEA" w:rsidP="00EB7FEA">
      <w:pPr>
        <w:spacing w:line="312" w:lineRule="auto"/>
        <w:jc w:val="both"/>
        <w:rPr>
          <w:i/>
          <w:sz w:val="22"/>
          <w:szCs w:val="22"/>
        </w:rPr>
      </w:pPr>
      <w:r w:rsidRPr="00D17B96">
        <w:rPr>
          <w:i/>
          <w:sz w:val="22"/>
          <w:szCs w:val="22"/>
        </w:rPr>
        <w:t>IV. Předpokládané datum účinnosti: 1. 7. 2015.</w:t>
      </w:r>
    </w:p>
    <w:p w:rsidR="00EB7FEA" w:rsidRPr="00D17B96" w:rsidRDefault="00EB7FEA" w:rsidP="00EB7FEA">
      <w:pPr>
        <w:spacing w:line="312" w:lineRule="auto"/>
        <w:jc w:val="both"/>
        <w:rPr>
          <w:i/>
          <w:sz w:val="22"/>
          <w:szCs w:val="22"/>
        </w:rPr>
      </w:pPr>
    </w:p>
    <w:p w:rsidR="00EB7FEA" w:rsidRPr="00D17B96" w:rsidRDefault="00EB7FEA" w:rsidP="00EB7FEA">
      <w:pPr>
        <w:spacing w:line="312" w:lineRule="auto"/>
        <w:jc w:val="both"/>
        <w:rPr>
          <w:i/>
          <w:sz w:val="22"/>
          <w:szCs w:val="22"/>
          <w:u w:val="single"/>
        </w:rPr>
      </w:pPr>
      <w:r w:rsidRPr="00D17B96">
        <w:rPr>
          <w:i/>
          <w:sz w:val="22"/>
          <w:szCs w:val="22"/>
          <w:u w:val="single"/>
        </w:rPr>
        <w:t>Zákon č. 458/2000 Sb., o podmínkách podnikání a o výkonu státní správy v energetických odvětvích a o změně některých zákonů (energetický zákon)</w:t>
      </w:r>
    </w:p>
    <w:p w:rsidR="00EB7FEA" w:rsidRPr="00D17B96" w:rsidRDefault="00EB7FEA" w:rsidP="00EB7FEA">
      <w:pPr>
        <w:spacing w:line="312" w:lineRule="auto"/>
        <w:jc w:val="both"/>
        <w:rPr>
          <w:i/>
          <w:sz w:val="22"/>
          <w:szCs w:val="22"/>
        </w:rPr>
      </w:pPr>
      <w:r w:rsidRPr="00D17B96">
        <w:rPr>
          <w:i/>
          <w:sz w:val="22"/>
          <w:szCs w:val="22"/>
        </w:rPr>
        <w:t>I. Vláda návrh zákona schválila dne 20. 10. 2014.</w:t>
      </w:r>
    </w:p>
    <w:p w:rsidR="00EB7FEA" w:rsidRPr="00D17B96" w:rsidRDefault="00EB7FEA" w:rsidP="00EB7FEA">
      <w:pPr>
        <w:spacing w:line="312" w:lineRule="auto"/>
        <w:jc w:val="both"/>
        <w:rPr>
          <w:i/>
          <w:sz w:val="22"/>
          <w:szCs w:val="22"/>
        </w:rPr>
      </w:pPr>
      <w:r w:rsidRPr="00D17B96">
        <w:rPr>
          <w:i/>
          <w:sz w:val="22"/>
          <w:szCs w:val="22"/>
        </w:rPr>
        <w:t xml:space="preserve">II. Vláda </w:t>
      </w:r>
      <w:r w:rsidRPr="00D17B96">
        <w:rPr>
          <w:bCs/>
          <w:i/>
          <w:sz w:val="22"/>
          <w:szCs w:val="22"/>
        </w:rPr>
        <w:t>předložila</w:t>
      </w:r>
      <w:r w:rsidRPr="00D17B96">
        <w:rPr>
          <w:i/>
          <w:sz w:val="22"/>
          <w:szCs w:val="22"/>
        </w:rPr>
        <w:t xml:space="preserve"> sněmovně návrh zákona 24. 10. 2014.</w:t>
      </w:r>
    </w:p>
    <w:p w:rsidR="00EB7FEA" w:rsidRPr="00D17B96" w:rsidRDefault="00EB7FEA" w:rsidP="00EB7FEA">
      <w:pPr>
        <w:spacing w:line="312" w:lineRule="auto"/>
        <w:jc w:val="both"/>
        <w:rPr>
          <w:i/>
          <w:sz w:val="22"/>
          <w:szCs w:val="22"/>
        </w:rPr>
      </w:pPr>
      <w:r w:rsidRPr="00D17B96">
        <w:rPr>
          <w:i/>
          <w:sz w:val="22"/>
          <w:szCs w:val="22"/>
        </w:rPr>
        <w:lastRenderedPageBreak/>
        <w:t>III. Dne 11. 12. 2014 proběhlo 1. čtení.</w:t>
      </w:r>
      <w:r w:rsidRPr="00D17B96">
        <w:rPr>
          <w:i/>
          <w:sz w:val="22"/>
          <w:szCs w:val="22"/>
        </w:rPr>
        <w:tab/>
      </w:r>
      <w:r w:rsidRPr="00D17B96">
        <w:rPr>
          <w:i/>
          <w:sz w:val="22"/>
          <w:szCs w:val="22"/>
        </w:rPr>
        <w:tab/>
      </w:r>
      <w:r w:rsidRPr="00D17B96">
        <w:rPr>
          <w:i/>
          <w:sz w:val="22"/>
          <w:szCs w:val="22"/>
        </w:rPr>
        <w:tab/>
      </w:r>
      <w:r w:rsidRPr="00D17B96">
        <w:rPr>
          <w:i/>
          <w:sz w:val="22"/>
          <w:szCs w:val="22"/>
        </w:rPr>
        <w:tab/>
      </w:r>
      <w:r w:rsidRPr="00D17B96">
        <w:rPr>
          <w:i/>
          <w:sz w:val="22"/>
          <w:szCs w:val="22"/>
        </w:rPr>
        <w:tab/>
      </w:r>
      <w:r w:rsidRPr="00D17B96">
        <w:rPr>
          <w:i/>
          <w:sz w:val="22"/>
          <w:szCs w:val="22"/>
        </w:rPr>
        <w:tab/>
      </w:r>
      <w:r w:rsidRPr="00D17B96">
        <w:rPr>
          <w:i/>
          <w:sz w:val="22"/>
          <w:szCs w:val="22"/>
        </w:rPr>
        <w:tab/>
      </w:r>
    </w:p>
    <w:p w:rsidR="00EB7FEA" w:rsidRPr="00D17B96" w:rsidRDefault="00EB7FEA" w:rsidP="00EB7FEA">
      <w:pPr>
        <w:spacing w:line="312" w:lineRule="auto"/>
        <w:jc w:val="both"/>
        <w:rPr>
          <w:i/>
          <w:sz w:val="22"/>
          <w:szCs w:val="22"/>
        </w:rPr>
      </w:pPr>
      <w:r w:rsidRPr="00D17B96">
        <w:rPr>
          <w:i/>
          <w:sz w:val="22"/>
          <w:szCs w:val="22"/>
        </w:rPr>
        <w:t>IV. Dne 11. 3. 2015 proběhlo 2. čtení.</w:t>
      </w:r>
    </w:p>
    <w:p w:rsidR="00EB7FEA" w:rsidRPr="00D17B96" w:rsidRDefault="00EB7FEA" w:rsidP="00EB7FEA">
      <w:pPr>
        <w:spacing w:line="312" w:lineRule="auto"/>
        <w:jc w:val="both"/>
        <w:rPr>
          <w:i/>
          <w:sz w:val="22"/>
          <w:szCs w:val="22"/>
        </w:rPr>
      </w:pPr>
      <w:r w:rsidRPr="00D17B96">
        <w:rPr>
          <w:i/>
          <w:sz w:val="22"/>
          <w:szCs w:val="22"/>
        </w:rPr>
        <w:t>V. Předpokládané datum účinnosti: 1. 7. 2015.</w:t>
      </w:r>
    </w:p>
    <w:p w:rsidR="00E44916" w:rsidRPr="00E44916" w:rsidRDefault="00E44916" w:rsidP="00E44916">
      <w:pPr>
        <w:spacing w:line="312" w:lineRule="auto"/>
        <w:jc w:val="both"/>
        <w:rPr>
          <w:sz w:val="24"/>
          <w:szCs w:val="24"/>
        </w:rPr>
      </w:pPr>
    </w:p>
    <w:p w:rsidR="00E44916" w:rsidRPr="00E44916" w:rsidRDefault="00E44916" w:rsidP="00E44916">
      <w:pPr>
        <w:spacing w:line="312" w:lineRule="auto"/>
        <w:jc w:val="both"/>
        <w:rPr>
          <w:sz w:val="24"/>
          <w:szCs w:val="24"/>
        </w:rPr>
      </w:pPr>
      <w:r w:rsidRPr="00E44916">
        <w:rPr>
          <w:sz w:val="24"/>
          <w:szCs w:val="24"/>
        </w:rPr>
        <w:t xml:space="preserve">Ministerstvo průmyslu a obchodu ČR </w:t>
      </w:r>
    </w:p>
    <w:p w:rsidR="007A3A93" w:rsidRPr="00E44916" w:rsidRDefault="00E44916" w:rsidP="00E44916">
      <w:pPr>
        <w:spacing w:line="312" w:lineRule="auto"/>
        <w:jc w:val="both"/>
        <w:rPr>
          <w:sz w:val="24"/>
          <w:szCs w:val="24"/>
        </w:rPr>
      </w:pPr>
      <w:r w:rsidRPr="00E44916">
        <w:rPr>
          <w:sz w:val="24"/>
          <w:szCs w:val="24"/>
        </w:rPr>
        <w:t>Aktualizace k </w:t>
      </w:r>
      <w:r w:rsidR="003E70B1">
        <w:rPr>
          <w:sz w:val="24"/>
          <w:szCs w:val="24"/>
        </w:rPr>
        <w:t>23.3.2015</w:t>
      </w:r>
    </w:p>
    <w:p w:rsidR="004D4652" w:rsidRDefault="00C94B34">
      <w:pPr>
        <w:overflowPunct/>
        <w:autoSpaceDE/>
        <w:autoSpaceDN/>
        <w:adjustRightInd/>
        <w:textAlignment w:val="auto"/>
        <w:rPr>
          <w:rFonts w:asciiTheme="minorHAnsi" w:hAnsiTheme="minorHAnsi" w:cstheme="minorHAnsi"/>
          <w:b/>
          <w:sz w:val="26"/>
          <w:szCs w:val="26"/>
        </w:rPr>
      </w:pPr>
      <w:r>
        <w:rPr>
          <w:rFonts w:cstheme="minorHAnsi"/>
          <w:b/>
          <w:smallCaps/>
          <w:szCs w:val="22"/>
        </w:rPr>
        <w:br w:type="page"/>
      </w:r>
      <w:r w:rsidR="00132281" w:rsidRPr="00132281">
        <w:rPr>
          <w:rFonts w:asciiTheme="minorHAnsi" w:hAnsiTheme="minorHAnsi" w:cstheme="minorHAnsi"/>
          <w:b/>
          <w:sz w:val="26"/>
          <w:szCs w:val="26"/>
        </w:rPr>
        <w:lastRenderedPageBreak/>
        <w:t>Další dokumenty</w:t>
      </w:r>
    </w:p>
    <w:p w:rsidR="00132281" w:rsidRDefault="00132281">
      <w:pPr>
        <w:overflowPunct/>
        <w:autoSpaceDE/>
        <w:autoSpaceDN/>
        <w:adjustRightInd/>
        <w:textAlignment w:val="auto"/>
        <w:rPr>
          <w:rFonts w:asciiTheme="minorHAnsi" w:hAnsiTheme="minorHAnsi" w:cstheme="minorHAnsi"/>
          <w:b/>
          <w:sz w:val="26"/>
          <w:szCs w:val="26"/>
        </w:rPr>
      </w:pPr>
    </w:p>
    <w:p w:rsidR="00132281" w:rsidRPr="00DE6BB5" w:rsidRDefault="00DE6BB5" w:rsidP="00E44916">
      <w:pPr>
        <w:pStyle w:val="Odstavecseseznamem"/>
        <w:numPr>
          <w:ilvl w:val="0"/>
          <w:numId w:val="4"/>
        </w:numPr>
        <w:overflowPunct/>
        <w:autoSpaceDE/>
        <w:autoSpaceDN/>
        <w:adjustRightInd/>
        <w:ind w:left="426" w:hanging="284"/>
        <w:textAlignment w:val="auto"/>
        <w:rPr>
          <w:rFonts w:ascii="Times New Roman" w:hAnsi="Times New Roman"/>
          <w:sz w:val="24"/>
          <w:szCs w:val="24"/>
        </w:rPr>
      </w:pPr>
      <w:r w:rsidRPr="00DE6BB5">
        <w:rPr>
          <w:rFonts w:ascii="Times New Roman" w:hAnsi="Times New Roman"/>
          <w:sz w:val="24"/>
          <w:szCs w:val="24"/>
        </w:rPr>
        <w:t xml:space="preserve">Přehled strategických dokumentů pro předběžné podmínky v rámci Tematického cíle 2 </w:t>
      </w:r>
    </w:p>
    <w:p w:rsidR="00DE6BB5" w:rsidRPr="005B3A61" w:rsidRDefault="00DE6BB5" w:rsidP="00E44916">
      <w:pPr>
        <w:pStyle w:val="Odstavecseseznamem"/>
        <w:numPr>
          <w:ilvl w:val="0"/>
          <w:numId w:val="4"/>
        </w:numPr>
        <w:overflowPunct/>
        <w:autoSpaceDE/>
        <w:autoSpaceDN/>
        <w:adjustRightInd/>
        <w:ind w:left="426" w:hanging="284"/>
        <w:textAlignment w:val="auto"/>
        <w:rPr>
          <w:rFonts w:ascii="Times New Roman" w:hAnsi="Times New Roman"/>
          <w:sz w:val="24"/>
          <w:szCs w:val="24"/>
        </w:rPr>
      </w:pPr>
      <w:r w:rsidRPr="00DE6BB5">
        <w:rPr>
          <w:rFonts w:ascii="Times New Roman" w:hAnsi="Times New Roman"/>
          <w:sz w:val="24"/>
          <w:szCs w:val="24"/>
        </w:rPr>
        <w:t>Výtah z evaluační studie „</w:t>
      </w:r>
      <w:r w:rsidRPr="00DE6BB5">
        <w:rPr>
          <w:rFonts w:ascii="Times New Roman" w:hAnsi="Times New Roman"/>
          <w:bCs/>
          <w:sz w:val="24"/>
          <w:szCs w:val="24"/>
        </w:rPr>
        <w:t>Evaluace podpory sociálního a inkluzivního podnikání v OP LZZ“ (k předběžné podmínce 8.2)</w:t>
      </w:r>
    </w:p>
    <w:p w:rsidR="005B3A61" w:rsidRPr="0069648F" w:rsidRDefault="00FA19CD" w:rsidP="00E44916">
      <w:pPr>
        <w:pStyle w:val="Odstavecseseznamem"/>
        <w:numPr>
          <w:ilvl w:val="0"/>
          <w:numId w:val="4"/>
        </w:numPr>
        <w:overflowPunct/>
        <w:autoSpaceDE/>
        <w:autoSpaceDN/>
        <w:adjustRightInd/>
        <w:ind w:left="426" w:hanging="284"/>
        <w:textAlignment w:val="auto"/>
        <w:rPr>
          <w:rFonts w:ascii="Times New Roman" w:hAnsi="Times New Roman"/>
          <w:sz w:val="24"/>
          <w:szCs w:val="24"/>
        </w:rPr>
      </w:pPr>
      <w:r>
        <w:rPr>
          <w:rFonts w:ascii="Times New Roman" w:hAnsi="Times New Roman"/>
          <w:bCs/>
          <w:sz w:val="24"/>
          <w:szCs w:val="24"/>
        </w:rPr>
        <w:t>Celkový p</w:t>
      </w:r>
      <w:r w:rsidR="005B3A61">
        <w:rPr>
          <w:rFonts w:ascii="Times New Roman" w:hAnsi="Times New Roman"/>
          <w:bCs/>
          <w:sz w:val="24"/>
          <w:szCs w:val="24"/>
        </w:rPr>
        <w:t>řehled naplňování obecných předběžných podmínek na národní úrovni v rámci Dohody o partnerství</w:t>
      </w:r>
      <w:r>
        <w:rPr>
          <w:rFonts w:ascii="Times New Roman" w:hAnsi="Times New Roman"/>
          <w:bCs/>
          <w:sz w:val="24"/>
          <w:szCs w:val="24"/>
        </w:rPr>
        <w:t xml:space="preserve"> a na úrovni operačního programu</w:t>
      </w:r>
    </w:p>
    <w:p w:rsidR="008B55C0" w:rsidRDefault="006442FB">
      <w:pPr>
        <w:overflowPunct/>
        <w:autoSpaceDE/>
        <w:autoSpaceDN/>
        <w:adjustRightInd/>
        <w:textAlignment w:val="auto"/>
        <w:rPr>
          <w:bCs/>
          <w:sz w:val="24"/>
          <w:szCs w:val="24"/>
        </w:rPr>
        <w:sectPr w:rsidR="008B55C0" w:rsidSect="006E6B3F">
          <w:pgSz w:w="11906" w:h="16838"/>
          <w:pgMar w:top="1418" w:right="1418" w:bottom="1418" w:left="1418" w:header="709" w:footer="709" w:gutter="0"/>
          <w:cols w:space="708"/>
          <w:docGrid w:linePitch="299"/>
        </w:sectPr>
      </w:pPr>
      <w:r>
        <w:rPr>
          <w:bCs/>
          <w:sz w:val="24"/>
          <w:szCs w:val="24"/>
        </w:rPr>
        <w:br w:type="page"/>
      </w:r>
    </w:p>
    <w:p w:rsidR="006442FB" w:rsidRDefault="006442FB">
      <w:pPr>
        <w:overflowPunct/>
        <w:autoSpaceDE/>
        <w:autoSpaceDN/>
        <w:adjustRightInd/>
        <w:textAlignment w:val="auto"/>
        <w:rPr>
          <w:bCs/>
          <w:sz w:val="24"/>
          <w:szCs w:val="24"/>
        </w:rPr>
      </w:pPr>
    </w:p>
    <w:p w:rsidR="006442FB" w:rsidRPr="0024118A" w:rsidRDefault="006442FB" w:rsidP="00C40B88">
      <w:pPr>
        <w:pStyle w:val="Odstavecseseznamem"/>
        <w:numPr>
          <w:ilvl w:val="0"/>
          <w:numId w:val="21"/>
        </w:numPr>
        <w:jc w:val="both"/>
        <w:rPr>
          <w:rFonts w:cstheme="minorHAnsi"/>
          <w:b/>
          <w:szCs w:val="22"/>
          <w:u w:val="single"/>
        </w:rPr>
      </w:pPr>
      <w:r w:rsidRPr="0024118A">
        <w:rPr>
          <w:rFonts w:cstheme="minorHAnsi"/>
          <w:b/>
          <w:szCs w:val="22"/>
          <w:u w:val="single"/>
        </w:rPr>
        <w:t xml:space="preserve">Přehled strategických dokumentů pro Tematický cíl 2 </w:t>
      </w:r>
    </w:p>
    <w:p w:rsidR="006442FB" w:rsidRPr="006442FB" w:rsidRDefault="006442FB" w:rsidP="006442FB">
      <w:pPr>
        <w:jc w:val="both"/>
        <w:rPr>
          <w:rFonts w:asciiTheme="minorHAnsi" w:hAnsiTheme="minorHAnsi" w:cstheme="minorHAnsi"/>
          <w:b/>
          <w:sz w:val="22"/>
          <w:szCs w:val="22"/>
          <w:u w:val="single"/>
        </w:rPr>
      </w:pPr>
      <w:r w:rsidRPr="006442FB">
        <w:rPr>
          <w:rFonts w:asciiTheme="minorHAnsi" w:hAnsiTheme="minorHAnsi" w:cstheme="minorHAnsi"/>
          <w:sz w:val="22"/>
          <w:szCs w:val="22"/>
        </w:rPr>
        <w:t>(ve vazbě na připomínku EK k OP PIK č. 145)</w:t>
      </w:r>
    </w:p>
    <w:p w:rsidR="006442FB" w:rsidRPr="006442FB" w:rsidRDefault="006442FB" w:rsidP="006442FB">
      <w:pPr>
        <w:jc w:val="both"/>
        <w:rPr>
          <w:rFonts w:asciiTheme="minorHAnsi" w:hAnsiTheme="minorHAnsi" w:cstheme="minorHAnsi"/>
          <w:b/>
          <w:sz w:val="22"/>
          <w:szCs w:val="22"/>
          <w:u w:val="single"/>
        </w:rPr>
      </w:pPr>
      <w:r w:rsidRPr="006442FB">
        <w:rPr>
          <w:rFonts w:asciiTheme="minorHAnsi" w:hAnsiTheme="minorHAnsi" w:cstheme="minorHAnsi"/>
          <w:b/>
          <w:sz w:val="22"/>
          <w:szCs w:val="22"/>
          <w:u w:val="single"/>
        </w:rPr>
        <w:t>Předběžná podmínka 2.1 – přehled strategických dokumentů k naplnění podmínky</w:t>
      </w:r>
    </w:p>
    <w:tbl>
      <w:tblPr>
        <w:tblW w:w="0" w:type="auto"/>
        <w:tblLayout w:type="fixed"/>
        <w:tblLook w:val="04A0" w:firstRow="1" w:lastRow="0" w:firstColumn="1" w:lastColumn="0" w:noHBand="0" w:noVBand="1"/>
      </w:tblPr>
      <w:tblGrid>
        <w:gridCol w:w="2828"/>
        <w:gridCol w:w="1249"/>
        <w:gridCol w:w="4445"/>
        <w:gridCol w:w="2829"/>
        <w:gridCol w:w="2829"/>
      </w:tblGrid>
      <w:tr w:rsidR="006442FB" w:rsidRPr="006442FB" w:rsidTr="00557FFB">
        <w:tc>
          <w:tcPr>
            <w:tcW w:w="282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t>Strategický dokument</w:t>
            </w:r>
          </w:p>
        </w:tc>
        <w:tc>
          <w:tcPr>
            <w:tcW w:w="124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t>Gestor/</w:t>
            </w:r>
            <w:proofErr w:type="spellStart"/>
            <w:r w:rsidRPr="006442FB">
              <w:rPr>
                <w:rFonts w:asciiTheme="minorHAnsi" w:hAnsiTheme="minorHAnsi" w:cstheme="minorHAnsi"/>
                <w:b/>
                <w:sz w:val="22"/>
                <w:szCs w:val="22"/>
              </w:rPr>
              <w:t>spolugestor</w:t>
            </w:r>
            <w:proofErr w:type="spellEnd"/>
          </w:p>
        </w:tc>
        <w:tc>
          <w:tcPr>
            <w:tcW w:w="444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t>Popis struktury dokumentu</w:t>
            </w:r>
          </w:p>
        </w:tc>
        <w:tc>
          <w:tcPr>
            <w:tcW w:w="282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t>Cíle dokumentu</w:t>
            </w:r>
          </w:p>
        </w:tc>
        <w:tc>
          <w:tcPr>
            <w:tcW w:w="282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442FB" w:rsidRPr="006442FB" w:rsidRDefault="006442FB" w:rsidP="006E6B3F">
            <w:pPr>
              <w:rPr>
                <w:rFonts w:asciiTheme="minorHAnsi" w:hAnsiTheme="minorHAnsi" w:cstheme="minorHAnsi"/>
                <w:b/>
                <w:sz w:val="22"/>
                <w:szCs w:val="22"/>
              </w:rPr>
            </w:pPr>
            <w:r w:rsidRPr="006442FB">
              <w:rPr>
                <w:rFonts w:asciiTheme="minorHAnsi" w:hAnsiTheme="minorHAnsi" w:cstheme="minorHAnsi"/>
                <w:b/>
                <w:sz w:val="22"/>
                <w:szCs w:val="22"/>
              </w:rPr>
              <w:t>Další informace  a odkazy</w:t>
            </w:r>
            <w:r w:rsidRPr="006442FB">
              <w:rPr>
                <w:rFonts w:asciiTheme="minorHAnsi" w:hAnsiTheme="minorHAnsi" w:cstheme="minorHAnsi"/>
                <w:sz w:val="22"/>
                <w:szCs w:val="22"/>
              </w:rPr>
              <w:t xml:space="preserve"> </w:t>
            </w:r>
          </w:p>
        </w:tc>
      </w:tr>
      <w:tr w:rsidR="006442FB" w:rsidRPr="006442FB" w:rsidTr="00557FFB">
        <w:tc>
          <w:tcPr>
            <w:tcW w:w="2828"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t>Digitální Česko</w:t>
            </w:r>
          </w:p>
        </w:tc>
        <w:tc>
          <w:tcPr>
            <w:tcW w:w="124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MPO</w:t>
            </w:r>
          </w:p>
        </w:tc>
        <w:tc>
          <w:tcPr>
            <w:tcW w:w="4445"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Dne 19. ledna 2011 vláda usnesením č. 50 schválila Státní politiku v elektronických komunikacích - Digitální Česko. Tento dokument byl vypracován na základě tezí a následných připomínek ze soukromého i veřejného sektoru a je rámcovým dokumentem, na který ve spolupráci s ostatními zainteresovanými ústředními orgány státní správy navazovaly další praktické kroky k dosažení cílů Digitálního Česka.</w:t>
            </w: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Prioritou této politiky je podpořit přístup obyvatel České republiky k vysokorychlostnímu internetu s hlavním cílem snížit tzv. "digitální propast" mezi venkovskými sídly a městy.</w:t>
            </w:r>
          </w:p>
          <w:p w:rsidR="006442FB" w:rsidRPr="006442FB" w:rsidRDefault="006442FB" w:rsidP="006E6B3F">
            <w:pPr>
              <w:jc w:val="both"/>
              <w:rPr>
                <w:rFonts w:asciiTheme="minorHAnsi" w:hAnsiTheme="minorHAnsi" w:cstheme="minorHAnsi"/>
                <w:sz w:val="22"/>
                <w:szCs w:val="22"/>
              </w:rPr>
            </w:pP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Dokument hodnotil v té době aktuální stav dostupnosti a rozvoje elektronických komunikací v České republice s největším potenciálem růstu a navrhuje potřebné nástroje pro splnění reálných cílů, které by zajistily přiměřenou podporu ekonomického a sociálního rozvoje české společnosti v rámci prosazujících se globalizačních trendů.</w:t>
            </w: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xml:space="preserve">Klíčové aspekty byly přeneseny do aktualizované státní politiky v elektronických komunikacích - Digitální Česko v. 2.0, Cesta k digitální ekonomice.  </w:t>
            </w:r>
          </w:p>
          <w:p w:rsidR="006442FB" w:rsidRPr="006442FB" w:rsidRDefault="00400236" w:rsidP="006E6B3F">
            <w:pPr>
              <w:jc w:val="both"/>
              <w:rPr>
                <w:rFonts w:asciiTheme="minorHAnsi" w:hAnsiTheme="minorHAnsi" w:cstheme="minorHAnsi"/>
                <w:sz w:val="22"/>
                <w:szCs w:val="22"/>
              </w:rPr>
            </w:pPr>
            <w:hyperlink r:id="rId60" w:history="1">
              <w:r w:rsidR="006442FB" w:rsidRPr="006442FB">
                <w:rPr>
                  <w:rStyle w:val="Hypertextovodkaz"/>
                  <w:rFonts w:asciiTheme="minorHAnsi" w:hAnsiTheme="minorHAnsi" w:cstheme="minorHAnsi"/>
                  <w:sz w:val="22"/>
                  <w:szCs w:val="22"/>
                </w:rPr>
                <w:t>http://www.mpo.cz/dokument83642.html</w:t>
              </w:r>
            </w:hyperlink>
          </w:p>
        </w:tc>
      </w:tr>
      <w:tr w:rsidR="006442FB" w:rsidRPr="006442FB" w:rsidTr="00557FFB">
        <w:tc>
          <w:tcPr>
            <w:tcW w:w="2828"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t>Digitální Česko v. 2.0 – Cesta k digitální ekonomice</w:t>
            </w:r>
          </w:p>
        </w:tc>
        <w:tc>
          <w:tcPr>
            <w:tcW w:w="124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MPO</w:t>
            </w:r>
          </w:p>
        </w:tc>
        <w:tc>
          <w:tcPr>
            <w:tcW w:w="4445"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xml:space="preserve">Dne 20. března 2013 vláda svým usnesením č. 203 schválila materiál aktualizované státní politiky v elektronických komunikacích - </w:t>
            </w:r>
            <w:r w:rsidRPr="006442FB">
              <w:rPr>
                <w:rFonts w:asciiTheme="minorHAnsi" w:hAnsiTheme="minorHAnsi" w:cstheme="minorHAnsi"/>
                <w:sz w:val="22"/>
                <w:szCs w:val="22"/>
              </w:rPr>
              <w:lastRenderedPageBreak/>
              <w:t xml:space="preserve">Digitální Česko v. 2.0, Cesta k digitální ekonomice. </w:t>
            </w:r>
          </w:p>
          <w:p w:rsidR="006442FB" w:rsidRPr="006442FB" w:rsidRDefault="006442FB" w:rsidP="006E6B3F">
            <w:pPr>
              <w:jc w:val="both"/>
              <w:rPr>
                <w:rFonts w:asciiTheme="minorHAnsi" w:hAnsiTheme="minorHAnsi" w:cstheme="minorHAnsi"/>
                <w:sz w:val="22"/>
                <w:szCs w:val="22"/>
              </w:rPr>
            </w:pP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Aktualizovaná koncepce je postavena na třech pilířích, a to podpoře budování kvalitní infrastruktury, rozvoji digitálních služeb a zvyšování digitální gramotnosti.</w:t>
            </w:r>
          </w:p>
          <w:p w:rsidR="006442FB" w:rsidRPr="006442FB" w:rsidRDefault="006442FB" w:rsidP="006E6B3F">
            <w:pPr>
              <w:jc w:val="both"/>
              <w:rPr>
                <w:rFonts w:asciiTheme="minorHAnsi" w:hAnsiTheme="minorHAnsi" w:cstheme="minorHAnsi"/>
                <w:sz w:val="22"/>
                <w:szCs w:val="22"/>
              </w:rPr>
            </w:pP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xml:space="preserve">V souladu s evropskou Digitální agendou si vláda stanovila cíl v oblasti vysokorychlostního přístupu k internetu, a to rozvoj vysokorychlostních přístupových sítí k internetu umožňujících přenosové rychlosti 30 </w:t>
            </w:r>
            <w:proofErr w:type="spellStart"/>
            <w:r w:rsidRPr="006442FB">
              <w:rPr>
                <w:rFonts w:asciiTheme="minorHAnsi" w:hAnsiTheme="minorHAnsi" w:cstheme="minorHAnsi"/>
                <w:sz w:val="22"/>
                <w:szCs w:val="22"/>
              </w:rPr>
              <w:t>Mbit</w:t>
            </w:r>
            <w:proofErr w:type="spellEnd"/>
            <w:r w:rsidRPr="006442FB">
              <w:rPr>
                <w:rFonts w:asciiTheme="minorHAnsi" w:hAnsiTheme="minorHAnsi" w:cstheme="minorHAnsi"/>
                <w:sz w:val="22"/>
                <w:szCs w:val="22"/>
              </w:rPr>
              <w:t xml:space="preserve">/s do roku 2020 pro všechny obyvatele a 100 </w:t>
            </w:r>
            <w:proofErr w:type="spellStart"/>
            <w:r w:rsidRPr="006442FB">
              <w:rPr>
                <w:rFonts w:asciiTheme="minorHAnsi" w:hAnsiTheme="minorHAnsi" w:cstheme="minorHAnsi"/>
                <w:sz w:val="22"/>
                <w:szCs w:val="22"/>
              </w:rPr>
              <w:t>Mbit</w:t>
            </w:r>
            <w:proofErr w:type="spellEnd"/>
            <w:r w:rsidRPr="006442FB">
              <w:rPr>
                <w:rFonts w:asciiTheme="minorHAnsi" w:hAnsiTheme="minorHAnsi" w:cstheme="minorHAnsi"/>
                <w:sz w:val="22"/>
                <w:szCs w:val="22"/>
              </w:rPr>
              <w:t>/s minimálně pro polovinu domácností.</w:t>
            </w:r>
          </w:p>
          <w:p w:rsidR="006442FB" w:rsidRPr="006442FB" w:rsidRDefault="006442FB" w:rsidP="006E6B3F">
            <w:pPr>
              <w:jc w:val="both"/>
              <w:rPr>
                <w:rFonts w:asciiTheme="minorHAnsi" w:hAnsiTheme="minorHAnsi" w:cstheme="minorHAnsi"/>
                <w:sz w:val="22"/>
                <w:szCs w:val="22"/>
              </w:rPr>
            </w:pP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xml:space="preserve">Mezi další cíle vlády do roku 2020, stanovené předmětným materiálem, patří například efektivní využívání rádiového spektra ve prospěch koncových uživatelů, posílení samoregulačních mechanismů digitální ekonomiky, zvyšování dostupnosti ICT pro všechny bez ohledu na lokalitu, sociální postavení nebo zdravotní postižení nebo podpora celoživotního vzdělávání za účelem posílení digitální gramotnosti. </w:t>
            </w:r>
          </w:p>
          <w:p w:rsidR="006442FB" w:rsidRPr="006442FB" w:rsidRDefault="006442FB" w:rsidP="006E6B3F">
            <w:pPr>
              <w:jc w:val="both"/>
              <w:rPr>
                <w:rFonts w:asciiTheme="minorHAnsi" w:hAnsiTheme="minorHAnsi" w:cstheme="minorHAnsi"/>
                <w:sz w:val="22"/>
                <w:szCs w:val="22"/>
              </w:rPr>
            </w:pP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xml:space="preserve">Tyto cíle jsou realizovány prostřednictvím 17 opatření, Mezi tato opatření patří například zpracování Strategie správy rádiového spektra, podpora přechodu na internetový protokol verze 6, vyhodnocování dopadů využívání </w:t>
            </w:r>
            <w:r w:rsidRPr="006442FB">
              <w:rPr>
                <w:rFonts w:asciiTheme="minorHAnsi" w:hAnsiTheme="minorHAnsi" w:cstheme="minorHAnsi"/>
                <w:sz w:val="22"/>
                <w:szCs w:val="22"/>
              </w:rPr>
              <w:lastRenderedPageBreak/>
              <w:t>nových technologií v oblasti ICT, mimo jiné i z hlediska kybernetické bezpečnosti, a podpora legální nabídky digitálního obsahu. Sledováním plnění těchto opatření je pověřena společně s Ministerstvem průmyslu a obchodu Rada vlády pro konkurenceschopnost a informační společnost. Předpokládá se rovněž aktivní účast odborné veřejnosti na naplňování této státní politiky.</w:t>
            </w: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lastRenderedPageBreak/>
              <w:t xml:space="preserve">Hlavním cílem je podpořit potenciál České republiky v oblasti rozvoje moderních </w:t>
            </w:r>
            <w:r w:rsidRPr="006442FB">
              <w:rPr>
                <w:rFonts w:asciiTheme="minorHAnsi" w:hAnsiTheme="minorHAnsi" w:cstheme="minorHAnsi"/>
                <w:sz w:val="22"/>
                <w:szCs w:val="22"/>
              </w:rPr>
              <w:lastRenderedPageBreak/>
              <w:t xml:space="preserve">informačních a komunikačních technologií a služeb, které jsou jejich prostřednictvím poskytovány. V souladu s evropskou Digitální agendou si vláda stanovuje cíl v oblasti vysokorychlostního přístupu k internetu, a to rozvoj vysokorychlostních přístupových sítí k internetu umožňujících přenosové rychlosti 30 </w:t>
            </w:r>
            <w:proofErr w:type="spellStart"/>
            <w:r w:rsidRPr="006442FB">
              <w:rPr>
                <w:rFonts w:asciiTheme="minorHAnsi" w:hAnsiTheme="minorHAnsi" w:cstheme="minorHAnsi"/>
                <w:sz w:val="22"/>
                <w:szCs w:val="22"/>
              </w:rPr>
              <w:t>Mbit</w:t>
            </w:r>
            <w:proofErr w:type="spellEnd"/>
            <w:r w:rsidRPr="006442FB">
              <w:rPr>
                <w:rFonts w:asciiTheme="minorHAnsi" w:hAnsiTheme="minorHAnsi" w:cstheme="minorHAnsi"/>
                <w:sz w:val="22"/>
                <w:szCs w:val="22"/>
              </w:rPr>
              <w:t xml:space="preserve">/s do roku 2020 pro všechny obyvatele a 100 </w:t>
            </w:r>
            <w:proofErr w:type="spellStart"/>
            <w:r w:rsidRPr="006442FB">
              <w:rPr>
                <w:rFonts w:asciiTheme="minorHAnsi" w:hAnsiTheme="minorHAnsi" w:cstheme="minorHAnsi"/>
                <w:sz w:val="22"/>
                <w:szCs w:val="22"/>
              </w:rPr>
              <w:t>Mbit</w:t>
            </w:r>
            <w:proofErr w:type="spellEnd"/>
            <w:r w:rsidRPr="006442FB">
              <w:rPr>
                <w:rFonts w:asciiTheme="minorHAnsi" w:hAnsiTheme="minorHAnsi" w:cstheme="minorHAnsi"/>
                <w:sz w:val="22"/>
                <w:szCs w:val="22"/>
              </w:rPr>
              <w:t>/s minimálně pro polovinu domácností.</w:t>
            </w: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lastRenderedPageBreak/>
              <w:t xml:space="preserve">Dne 21. května 2014 vláda svým usnesením č. 370 schválila materiál "Zpráva o </w:t>
            </w:r>
            <w:r w:rsidRPr="006442FB">
              <w:rPr>
                <w:rFonts w:asciiTheme="minorHAnsi" w:hAnsiTheme="minorHAnsi" w:cstheme="minorHAnsi"/>
                <w:sz w:val="22"/>
                <w:szCs w:val="22"/>
              </w:rPr>
              <w:lastRenderedPageBreak/>
              <w:t>plnění opatření aktualizované Státní politiky v elektronických komunikacích ‚Digitální Česko v. 2.0 — Cesta k digitální ekonomice‘ a o naplňování Digitální agendy pro Evropu v ČR".</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Zpráva je členěna na dvě části. První část informuje vládu o plnění opatření Digitální Česko v. 2.0. Druhá část materiálu informuje vládu o aktuálním stavu plnění strategie Evropské komise Digitální agenda pro Evropu v České republice.</w:t>
            </w:r>
          </w:p>
          <w:p w:rsidR="006442FB" w:rsidRPr="006442FB" w:rsidRDefault="006442FB" w:rsidP="006E6B3F">
            <w:pPr>
              <w:rPr>
                <w:rFonts w:asciiTheme="minorHAnsi" w:hAnsiTheme="minorHAnsi" w:cstheme="minorHAnsi"/>
                <w:sz w:val="22"/>
                <w:szCs w:val="22"/>
              </w:rPr>
            </w:pPr>
          </w:p>
          <w:p w:rsidR="006442FB" w:rsidRPr="006442FB" w:rsidRDefault="00400236" w:rsidP="006E6B3F">
            <w:pPr>
              <w:rPr>
                <w:rFonts w:asciiTheme="minorHAnsi" w:hAnsiTheme="minorHAnsi" w:cstheme="minorHAnsi"/>
                <w:sz w:val="22"/>
                <w:szCs w:val="22"/>
              </w:rPr>
            </w:pPr>
            <w:hyperlink r:id="rId61" w:history="1">
              <w:r w:rsidR="006442FB" w:rsidRPr="006442FB">
                <w:rPr>
                  <w:rStyle w:val="Hypertextovodkaz"/>
                  <w:rFonts w:asciiTheme="minorHAnsi" w:hAnsiTheme="minorHAnsi" w:cstheme="minorHAnsi"/>
                  <w:sz w:val="22"/>
                  <w:szCs w:val="22"/>
                </w:rPr>
                <w:t>http://www.mpo.cz/assets/cz/e-komunikace-a-posta/Internet/2013/4/Digi_esko_v.2.0.pdf</w:t>
              </w:r>
            </w:hyperlink>
          </w:p>
        </w:tc>
      </w:tr>
      <w:tr w:rsidR="006442FB" w:rsidRPr="006442FB" w:rsidTr="00557FFB">
        <w:tc>
          <w:tcPr>
            <w:tcW w:w="2828"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lastRenderedPageBreak/>
              <w:t>Koncepce podpory malých a středních podnikatelů na období let  2014-2020</w:t>
            </w:r>
          </w:p>
        </w:tc>
        <w:tc>
          <w:tcPr>
            <w:tcW w:w="124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MPO</w:t>
            </w:r>
          </w:p>
        </w:tc>
        <w:tc>
          <w:tcPr>
            <w:tcW w:w="4445"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Koncepce podpory malých a středních podnikatelů na období let 2014–2020 (Koncepce MSP 2014+) přijatá usnesením vlády ČR ze dne 12. prosince 2012 č. 923 představuje zásadní strategický dokument pro přípravu programovacího období kohezní politiky EU 2014–2020 v oblasti podnikání, a to zejména v rámci přípravy nového Operačního programu Podnikání a inovace pro konkurenceschopnost. Stejně tak je Koncepce MSP 2014+ důležitá i pro přípravu národních programů na podporu malých a středních podnikatelů. Mimo to řeší i podmínky podnikání MSP obecně a klade si také za cíl motivovat podnikatele k využívání finančních prostředků pro rozvoj svého podnikání z unijních programů EU.</w:t>
            </w: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ÚVOD</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1 Vazby na strategické dokumenty EU a ČR</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1.1 Legislativní prostředí EU</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1.2 Legislativní prostředí ČR</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1.3 Strategické dokumenty EU</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1.4 Strategické dokumenty ČR</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lastRenderedPageBreak/>
              <w:t>2 Ekonomická</w:t>
            </w:r>
            <w:r w:rsidR="00C44945">
              <w:rPr>
                <w:rFonts w:asciiTheme="minorHAnsi" w:hAnsiTheme="minorHAnsi" w:cstheme="minorHAnsi"/>
                <w:sz w:val="22"/>
                <w:szCs w:val="22"/>
              </w:rPr>
              <w:t xml:space="preserve"> </w:t>
            </w:r>
            <w:r w:rsidRPr="006442FB">
              <w:rPr>
                <w:rFonts w:asciiTheme="minorHAnsi" w:hAnsiTheme="minorHAnsi" w:cstheme="minorHAnsi"/>
                <w:sz w:val="22"/>
                <w:szCs w:val="22"/>
              </w:rPr>
              <w:t xml:space="preserve"> situace České republiky</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2.1 Vývoj makroekonomických ukazatelů ČR</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2.2 SWOT analýza české ekonomiky</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3 Analýza podnikatelské prostředí ČR z pohledu hodnocení administrativní zátěže</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4 Analýza sektoru malých a středních podnikatelů v ČR</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4.1 Definice MSP</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4.2 Vývoj počtu MSP</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4.3 Vývoj zaměstnanosti a mezd u MSP</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4.4 Vývoj hl. ekonomických ukazatelů MSP</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4.5 Odvětvová analýza MSP</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4.6 Přístup MSP ke kapitálu</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4.7 Úspěšnost MSP ve veřejných zakázkách</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4.8 Analýza podnikatelské aktivity</w:t>
            </w:r>
          </w:p>
          <w:p w:rsidR="006442FB" w:rsidRPr="006442FB" w:rsidRDefault="006442FB" w:rsidP="006E6B3F">
            <w:pPr>
              <w:jc w:val="both"/>
              <w:rPr>
                <w:rFonts w:asciiTheme="minorHAnsi" w:hAnsiTheme="minorHAnsi" w:cstheme="minorHAnsi"/>
                <w:i/>
                <w:sz w:val="22"/>
                <w:szCs w:val="22"/>
              </w:rPr>
            </w:pPr>
            <w:r w:rsidRPr="006442FB">
              <w:rPr>
                <w:rFonts w:asciiTheme="minorHAnsi" w:hAnsiTheme="minorHAnsi" w:cstheme="minorHAnsi"/>
                <w:sz w:val="22"/>
                <w:szCs w:val="22"/>
              </w:rPr>
              <w:t xml:space="preserve">4.9 ICT – Prostředí a příležitosti pro MSP – </w:t>
            </w:r>
            <w:r w:rsidRPr="006442FB">
              <w:rPr>
                <w:rFonts w:asciiTheme="minorHAnsi" w:hAnsiTheme="minorHAnsi" w:cstheme="minorHAnsi"/>
                <w:i/>
                <w:sz w:val="22"/>
                <w:szCs w:val="22"/>
              </w:rPr>
              <w:t xml:space="preserve">Kapitola je věnována MSP a ICT. Data pocházejí ze studie provedené společností </w:t>
            </w:r>
            <w:proofErr w:type="spellStart"/>
            <w:r w:rsidRPr="006442FB">
              <w:rPr>
                <w:rFonts w:asciiTheme="minorHAnsi" w:hAnsiTheme="minorHAnsi" w:cstheme="minorHAnsi"/>
                <w:i/>
                <w:sz w:val="22"/>
                <w:szCs w:val="22"/>
              </w:rPr>
              <w:t>The</w:t>
            </w:r>
            <w:proofErr w:type="spellEnd"/>
            <w:r w:rsidRPr="006442FB">
              <w:rPr>
                <w:rFonts w:asciiTheme="minorHAnsi" w:hAnsiTheme="minorHAnsi" w:cstheme="minorHAnsi"/>
                <w:i/>
                <w:sz w:val="22"/>
                <w:szCs w:val="22"/>
              </w:rPr>
              <w:t xml:space="preserve"> Boston </w:t>
            </w:r>
            <w:proofErr w:type="spellStart"/>
            <w:r w:rsidRPr="006442FB">
              <w:rPr>
                <w:rFonts w:asciiTheme="minorHAnsi" w:hAnsiTheme="minorHAnsi" w:cstheme="minorHAnsi"/>
                <w:i/>
                <w:sz w:val="22"/>
                <w:szCs w:val="22"/>
              </w:rPr>
              <w:t>Consulting</w:t>
            </w:r>
            <w:proofErr w:type="spellEnd"/>
            <w:r w:rsidRPr="006442FB">
              <w:rPr>
                <w:rFonts w:asciiTheme="minorHAnsi" w:hAnsiTheme="minorHAnsi" w:cstheme="minorHAnsi"/>
                <w:i/>
                <w:sz w:val="22"/>
                <w:szCs w:val="22"/>
              </w:rPr>
              <w:t xml:space="preserve"> Group – Země internetová. ICT přinášejí MSP potenciál pro rozvoj jejich aktivit a také jim otevírají nové příležitosti či možnosti konkurovat velkým podnikům, a to zejména pokud se jedná o komunikaci se zákazníky, rychlost vyřizování požadavků aj. Internet pomáhá vytvářet pro všechny stejné podmínky a zvyšuje pravděpodobnost rozšíření působení MSP na další trhy, a to vše díky internetové reklamě a nástrojům, které jsou mnohem méně náročné na zdroje než klasická reklama či běžné prodejní kanály. Podniky, které fungují v online prostředí nebo alespoň část aktivit poskytují online, jsou v období recese oproti ostatním stabilnější. Do </w:t>
            </w:r>
            <w:r w:rsidRPr="006442FB">
              <w:rPr>
                <w:rFonts w:asciiTheme="minorHAnsi" w:hAnsiTheme="minorHAnsi" w:cstheme="minorHAnsi"/>
                <w:i/>
                <w:sz w:val="22"/>
                <w:szCs w:val="22"/>
              </w:rPr>
              <w:lastRenderedPageBreak/>
              <w:t>budoucna je tak důležité podporovat výstavbu infrastruktury pro vysokorychlostní přístup k internetu a stimulovat zapojení MSP do ICT.</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5 Analýza inovační výkonnosti</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5.1 Umístění ČR v žebříčcích konkurenceschopnosti a inovační výkonnosti</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xml:space="preserve">5.2 </w:t>
            </w:r>
            <w:proofErr w:type="spellStart"/>
            <w:r w:rsidRPr="006442FB">
              <w:rPr>
                <w:rFonts w:asciiTheme="minorHAnsi" w:hAnsiTheme="minorHAnsi" w:cstheme="minorHAnsi"/>
                <w:sz w:val="22"/>
                <w:szCs w:val="22"/>
              </w:rPr>
              <w:t>VaV</w:t>
            </w:r>
            <w:proofErr w:type="spellEnd"/>
            <w:r w:rsidRPr="006442FB">
              <w:rPr>
                <w:rFonts w:asciiTheme="minorHAnsi" w:hAnsiTheme="minorHAnsi" w:cstheme="minorHAnsi"/>
                <w:sz w:val="22"/>
                <w:szCs w:val="22"/>
              </w:rPr>
              <w:t xml:space="preserve"> – výdaje, lidské zdroje a výzkumná infrastruktura</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5.3 Výdaje na inovace, výše podpory z veřejných zdrojů a rizikový kapitál</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5.4 Inovační aktivity</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5.5 Spolupráce mezi aktéry inovačního systému z pohledu MSP</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5.6 Rozsah trhu pro inovační podniky</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5.7 Ochrana duševního vlastnictví</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6 Analýza energetické náročnosti podnikání v ČR</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6.1 Vývoj energetické náročnosti podnikatelského sektoru</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6.2 Stav energetické efektivnosti dle NAPEE II. ČR</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6.3 Stav rozvoje výroby energie z obnovitelných zdrojů v ČR</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6.4 Podpora vyššího využívání druhotných surovin</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xml:space="preserve">7 SWOT analýza malých a středních podnikatelů v ČR </w:t>
            </w:r>
          </w:p>
          <w:p w:rsidR="006442FB" w:rsidRPr="006442FB" w:rsidRDefault="006442FB" w:rsidP="006E6B3F">
            <w:pPr>
              <w:rPr>
                <w:rFonts w:asciiTheme="minorHAnsi" w:hAnsiTheme="minorHAnsi" w:cstheme="minorHAnsi"/>
                <w:b/>
                <w:sz w:val="22"/>
                <w:szCs w:val="22"/>
              </w:rPr>
            </w:pPr>
          </w:p>
          <w:p w:rsidR="006442FB" w:rsidRPr="006442FB" w:rsidRDefault="006442FB" w:rsidP="006E6B3F">
            <w:pPr>
              <w:rPr>
                <w:rFonts w:asciiTheme="minorHAnsi" w:hAnsiTheme="minorHAnsi" w:cstheme="minorHAnsi"/>
                <w:b/>
                <w:sz w:val="22"/>
                <w:szCs w:val="22"/>
              </w:rPr>
            </w:pPr>
            <w:r w:rsidRPr="006442FB">
              <w:rPr>
                <w:rFonts w:asciiTheme="minorHAnsi" w:hAnsiTheme="minorHAnsi" w:cstheme="minorHAnsi"/>
                <w:b/>
                <w:sz w:val="22"/>
                <w:szCs w:val="22"/>
              </w:rPr>
              <w:t>SCHÉMATICKÉ EXECUTIVE SUMMARY ANALYTICKÉ ČÁSTI</w:t>
            </w: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8 Koncepce podpory malých a středních podnikatelů na období let 2014-2020</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lastRenderedPageBreak/>
              <w:t>8.1 Preambule</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8.2 Strategická vize</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8.3 Globální a hlavní cíle</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8.4 Strategické priority</w:t>
            </w:r>
          </w:p>
          <w:p w:rsidR="006442FB" w:rsidRPr="006442FB" w:rsidRDefault="006442FB" w:rsidP="006E6B3F">
            <w:pPr>
              <w:rPr>
                <w:rFonts w:asciiTheme="minorHAnsi" w:hAnsiTheme="minorHAnsi" w:cstheme="minorHAnsi"/>
                <w:b/>
                <w:i/>
                <w:sz w:val="22"/>
                <w:szCs w:val="22"/>
              </w:rPr>
            </w:pPr>
          </w:p>
          <w:p w:rsidR="006442FB" w:rsidRPr="006442FB" w:rsidRDefault="006442FB" w:rsidP="006E6B3F">
            <w:pPr>
              <w:rPr>
                <w:rFonts w:asciiTheme="minorHAnsi" w:hAnsiTheme="minorHAnsi" w:cstheme="minorHAnsi"/>
                <w:i/>
                <w:sz w:val="22"/>
                <w:szCs w:val="22"/>
              </w:rPr>
            </w:pPr>
            <w:r w:rsidRPr="006442FB">
              <w:rPr>
                <w:rFonts w:asciiTheme="minorHAnsi" w:hAnsiTheme="minorHAnsi" w:cstheme="minorHAnsi"/>
                <w:b/>
                <w:i/>
                <w:sz w:val="22"/>
                <w:szCs w:val="22"/>
              </w:rPr>
              <w:t xml:space="preserve">8.4.1 Strategická priorita č. 1 – Kultivace podnikatelského prostředí, rozvoj poradenských služeb a vzdělávání pro podnikání </w:t>
            </w:r>
            <w:r w:rsidRPr="006442FB">
              <w:rPr>
                <w:rFonts w:asciiTheme="minorHAnsi" w:hAnsiTheme="minorHAnsi" w:cstheme="minorHAnsi"/>
                <w:i/>
                <w:sz w:val="22"/>
                <w:szCs w:val="22"/>
              </w:rPr>
              <w:t>(Zlepšování podnikatelského prostředí v ČR;  Efektivnější poradenské služby pro podnikatele; Vzdělávání pro podnikání;  Přístup MSP k financím)</w:t>
            </w:r>
          </w:p>
          <w:p w:rsidR="006442FB" w:rsidRPr="006442FB" w:rsidRDefault="006442FB" w:rsidP="006E6B3F">
            <w:pPr>
              <w:rPr>
                <w:rFonts w:asciiTheme="minorHAnsi" w:hAnsiTheme="minorHAnsi" w:cstheme="minorHAnsi"/>
                <w:b/>
                <w:i/>
                <w:sz w:val="22"/>
                <w:szCs w:val="22"/>
              </w:rPr>
            </w:pPr>
          </w:p>
          <w:p w:rsidR="006442FB" w:rsidRPr="006442FB" w:rsidRDefault="006442FB" w:rsidP="006E6B3F">
            <w:pPr>
              <w:rPr>
                <w:rFonts w:asciiTheme="minorHAnsi" w:hAnsiTheme="minorHAnsi" w:cstheme="minorHAnsi"/>
                <w:b/>
                <w:i/>
                <w:sz w:val="22"/>
                <w:szCs w:val="22"/>
              </w:rPr>
            </w:pPr>
            <w:r w:rsidRPr="006442FB">
              <w:rPr>
                <w:rFonts w:asciiTheme="minorHAnsi" w:hAnsiTheme="minorHAnsi" w:cstheme="minorHAnsi"/>
                <w:b/>
                <w:i/>
                <w:sz w:val="22"/>
                <w:szCs w:val="22"/>
              </w:rPr>
              <w:t xml:space="preserve">8.4.2 Strategická priorita č. 2 – Rozvoj podnikání založeného na podpoře výzkumu, vývoje a inovací, včetně inovační a podnikatelské infrastruktury </w:t>
            </w:r>
            <w:r w:rsidRPr="006442FB">
              <w:rPr>
                <w:rFonts w:asciiTheme="minorHAnsi" w:hAnsiTheme="minorHAnsi" w:cstheme="minorHAnsi"/>
                <w:i/>
                <w:sz w:val="22"/>
                <w:szCs w:val="22"/>
              </w:rPr>
              <w:t>(Výzkumné, vývojové a inovační aktivity MSP a spolupráce s výzkumnými organizacemi; Inovační a podnikatelská infrastruktura; Podpora inovací prostřednictvím poptávkových nástrojů</w:t>
            </w:r>
            <w:r w:rsidRPr="006442FB">
              <w:rPr>
                <w:rFonts w:asciiTheme="minorHAnsi" w:hAnsiTheme="minorHAnsi" w:cstheme="minorHAnsi"/>
                <w:b/>
                <w:i/>
                <w:sz w:val="22"/>
                <w:szCs w:val="22"/>
              </w:rPr>
              <w:t>).</w:t>
            </w:r>
          </w:p>
          <w:p w:rsidR="006442FB" w:rsidRPr="006442FB" w:rsidRDefault="006442FB" w:rsidP="006E6B3F">
            <w:pPr>
              <w:jc w:val="both"/>
              <w:rPr>
                <w:rFonts w:asciiTheme="minorHAnsi" w:hAnsiTheme="minorHAnsi" w:cstheme="minorHAnsi"/>
                <w:i/>
                <w:sz w:val="22"/>
                <w:szCs w:val="22"/>
              </w:rPr>
            </w:pPr>
            <w:r w:rsidRPr="006442FB">
              <w:rPr>
                <w:rFonts w:asciiTheme="minorHAnsi" w:hAnsiTheme="minorHAnsi" w:cstheme="minorHAnsi"/>
                <w:i/>
                <w:sz w:val="22"/>
                <w:szCs w:val="22"/>
              </w:rPr>
              <w:t>Rozvoj digitální ekonomiky a center progresivních ICT služeb - podpora je zaměřena na posílení konkurenceschopnosti MSP prostřednictvím podpory rozvoje progresivních ICT v podnicích. Sektor ICT se stává stále důležitější, stále zvyšuje svůj podíl na fungování podniků i na tvorbě HDP. Současně ICT podporují i inovační procesy v ostatních odvětvích. Opatření: Rozvoj digitální ekonomiky – center progresivních ICT služeb; Podpora rozvoje ICT v malých a středních podnicích.)</w:t>
            </w:r>
          </w:p>
          <w:p w:rsidR="006442FB" w:rsidRPr="006442FB" w:rsidRDefault="006442FB" w:rsidP="006E6B3F">
            <w:pPr>
              <w:rPr>
                <w:rFonts w:asciiTheme="minorHAnsi" w:hAnsiTheme="minorHAnsi" w:cstheme="minorHAnsi"/>
                <w:b/>
                <w:i/>
                <w:sz w:val="22"/>
                <w:szCs w:val="22"/>
              </w:rPr>
            </w:pPr>
          </w:p>
          <w:p w:rsidR="006442FB" w:rsidRPr="006442FB" w:rsidRDefault="006442FB" w:rsidP="006E6B3F">
            <w:pPr>
              <w:rPr>
                <w:rFonts w:asciiTheme="minorHAnsi" w:hAnsiTheme="minorHAnsi" w:cstheme="minorHAnsi"/>
                <w:b/>
                <w:i/>
                <w:sz w:val="22"/>
                <w:szCs w:val="22"/>
              </w:rPr>
            </w:pPr>
            <w:r w:rsidRPr="006442FB">
              <w:rPr>
                <w:rFonts w:asciiTheme="minorHAnsi" w:hAnsiTheme="minorHAnsi" w:cstheme="minorHAnsi"/>
                <w:b/>
                <w:i/>
                <w:sz w:val="22"/>
                <w:szCs w:val="22"/>
              </w:rPr>
              <w:t>8.4.3 Strategická priorita č. 3 – Podpora internacionalizace MSP</w:t>
            </w:r>
          </w:p>
          <w:p w:rsidR="006442FB" w:rsidRPr="006442FB" w:rsidRDefault="006442FB" w:rsidP="006E6B3F">
            <w:pPr>
              <w:rPr>
                <w:rFonts w:asciiTheme="minorHAnsi" w:hAnsiTheme="minorHAnsi" w:cstheme="minorHAnsi"/>
                <w:b/>
                <w:i/>
                <w:sz w:val="22"/>
                <w:szCs w:val="22"/>
              </w:rPr>
            </w:pPr>
            <w:r w:rsidRPr="006442FB">
              <w:rPr>
                <w:rFonts w:asciiTheme="minorHAnsi" w:hAnsiTheme="minorHAnsi" w:cstheme="minorHAnsi"/>
                <w:b/>
                <w:i/>
                <w:sz w:val="22"/>
                <w:szCs w:val="22"/>
              </w:rPr>
              <w:t>8.4.4 Strategická priorita č. 4 – Udržitelné hospodaření s energií a rozvoj inovací v energetice</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8.5 Rámcové vymezení podporovaných odvětví</w:t>
            </w: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b/>
                <w:sz w:val="22"/>
                <w:szCs w:val="22"/>
              </w:rPr>
            </w:pPr>
            <w:r w:rsidRPr="006442FB">
              <w:rPr>
                <w:rFonts w:asciiTheme="minorHAnsi" w:hAnsiTheme="minorHAnsi" w:cstheme="minorHAnsi"/>
                <w:b/>
                <w:sz w:val="22"/>
                <w:szCs w:val="22"/>
              </w:rPr>
              <w:t>SCHÉMATICKÉ EXECUTIVE SUMMARY KONCEPČNÍ ČÁSTI</w:t>
            </w: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9 Realizace a monitoring Koncepce MSP 2014+</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10 Financování</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11 Harmonogram realizace a plán aktualizace Koncepce MSP 2014+</w:t>
            </w:r>
          </w:p>
          <w:p w:rsidR="006442FB" w:rsidRPr="006442FB" w:rsidRDefault="006442FB" w:rsidP="006E6B3F">
            <w:pPr>
              <w:jc w:val="both"/>
              <w:rPr>
                <w:rFonts w:asciiTheme="minorHAnsi" w:hAnsiTheme="minorHAnsi" w:cstheme="minorHAnsi"/>
                <w:sz w:val="22"/>
                <w:szCs w:val="22"/>
              </w:rPr>
            </w:pP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b/>
                <w:sz w:val="22"/>
                <w:szCs w:val="22"/>
              </w:rPr>
              <w:lastRenderedPageBreak/>
              <w:t xml:space="preserve">Globálním cílem </w:t>
            </w:r>
            <w:r w:rsidRPr="006442FB">
              <w:rPr>
                <w:rFonts w:asciiTheme="minorHAnsi" w:hAnsiTheme="minorHAnsi" w:cstheme="minorHAnsi"/>
                <w:sz w:val="22"/>
                <w:szCs w:val="22"/>
              </w:rPr>
              <w:t>Koncepce podpory malých a středních podnikatelů na období let 2014 2020 je kontinuální posilování konkurenceschopnosti a ekonomické výkonnosti malých a středních podnikatelů založené na kvalitním podnikatelském prostředí, na využití a rozvoji jejich inovačního potenciálu, znalostech a vzdělávání (</w:t>
            </w:r>
            <w:proofErr w:type="spellStart"/>
            <w:r w:rsidRPr="006442FB">
              <w:rPr>
                <w:rFonts w:asciiTheme="minorHAnsi" w:hAnsiTheme="minorHAnsi" w:cstheme="minorHAnsi"/>
                <w:sz w:val="22"/>
                <w:szCs w:val="22"/>
              </w:rPr>
              <w:t>upgrading</w:t>
            </w:r>
            <w:proofErr w:type="spellEnd"/>
            <w:r w:rsidRPr="006442FB">
              <w:rPr>
                <w:rFonts w:asciiTheme="minorHAnsi" w:hAnsiTheme="minorHAnsi" w:cstheme="minorHAnsi"/>
                <w:sz w:val="22"/>
                <w:szCs w:val="22"/>
              </w:rPr>
              <w:t xml:space="preserve"> malých a středních podniků k podnikání založenému na inovační konkurenční výhodě a posunu výše v hodnotových řetězcích), internacionalizaci vyplývající z vnitřního trhu EU a perspektivních trhů ve třetích zemích a celkovém snižování energetické </w:t>
            </w:r>
            <w:r w:rsidRPr="006442FB">
              <w:rPr>
                <w:rFonts w:asciiTheme="minorHAnsi" w:hAnsiTheme="minorHAnsi" w:cstheme="minorHAnsi"/>
                <w:sz w:val="22"/>
                <w:szCs w:val="22"/>
              </w:rPr>
              <w:lastRenderedPageBreak/>
              <w:t>náročnosti podnikání.</w:t>
            </w: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b/>
                <w:sz w:val="22"/>
                <w:szCs w:val="22"/>
              </w:rPr>
            </w:pPr>
            <w:r w:rsidRPr="006442FB">
              <w:rPr>
                <w:rFonts w:asciiTheme="minorHAnsi" w:hAnsiTheme="minorHAnsi" w:cstheme="minorHAnsi"/>
                <w:b/>
                <w:sz w:val="22"/>
                <w:szCs w:val="22"/>
              </w:rPr>
              <w:t>Hlavní cíle</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1. Posílení postavení malých a středních podnikatelů v české ekonomice a růst konkurenceschopnosti malých a středních podnikatelů v evropském a světovém kontextu.</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2. Rozvoj a zkvalitňování podnikatelského prostředí a zvyšování kvality poradenských služeb pro MSP, včetně zvýšení atraktivity technického a přírodovědného vzdělávání, posílení a rozvoje technické inteligence.</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3. Posílení inovační schopnosti a efektivního nakládání s duševním vlastnictvím malých a středních podnikatelů a rozvoj podnikatelské a inovační infrastruktury.</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4. Snižování energetické a materiálové náročnosti při podnikání malých a středních firem.</w:t>
            </w:r>
          </w:p>
          <w:p w:rsidR="006442FB" w:rsidRPr="006442FB" w:rsidRDefault="006442FB" w:rsidP="006E6B3F">
            <w:pPr>
              <w:rPr>
                <w:rFonts w:asciiTheme="minorHAnsi" w:hAnsiTheme="minorHAnsi" w:cstheme="minorHAnsi"/>
                <w:sz w:val="22"/>
                <w:szCs w:val="22"/>
              </w:rPr>
            </w:pPr>
          </w:p>
          <w:p w:rsidR="006442FB" w:rsidRPr="006442FB" w:rsidRDefault="006442FB" w:rsidP="006E6B3F">
            <w:pPr>
              <w:jc w:val="both"/>
              <w:rPr>
                <w:rFonts w:asciiTheme="minorHAnsi" w:hAnsiTheme="minorHAnsi" w:cstheme="minorHAnsi"/>
                <w:sz w:val="22"/>
                <w:szCs w:val="22"/>
              </w:rPr>
            </w:pP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400236" w:rsidP="006E6B3F">
            <w:pPr>
              <w:jc w:val="both"/>
              <w:rPr>
                <w:rStyle w:val="Hypertextovodkaz"/>
                <w:rFonts w:asciiTheme="minorHAnsi" w:hAnsiTheme="minorHAnsi" w:cstheme="minorHAnsi"/>
                <w:sz w:val="22"/>
                <w:szCs w:val="22"/>
              </w:rPr>
            </w:pPr>
            <w:hyperlink r:id="rId62" w:history="1">
              <w:r w:rsidR="006442FB" w:rsidRPr="006442FB">
                <w:rPr>
                  <w:rStyle w:val="Hypertextovodkaz"/>
                  <w:rFonts w:asciiTheme="minorHAnsi" w:hAnsiTheme="minorHAnsi" w:cstheme="minorHAnsi"/>
                  <w:sz w:val="22"/>
                  <w:szCs w:val="22"/>
                </w:rPr>
                <w:t>http://www.mpo.cz/dokument119071.html</w:t>
              </w:r>
            </w:hyperlink>
            <w:r w:rsidR="006442FB" w:rsidRPr="006442FB">
              <w:rPr>
                <w:rStyle w:val="Hypertextovodkaz"/>
                <w:rFonts w:asciiTheme="minorHAnsi" w:hAnsiTheme="minorHAnsi" w:cstheme="minorHAnsi"/>
                <w:sz w:val="22"/>
                <w:szCs w:val="22"/>
              </w:rPr>
              <w:t xml:space="preserve"> </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(CZ i EN verze)</w:t>
            </w:r>
          </w:p>
          <w:p w:rsidR="006442FB" w:rsidRPr="006442FB" w:rsidRDefault="00400236" w:rsidP="006E6B3F">
            <w:pPr>
              <w:jc w:val="both"/>
              <w:rPr>
                <w:rStyle w:val="Hypertextovodkaz"/>
                <w:rFonts w:asciiTheme="minorHAnsi" w:hAnsiTheme="minorHAnsi" w:cstheme="minorHAnsi"/>
                <w:sz w:val="22"/>
                <w:szCs w:val="22"/>
              </w:rPr>
            </w:pPr>
            <w:hyperlink r:id="rId63" w:history="1">
              <w:r w:rsidR="006442FB" w:rsidRPr="006442FB">
                <w:rPr>
                  <w:rStyle w:val="Hypertextovodkaz"/>
                  <w:rFonts w:asciiTheme="minorHAnsi" w:hAnsiTheme="minorHAnsi" w:cstheme="minorHAnsi"/>
                  <w:sz w:val="22"/>
                  <w:szCs w:val="22"/>
                </w:rPr>
                <w:t>http://databaze-strategie.cz/cz/mpo/strategie/koncepce-podpory-malych-a-strednich-podnikatelu-2014-2020</w:t>
              </w:r>
            </w:hyperlink>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Nástrojem realizace Koncepce MSP 2014+ je Operační program Podnikání a inovace pro konkurenceschopnost (OP PIK), dále je Koncepce MSP 2014+ realizována také národními programy na podporu podnikání.</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xml:space="preserve"> </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Realizace Koncepce je průběžně vyhodnocována v rámci Zprávy o vývoji malého a středního podnikání a jeho podpoře.</w:t>
            </w:r>
          </w:p>
          <w:p w:rsidR="006442FB" w:rsidRPr="006442FB" w:rsidRDefault="006442FB" w:rsidP="006E6B3F">
            <w:pPr>
              <w:jc w:val="both"/>
              <w:rPr>
                <w:rFonts w:asciiTheme="minorHAnsi" w:hAnsiTheme="minorHAnsi" w:cstheme="minorHAnsi"/>
                <w:sz w:val="22"/>
                <w:szCs w:val="22"/>
              </w:rPr>
            </w:pP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b/>
                <w:sz w:val="22"/>
                <w:szCs w:val="22"/>
              </w:rPr>
              <w:lastRenderedPageBreak/>
              <w:t xml:space="preserve">Podpora digitálního růstu a rozvoje digitální ekonomiky </w:t>
            </w:r>
            <w:r w:rsidRPr="006442FB">
              <w:rPr>
                <w:rFonts w:asciiTheme="minorHAnsi" w:hAnsiTheme="minorHAnsi" w:cstheme="minorHAnsi"/>
                <w:sz w:val="22"/>
                <w:szCs w:val="22"/>
              </w:rPr>
              <w:t>je zahrnuta ve strategické prioritě č. 2 Rozvoj podnikání založeného na podpoře výzkumu, vývoje a inovací, včetně inovační a podnikatelské infrastruktury a zejména se jí věnují následující dvě opatření: Rozvoj digitální ekonomiky – center progresivních ICT služeb; Podpora rozvoje ICT v malých a středních podnicích.</w:t>
            </w:r>
          </w:p>
          <w:p w:rsidR="006442FB" w:rsidRPr="006442FB" w:rsidRDefault="006442FB" w:rsidP="006E6B3F">
            <w:pPr>
              <w:jc w:val="both"/>
              <w:rPr>
                <w:rFonts w:asciiTheme="minorHAnsi" w:hAnsiTheme="minorHAnsi" w:cstheme="minorHAnsi"/>
                <w:sz w:val="22"/>
                <w:szCs w:val="22"/>
              </w:rPr>
            </w:pPr>
          </w:p>
        </w:tc>
      </w:tr>
      <w:tr w:rsidR="006442FB" w:rsidRPr="006442FB" w:rsidTr="00557FFB">
        <w:tc>
          <w:tcPr>
            <w:tcW w:w="2828"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lastRenderedPageBreak/>
              <w:t>Strategický rámec rozvoje veřejné správy ČR pro období 2014-2020</w:t>
            </w:r>
          </w:p>
        </w:tc>
        <w:tc>
          <w:tcPr>
            <w:tcW w:w="124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MV</w:t>
            </w:r>
          </w:p>
        </w:tc>
        <w:tc>
          <w:tcPr>
            <w:tcW w:w="4445"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b/>
                <w:sz w:val="22"/>
                <w:szCs w:val="22"/>
              </w:rPr>
              <w:t>Strategický rámec</w:t>
            </w:r>
            <w:r w:rsidRPr="006442FB">
              <w:rPr>
                <w:rFonts w:asciiTheme="minorHAnsi" w:hAnsiTheme="minorHAnsi" w:cstheme="minorHAnsi"/>
                <w:sz w:val="22"/>
                <w:szCs w:val="22"/>
              </w:rPr>
              <w:t xml:space="preserve"> je klíčovým koncepčním dokumentem, který stanoví směr rozvoje veřejné správy v ČR na další období, a to po konci realizace Strategie Smart </w:t>
            </w:r>
            <w:proofErr w:type="spellStart"/>
            <w:r w:rsidRPr="006442FB">
              <w:rPr>
                <w:rFonts w:asciiTheme="minorHAnsi" w:hAnsiTheme="minorHAnsi" w:cstheme="minorHAnsi"/>
                <w:sz w:val="22"/>
                <w:szCs w:val="22"/>
              </w:rPr>
              <w:t>Administration</w:t>
            </w:r>
            <w:proofErr w:type="spellEnd"/>
            <w:r w:rsidRPr="006442FB">
              <w:rPr>
                <w:rFonts w:asciiTheme="minorHAnsi" w:hAnsiTheme="minorHAnsi" w:cstheme="minorHAnsi"/>
                <w:sz w:val="22"/>
                <w:szCs w:val="22"/>
              </w:rPr>
              <w:t xml:space="preserve"> v roce 2015. Dne</w:t>
            </w:r>
            <w:r w:rsidRPr="006442FB">
              <w:rPr>
                <w:rFonts w:asciiTheme="minorHAnsi" w:hAnsiTheme="minorHAnsi" w:cstheme="minorHAnsi"/>
                <w:b/>
                <w:sz w:val="22"/>
                <w:szCs w:val="22"/>
              </w:rPr>
              <w:t xml:space="preserve"> 28. srpna 2014</w:t>
            </w:r>
            <w:r w:rsidRPr="006442FB">
              <w:rPr>
                <w:rFonts w:asciiTheme="minorHAnsi" w:hAnsiTheme="minorHAnsi" w:cstheme="minorHAnsi"/>
                <w:sz w:val="22"/>
                <w:szCs w:val="22"/>
              </w:rPr>
              <w:t xml:space="preserve"> byl </w:t>
            </w:r>
            <w:r w:rsidRPr="006442FB">
              <w:rPr>
                <w:rFonts w:asciiTheme="minorHAnsi" w:hAnsiTheme="minorHAnsi" w:cstheme="minorHAnsi"/>
                <w:b/>
                <w:sz w:val="22"/>
                <w:szCs w:val="22"/>
              </w:rPr>
              <w:t>schválen</w:t>
            </w:r>
            <w:r w:rsidRPr="006442FB">
              <w:rPr>
                <w:rFonts w:asciiTheme="minorHAnsi" w:hAnsiTheme="minorHAnsi" w:cstheme="minorHAnsi"/>
                <w:sz w:val="22"/>
                <w:szCs w:val="22"/>
              </w:rPr>
              <w:t xml:space="preserve"> vládou usnesením č. 680.</w:t>
            </w:r>
          </w:p>
          <w:p w:rsidR="006442FB" w:rsidRPr="006442FB" w:rsidRDefault="006442FB" w:rsidP="006E6B3F">
            <w:pPr>
              <w:jc w:val="both"/>
              <w:rPr>
                <w:rFonts w:asciiTheme="minorHAnsi" w:hAnsiTheme="minorHAnsi" w:cstheme="minorHAnsi"/>
                <w:sz w:val="22"/>
                <w:szCs w:val="22"/>
              </w:rPr>
            </w:pPr>
            <w:proofErr w:type="spellStart"/>
            <w:r w:rsidRPr="006442FB">
              <w:rPr>
                <w:rFonts w:asciiTheme="minorHAnsi" w:hAnsiTheme="minorHAnsi" w:cstheme="minorHAnsi"/>
                <w:sz w:val="22"/>
                <w:szCs w:val="22"/>
              </w:rPr>
              <w:t>Subkritérium</w:t>
            </w:r>
            <w:proofErr w:type="spellEnd"/>
            <w:r w:rsidRPr="006442FB">
              <w:rPr>
                <w:rFonts w:asciiTheme="minorHAnsi" w:hAnsiTheme="minorHAnsi" w:cstheme="minorHAnsi"/>
                <w:sz w:val="22"/>
                <w:szCs w:val="22"/>
              </w:rPr>
              <w:t xml:space="preserve"> týkající se </w:t>
            </w:r>
            <w:r w:rsidRPr="006442FB">
              <w:rPr>
                <w:rFonts w:asciiTheme="minorHAnsi" w:hAnsiTheme="minorHAnsi" w:cstheme="minorHAnsi"/>
                <w:i/>
                <w:sz w:val="22"/>
                <w:szCs w:val="22"/>
              </w:rPr>
              <w:t>ukazatelů umožňujících měření pokroku zásahů v oblastech, jako jsou počítačová gramotnost, digitální začlenění, digitální přístupnost a pokrok v elektronickém zdravotnictví v mezích článku 168 Smlouvy o fungování EU, jež jsou v souladu se stávajícími příslušnými unijními, vnitrostátními nebo regionálními strategiemi pro jednotlivá odvětví</w:t>
            </w:r>
            <w:r w:rsidRPr="006442FB">
              <w:rPr>
                <w:rFonts w:asciiTheme="minorHAnsi" w:hAnsiTheme="minorHAnsi" w:cstheme="minorHAnsi"/>
                <w:sz w:val="22"/>
                <w:szCs w:val="22"/>
              </w:rPr>
              <w:t xml:space="preserve">, je v rámci Strategického rámce upraveno v podkapitole Zvýšení dostupnosti a transparentnosti veřejné správy </w:t>
            </w:r>
            <w:r w:rsidRPr="006442FB">
              <w:rPr>
                <w:rFonts w:asciiTheme="minorHAnsi" w:hAnsiTheme="minorHAnsi" w:cstheme="minorHAnsi"/>
                <w:sz w:val="22"/>
                <w:szCs w:val="22"/>
              </w:rPr>
              <w:lastRenderedPageBreak/>
              <w:t xml:space="preserve">prostřednictvím nástrojů </w:t>
            </w:r>
            <w:proofErr w:type="spellStart"/>
            <w:r w:rsidRPr="006442FB">
              <w:rPr>
                <w:rFonts w:asciiTheme="minorHAnsi" w:hAnsiTheme="minorHAnsi" w:cstheme="minorHAnsi"/>
                <w:sz w:val="22"/>
                <w:szCs w:val="22"/>
              </w:rPr>
              <w:t>eGovernmentu</w:t>
            </w:r>
            <w:proofErr w:type="spellEnd"/>
            <w:r w:rsidRPr="006442FB">
              <w:rPr>
                <w:rFonts w:asciiTheme="minorHAnsi" w:hAnsiTheme="minorHAnsi" w:cstheme="minorHAnsi"/>
                <w:sz w:val="22"/>
                <w:szCs w:val="22"/>
              </w:rPr>
              <w:t>.</w:t>
            </w:r>
          </w:p>
          <w:p w:rsidR="006442FB" w:rsidRPr="006442FB" w:rsidRDefault="006442FB" w:rsidP="006E6B3F">
            <w:pPr>
              <w:jc w:val="both"/>
              <w:rPr>
                <w:rFonts w:asciiTheme="minorHAnsi" w:hAnsiTheme="minorHAnsi" w:cstheme="minorHAnsi"/>
                <w:sz w:val="22"/>
                <w:szCs w:val="22"/>
              </w:rPr>
            </w:pP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xml:space="preserve">Konkrétní opatření budou přijata v Implementačním plánu k  strategickému cíli č. 3 </w:t>
            </w:r>
            <w:r w:rsidRPr="006442FB">
              <w:rPr>
                <w:rFonts w:asciiTheme="minorHAnsi" w:hAnsiTheme="minorHAnsi" w:cstheme="minorHAnsi"/>
                <w:i/>
                <w:sz w:val="22"/>
                <w:szCs w:val="22"/>
              </w:rPr>
              <w:t xml:space="preserve">Zvýšení dostupnosti a transparentnosti veřejné správy prostřednictvím nástrojů </w:t>
            </w:r>
            <w:proofErr w:type="spellStart"/>
            <w:r w:rsidRPr="006442FB">
              <w:rPr>
                <w:rFonts w:asciiTheme="minorHAnsi" w:hAnsiTheme="minorHAnsi" w:cstheme="minorHAnsi"/>
                <w:i/>
                <w:sz w:val="22"/>
                <w:szCs w:val="22"/>
              </w:rPr>
              <w:t>eGovernmentu</w:t>
            </w:r>
            <w:proofErr w:type="spellEnd"/>
            <w:r w:rsidRPr="006442FB">
              <w:rPr>
                <w:rFonts w:asciiTheme="minorHAnsi" w:hAnsiTheme="minorHAnsi" w:cstheme="minorHAnsi"/>
                <w:sz w:val="22"/>
                <w:szCs w:val="22"/>
              </w:rPr>
              <w:t>, který předpokládá při respektování principu 4vrstvé architektury:</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w:t>
            </w:r>
            <w:r w:rsidRPr="006442FB">
              <w:rPr>
                <w:rFonts w:asciiTheme="minorHAnsi" w:hAnsiTheme="minorHAnsi" w:cstheme="minorHAnsi"/>
                <w:sz w:val="22"/>
                <w:szCs w:val="22"/>
              </w:rPr>
              <w:tab/>
              <w:t>rozšíření, propojení, konsolidaci datového fondu veřejné správy a jeho efektivní a bezpečné využívání dle jednotlivých agend i na principu “</w:t>
            </w:r>
            <w:proofErr w:type="spellStart"/>
            <w:r w:rsidRPr="006442FB">
              <w:rPr>
                <w:rFonts w:asciiTheme="minorHAnsi" w:hAnsiTheme="minorHAnsi" w:cstheme="minorHAnsi"/>
                <w:sz w:val="22"/>
                <w:szCs w:val="22"/>
              </w:rPr>
              <w:t>opendata</w:t>
            </w:r>
            <w:proofErr w:type="spellEnd"/>
            <w:r w:rsidRPr="006442FB">
              <w:rPr>
                <w:rFonts w:asciiTheme="minorHAnsi" w:hAnsiTheme="minorHAnsi" w:cstheme="minorHAnsi"/>
                <w:sz w:val="22"/>
                <w:szCs w:val="22"/>
              </w:rPr>
              <w:t xml:space="preserve">“, které bude založeno na zásadě sdílení jednou pořízených dat za účelem jejich přístupnosti dalším subjektům veřejné správy i mimo ni a to zejména pro zajištění úplného elektronického podání  a elektronizaci agend (např. </w:t>
            </w:r>
            <w:proofErr w:type="spellStart"/>
            <w:r w:rsidRPr="006442FB">
              <w:rPr>
                <w:rFonts w:asciiTheme="minorHAnsi" w:hAnsiTheme="minorHAnsi" w:cstheme="minorHAnsi"/>
                <w:sz w:val="22"/>
                <w:szCs w:val="22"/>
              </w:rPr>
              <w:t>eCulture</w:t>
            </w:r>
            <w:proofErr w:type="spellEnd"/>
            <w:r w:rsidRPr="006442FB">
              <w:rPr>
                <w:rFonts w:asciiTheme="minorHAnsi" w:hAnsiTheme="minorHAnsi" w:cstheme="minorHAnsi"/>
                <w:sz w:val="22"/>
                <w:szCs w:val="22"/>
              </w:rPr>
              <w:t xml:space="preserve">, </w:t>
            </w:r>
            <w:proofErr w:type="spellStart"/>
            <w:r w:rsidRPr="006442FB">
              <w:rPr>
                <w:rFonts w:asciiTheme="minorHAnsi" w:hAnsiTheme="minorHAnsi" w:cstheme="minorHAnsi"/>
                <w:sz w:val="22"/>
                <w:szCs w:val="22"/>
              </w:rPr>
              <w:t>eHealth</w:t>
            </w:r>
            <w:proofErr w:type="spellEnd"/>
            <w:r w:rsidRPr="006442FB">
              <w:rPr>
                <w:rFonts w:asciiTheme="minorHAnsi" w:hAnsiTheme="minorHAnsi" w:cstheme="minorHAnsi"/>
                <w:sz w:val="22"/>
                <w:szCs w:val="22"/>
              </w:rPr>
              <w:t xml:space="preserve">, </w:t>
            </w:r>
            <w:proofErr w:type="spellStart"/>
            <w:r w:rsidRPr="006442FB">
              <w:rPr>
                <w:rFonts w:asciiTheme="minorHAnsi" w:hAnsiTheme="minorHAnsi" w:cstheme="minorHAnsi"/>
                <w:sz w:val="22"/>
                <w:szCs w:val="22"/>
              </w:rPr>
              <w:t>eJustice</w:t>
            </w:r>
            <w:proofErr w:type="spellEnd"/>
            <w:r w:rsidRPr="006442FB">
              <w:rPr>
                <w:rFonts w:asciiTheme="minorHAnsi" w:hAnsiTheme="minorHAnsi" w:cstheme="minorHAnsi"/>
                <w:sz w:val="22"/>
                <w:szCs w:val="22"/>
              </w:rPr>
              <w:t xml:space="preserve">, </w:t>
            </w:r>
            <w:proofErr w:type="spellStart"/>
            <w:r w:rsidRPr="006442FB">
              <w:rPr>
                <w:rFonts w:asciiTheme="minorHAnsi" w:hAnsiTheme="minorHAnsi" w:cstheme="minorHAnsi"/>
                <w:sz w:val="22"/>
                <w:szCs w:val="22"/>
              </w:rPr>
              <w:t>eProcurement</w:t>
            </w:r>
            <w:proofErr w:type="spellEnd"/>
            <w:r w:rsidRPr="006442FB">
              <w:rPr>
                <w:rFonts w:asciiTheme="minorHAnsi" w:hAnsiTheme="minorHAnsi" w:cstheme="minorHAnsi"/>
                <w:sz w:val="22"/>
                <w:szCs w:val="22"/>
              </w:rPr>
              <w:t xml:space="preserve">, </w:t>
            </w:r>
            <w:proofErr w:type="spellStart"/>
            <w:r w:rsidRPr="006442FB">
              <w:rPr>
                <w:rFonts w:asciiTheme="minorHAnsi" w:hAnsiTheme="minorHAnsi" w:cstheme="minorHAnsi"/>
                <w:sz w:val="22"/>
                <w:szCs w:val="22"/>
              </w:rPr>
              <w:t>eLegislativa</w:t>
            </w:r>
            <w:proofErr w:type="spellEnd"/>
            <w:r w:rsidRPr="006442FB">
              <w:rPr>
                <w:rFonts w:asciiTheme="minorHAnsi" w:hAnsiTheme="minorHAnsi" w:cstheme="minorHAnsi"/>
                <w:sz w:val="22"/>
                <w:szCs w:val="22"/>
              </w:rPr>
              <w:t xml:space="preserve">, </w:t>
            </w:r>
            <w:proofErr w:type="spellStart"/>
            <w:r w:rsidRPr="006442FB">
              <w:rPr>
                <w:rFonts w:asciiTheme="minorHAnsi" w:hAnsiTheme="minorHAnsi" w:cstheme="minorHAnsi"/>
                <w:sz w:val="22"/>
                <w:szCs w:val="22"/>
              </w:rPr>
              <w:t>eSbírka</w:t>
            </w:r>
            <w:proofErr w:type="spellEnd"/>
            <w:r w:rsidRPr="006442FB">
              <w:rPr>
                <w:rFonts w:asciiTheme="minorHAnsi" w:hAnsiTheme="minorHAnsi" w:cstheme="minorHAnsi"/>
                <w:sz w:val="22"/>
                <w:szCs w:val="22"/>
              </w:rPr>
              <w:t xml:space="preserve">, elektronická identifikace a autorizace) ; </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w:t>
            </w:r>
            <w:r w:rsidRPr="006442FB">
              <w:rPr>
                <w:rFonts w:asciiTheme="minorHAnsi" w:hAnsiTheme="minorHAnsi" w:cstheme="minorHAnsi"/>
                <w:sz w:val="22"/>
                <w:szCs w:val="22"/>
              </w:rPr>
              <w:tab/>
              <w:t>modernizaci informačních a komunikačních systémů pro specifické potřeby subjektů veřejné správy a složek IZS;</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w:t>
            </w:r>
            <w:r w:rsidRPr="006442FB">
              <w:rPr>
                <w:rFonts w:asciiTheme="minorHAnsi" w:hAnsiTheme="minorHAnsi" w:cstheme="minorHAnsi"/>
                <w:sz w:val="22"/>
                <w:szCs w:val="22"/>
              </w:rPr>
              <w:tab/>
              <w:t>podporu vzniku a vybavení orgánů veřejné moci pro ochranu infrastruktury ICT a zajištění řízeného a bezpečného sdílení dat veřejné správy.</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Dále se očekává:</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vytvoření koncepčně-strategického materiálu, který závazně upraví podmínky v oblasti ICT z hlediska dodržování principů 3 E;</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vytvoření Strategie řízení investic do ICT;</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podpora publikace open-dat dle Metodiky publikace otevřených dat veřejné správy;</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lastRenderedPageBreak/>
              <w:t xml:space="preserve">- novelizace zákona č. 365/2000 Sb. a dalších předpisů upravujících oblast </w:t>
            </w:r>
            <w:proofErr w:type="spellStart"/>
            <w:r w:rsidRPr="006442FB">
              <w:rPr>
                <w:rFonts w:asciiTheme="minorHAnsi" w:hAnsiTheme="minorHAnsi" w:cstheme="minorHAnsi"/>
                <w:sz w:val="22"/>
                <w:szCs w:val="22"/>
              </w:rPr>
              <w:t>eGovernmentu</w:t>
            </w:r>
            <w:proofErr w:type="spellEnd"/>
            <w:r w:rsidRPr="006442FB">
              <w:rPr>
                <w:rFonts w:asciiTheme="minorHAnsi" w:hAnsiTheme="minorHAnsi" w:cstheme="minorHAnsi"/>
                <w:sz w:val="22"/>
                <w:szCs w:val="22"/>
              </w:rPr>
              <w:t xml:space="preserve"> v ČR.</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rol</w:t>
            </w:r>
            <w:r w:rsidR="00641CF6">
              <w:rPr>
                <w:rFonts w:asciiTheme="minorHAnsi" w:hAnsiTheme="minorHAnsi" w:cstheme="minorHAnsi"/>
                <w:sz w:val="22"/>
                <w:szCs w:val="22"/>
              </w:rPr>
              <w:t>e</w:t>
            </w:r>
            <w:r w:rsidRPr="006442FB">
              <w:rPr>
                <w:rFonts w:asciiTheme="minorHAnsi" w:hAnsiTheme="minorHAnsi" w:cstheme="minorHAnsi"/>
                <w:sz w:val="22"/>
                <w:szCs w:val="22"/>
              </w:rPr>
              <w:t xml:space="preserve"> </w:t>
            </w:r>
            <w:r w:rsidR="00641CF6">
              <w:rPr>
                <w:rFonts w:asciiTheme="minorHAnsi" w:hAnsiTheme="minorHAnsi" w:cstheme="minorHAnsi"/>
                <w:sz w:val="22"/>
                <w:szCs w:val="22"/>
              </w:rPr>
              <w:t xml:space="preserve">odboru </w:t>
            </w:r>
            <w:r w:rsidRPr="006442FB">
              <w:rPr>
                <w:rFonts w:asciiTheme="minorHAnsi" w:hAnsiTheme="minorHAnsi" w:cstheme="minorHAnsi"/>
                <w:sz w:val="22"/>
                <w:szCs w:val="22"/>
              </w:rPr>
              <w:t xml:space="preserve">Hlavního architekta </w:t>
            </w:r>
            <w:proofErr w:type="spellStart"/>
            <w:r w:rsidRPr="006442FB">
              <w:rPr>
                <w:rFonts w:asciiTheme="minorHAnsi" w:hAnsiTheme="minorHAnsi" w:cstheme="minorHAnsi"/>
                <w:sz w:val="22"/>
                <w:szCs w:val="22"/>
              </w:rPr>
              <w:t>eGovernmentu</w:t>
            </w:r>
            <w:proofErr w:type="spellEnd"/>
            <w:r w:rsidRPr="006442FB">
              <w:rPr>
                <w:rFonts w:asciiTheme="minorHAnsi" w:hAnsiTheme="minorHAnsi" w:cstheme="minorHAnsi"/>
                <w:sz w:val="22"/>
                <w:szCs w:val="22"/>
              </w:rPr>
              <w:t xml:space="preserve"> (</w:t>
            </w:r>
            <w:proofErr w:type="spellStart"/>
            <w:r w:rsidRPr="006442FB">
              <w:rPr>
                <w:rFonts w:asciiTheme="minorHAnsi" w:hAnsiTheme="minorHAnsi" w:cstheme="minorHAnsi"/>
                <w:sz w:val="22"/>
                <w:szCs w:val="22"/>
              </w:rPr>
              <w:t>OHAeG</w:t>
            </w:r>
            <w:proofErr w:type="spellEnd"/>
            <w:r w:rsidRPr="006442FB">
              <w:rPr>
                <w:rFonts w:asciiTheme="minorHAnsi" w:hAnsiTheme="minorHAnsi" w:cstheme="minorHAnsi"/>
                <w:sz w:val="22"/>
                <w:szCs w:val="22"/>
              </w:rPr>
              <w:t xml:space="preserve">) bude upravena tak, aby byla zajištěna architektonická konzistence provozovaných prvků </w:t>
            </w:r>
            <w:proofErr w:type="spellStart"/>
            <w:r w:rsidRPr="006442FB">
              <w:rPr>
                <w:rFonts w:asciiTheme="minorHAnsi" w:hAnsiTheme="minorHAnsi" w:cstheme="minorHAnsi"/>
                <w:sz w:val="22"/>
                <w:szCs w:val="22"/>
              </w:rPr>
              <w:t>eGovernmentu</w:t>
            </w:r>
            <w:proofErr w:type="spellEnd"/>
            <w:r w:rsidRPr="006442FB">
              <w:rPr>
                <w:rFonts w:asciiTheme="minorHAnsi" w:hAnsiTheme="minorHAnsi" w:cstheme="minorHAnsi"/>
                <w:sz w:val="22"/>
                <w:szCs w:val="22"/>
              </w:rPr>
              <w:t xml:space="preserve"> formou vydávání závazných stanovisek </w:t>
            </w:r>
            <w:proofErr w:type="spellStart"/>
            <w:r w:rsidRPr="006442FB">
              <w:rPr>
                <w:rFonts w:asciiTheme="minorHAnsi" w:hAnsiTheme="minorHAnsi" w:cstheme="minorHAnsi"/>
                <w:sz w:val="22"/>
                <w:szCs w:val="22"/>
              </w:rPr>
              <w:t>OHAeG</w:t>
            </w:r>
            <w:proofErr w:type="spellEnd"/>
            <w:r w:rsidRPr="006442FB">
              <w:rPr>
                <w:rFonts w:asciiTheme="minorHAnsi" w:hAnsiTheme="minorHAnsi" w:cstheme="minorHAnsi"/>
                <w:sz w:val="22"/>
                <w:szCs w:val="22"/>
              </w:rPr>
              <w:t>, u všech ICT projektů veřejné správy.</w:t>
            </w:r>
          </w:p>
          <w:p w:rsidR="006442FB" w:rsidRPr="006442FB" w:rsidRDefault="006442FB" w:rsidP="006E6B3F">
            <w:pPr>
              <w:rPr>
                <w:rFonts w:asciiTheme="minorHAnsi" w:hAnsiTheme="minorHAnsi" w:cstheme="minorHAnsi"/>
                <w:sz w:val="22"/>
                <w:szCs w:val="22"/>
              </w:rPr>
            </w:pPr>
          </w:p>
          <w:p w:rsidR="006442FB" w:rsidRDefault="006442FB" w:rsidP="006E6B3F">
            <w:pPr>
              <w:jc w:val="both"/>
              <w:rPr>
                <w:rFonts w:asciiTheme="minorHAnsi" w:hAnsiTheme="minorHAnsi" w:cstheme="minorHAnsi"/>
                <w:sz w:val="22"/>
                <w:szCs w:val="22"/>
              </w:rPr>
            </w:pPr>
            <w:r w:rsidRPr="006442FB">
              <w:rPr>
                <w:rFonts w:asciiTheme="minorHAnsi" w:hAnsiTheme="minorHAnsi" w:cstheme="minorHAnsi"/>
                <w:b/>
                <w:sz w:val="22"/>
                <w:szCs w:val="22"/>
              </w:rPr>
              <w:t>V návaznosti</w:t>
            </w:r>
            <w:r w:rsidRPr="006442FB">
              <w:rPr>
                <w:rFonts w:asciiTheme="minorHAnsi" w:hAnsiTheme="minorHAnsi" w:cstheme="minorHAnsi"/>
                <w:sz w:val="22"/>
                <w:szCs w:val="22"/>
              </w:rPr>
              <w:t xml:space="preserve"> na Strategický rámec </w:t>
            </w:r>
            <w:r w:rsidR="00641CF6">
              <w:rPr>
                <w:rFonts w:asciiTheme="minorHAnsi" w:hAnsiTheme="minorHAnsi" w:cstheme="minorHAnsi"/>
                <w:sz w:val="22"/>
                <w:szCs w:val="22"/>
              </w:rPr>
              <w:t xml:space="preserve">byly </w:t>
            </w:r>
            <w:r w:rsidRPr="006442FB">
              <w:rPr>
                <w:rFonts w:asciiTheme="minorHAnsi" w:hAnsiTheme="minorHAnsi" w:cstheme="minorHAnsi"/>
                <w:sz w:val="22"/>
                <w:szCs w:val="22"/>
              </w:rPr>
              <w:t xml:space="preserve">vypracovány detailní implementační plány, které </w:t>
            </w:r>
            <w:r w:rsidR="00641CF6">
              <w:rPr>
                <w:rFonts w:asciiTheme="minorHAnsi" w:hAnsiTheme="minorHAnsi" w:cstheme="minorHAnsi"/>
                <w:sz w:val="22"/>
                <w:szCs w:val="22"/>
              </w:rPr>
              <w:t xml:space="preserve">jsou </w:t>
            </w:r>
            <w:r w:rsidRPr="006442FB">
              <w:rPr>
                <w:rFonts w:asciiTheme="minorHAnsi" w:hAnsiTheme="minorHAnsi" w:cstheme="minorHAnsi"/>
                <w:sz w:val="22"/>
                <w:szCs w:val="22"/>
              </w:rPr>
              <w:t xml:space="preserve">vytvořeny pro každý strategický cíl (tj. celkem </w:t>
            </w:r>
            <w:r w:rsidRPr="006442FB">
              <w:rPr>
                <w:rFonts w:asciiTheme="minorHAnsi" w:hAnsiTheme="minorHAnsi" w:cstheme="minorHAnsi"/>
                <w:b/>
                <w:sz w:val="22"/>
                <w:szCs w:val="22"/>
              </w:rPr>
              <w:t>čtyři implementační plány</w:t>
            </w:r>
            <w:r w:rsidRPr="006442FB">
              <w:rPr>
                <w:rFonts w:asciiTheme="minorHAnsi" w:hAnsiTheme="minorHAnsi" w:cstheme="minorHAnsi"/>
                <w:sz w:val="22"/>
                <w:szCs w:val="22"/>
              </w:rPr>
              <w:t xml:space="preserve">). </w:t>
            </w:r>
          </w:p>
          <w:p w:rsidR="00641CF6" w:rsidRPr="006442FB" w:rsidRDefault="00641CF6" w:rsidP="00641CF6">
            <w:pPr>
              <w:jc w:val="both"/>
              <w:rPr>
                <w:rFonts w:asciiTheme="minorHAnsi" w:hAnsiTheme="minorHAnsi" w:cstheme="minorHAnsi"/>
                <w:sz w:val="22"/>
                <w:szCs w:val="22"/>
              </w:rPr>
            </w:pPr>
            <w:r>
              <w:rPr>
                <w:rFonts w:asciiTheme="minorHAnsi" w:hAnsiTheme="minorHAnsi" w:cstheme="minorHAnsi"/>
                <w:sz w:val="22"/>
                <w:szCs w:val="22"/>
              </w:rPr>
              <w:t>Tyto plány byly schváleny vládou ČR dne 14. 1. 2015, a to UV č. 21/2015.</w:t>
            </w: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sz w:val="22"/>
                <w:szCs w:val="22"/>
                <w:u w:val="single"/>
              </w:rPr>
            </w:pPr>
            <w:r w:rsidRPr="006442FB">
              <w:rPr>
                <w:rFonts w:asciiTheme="minorHAnsi" w:hAnsiTheme="minorHAnsi" w:cstheme="minorHAnsi"/>
                <w:sz w:val="22"/>
                <w:szCs w:val="22"/>
                <w:u w:val="single"/>
              </w:rPr>
              <w:t>Struktura implementačních plánů:</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hierarchickou strukturu prací (opatření, aktivit, činností atd.) vedoucích k naplnění cílů,</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harmonogram realizace jednotlivých opatření, aktivit, činností,</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konkrétní odpovědnosti a gesce za jednotlivá opatření, aktivity a činnosti,</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rozpočet a zdroje financování,</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postupy řízení a organizační strukturu implementace,</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rizika realizace jednotlivých cílů (opatření a aktivit) a postupy řízení rizik,</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postupy monitorování a hodnocení implementace.</w:t>
            </w:r>
          </w:p>
          <w:p w:rsidR="006442FB" w:rsidRPr="006442FB" w:rsidRDefault="006442FB" w:rsidP="006E6B3F">
            <w:pPr>
              <w:rPr>
                <w:rFonts w:asciiTheme="minorHAnsi" w:hAnsiTheme="minorHAnsi" w:cstheme="minorHAnsi"/>
                <w:sz w:val="22"/>
                <w:szCs w:val="22"/>
              </w:rPr>
            </w:pPr>
          </w:p>
          <w:p w:rsidR="006442FB" w:rsidRPr="006442FB" w:rsidRDefault="006442FB" w:rsidP="00393768">
            <w:pPr>
              <w:jc w:val="both"/>
              <w:rPr>
                <w:rFonts w:asciiTheme="minorHAnsi" w:hAnsiTheme="minorHAnsi" w:cstheme="minorHAnsi"/>
                <w:sz w:val="22"/>
                <w:szCs w:val="22"/>
              </w:rPr>
            </w:pPr>
            <w:r w:rsidRPr="006442FB">
              <w:rPr>
                <w:rFonts w:asciiTheme="minorHAnsi" w:hAnsiTheme="minorHAnsi" w:cstheme="minorHAnsi"/>
                <w:sz w:val="22"/>
                <w:szCs w:val="22"/>
              </w:rPr>
              <w:t xml:space="preserve">V případě potřeby budou u jednotlivých cílů </w:t>
            </w:r>
            <w:r w:rsidRPr="006442FB">
              <w:rPr>
                <w:rFonts w:asciiTheme="minorHAnsi" w:hAnsiTheme="minorHAnsi" w:cstheme="minorHAnsi"/>
                <w:sz w:val="22"/>
                <w:szCs w:val="22"/>
              </w:rPr>
              <w:lastRenderedPageBreak/>
              <w:t xml:space="preserve">(opatření) zpracovány možné varianty jejich realizace. Také budou vyhodnoceny náklady, přínosy a dopady realizace jednotlivých opatření a aktivit. V případě zavádění nových podpůrných (ICT) nástrojů bude vyhodnocen stávající stav a respektovány již zavedená a fungující řešení. </w:t>
            </w:r>
            <w:r w:rsidRPr="006442FB">
              <w:rPr>
                <w:rFonts w:asciiTheme="minorHAnsi" w:hAnsiTheme="minorHAnsi" w:cstheme="minorHAnsi"/>
                <w:b/>
                <w:sz w:val="22"/>
                <w:szCs w:val="22"/>
              </w:rPr>
              <w:t>Při tvorbě implementačních plánů vypracována indikátorová soustava Strategického rámce</w:t>
            </w:r>
            <w:r w:rsidRPr="006442FB">
              <w:rPr>
                <w:rFonts w:asciiTheme="minorHAnsi" w:hAnsiTheme="minorHAnsi" w:cstheme="minorHAnsi"/>
                <w:sz w:val="22"/>
                <w:szCs w:val="22"/>
              </w:rPr>
              <w:t xml:space="preserve">. Jednotlivé strategické a specifické cíle uvedené ve Strategickém rámci </w:t>
            </w:r>
            <w:r w:rsidR="00641CF6">
              <w:rPr>
                <w:rFonts w:asciiTheme="minorHAnsi" w:hAnsiTheme="minorHAnsi" w:cstheme="minorHAnsi"/>
                <w:sz w:val="22"/>
                <w:szCs w:val="22"/>
              </w:rPr>
              <w:t xml:space="preserve">mají </w:t>
            </w:r>
            <w:r w:rsidRPr="006442FB">
              <w:rPr>
                <w:rFonts w:asciiTheme="minorHAnsi" w:hAnsiTheme="minorHAnsi" w:cstheme="minorHAnsi"/>
                <w:sz w:val="22"/>
                <w:szCs w:val="22"/>
              </w:rPr>
              <w:t xml:space="preserve">v implementačním plánu přiřazeny odpovídající indikátory (v předpokládaném členění na indikátory kontextu, výstupu, výsledku a dopadu). V implementačních plánech </w:t>
            </w:r>
            <w:r w:rsidR="00641CF6">
              <w:rPr>
                <w:rFonts w:asciiTheme="minorHAnsi" w:hAnsiTheme="minorHAnsi" w:cstheme="minorHAnsi"/>
                <w:sz w:val="22"/>
                <w:szCs w:val="22"/>
              </w:rPr>
              <w:t xml:space="preserve">jsou </w:t>
            </w:r>
            <w:r w:rsidRPr="006442FB">
              <w:rPr>
                <w:rFonts w:asciiTheme="minorHAnsi" w:hAnsiTheme="minorHAnsi" w:cstheme="minorHAnsi"/>
                <w:sz w:val="22"/>
                <w:szCs w:val="22"/>
              </w:rPr>
              <w:t>dále stanoveny cílové hodnoty indikátorů, případně stanovena kvalitativní kritéria jejich naplnění – a to v návaznosti především na stanovený rozpočet, časový harmonogram a rizika realizace daného cíle.</w:t>
            </w:r>
          </w:p>
          <w:p w:rsidR="006442FB" w:rsidRPr="006442FB" w:rsidRDefault="006442FB" w:rsidP="00393768">
            <w:pPr>
              <w:jc w:val="both"/>
              <w:rPr>
                <w:rFonts w:asciiTheme="minorHAnsi" w:hAnsiTheme="minorHAnsi" w:cstheme="minorHAnsi"/>
                <w:sz w:val="22"/>
                <w:szCs w:val="22"/>
              </w:rPr>
            </w:pPr>
            <w:r w:rsidRPr="006442FB">
              <w:rPr>
                <w:rFonts w:asciiTheme="minorHAnsi" w:hAnsiTheme="minorHAnsi" w:cstheme="minorHAnsi"/>
                <w:sz w:val="22"/>
                <w:szCs w:val="22"/>
              </w:rPr>
              <w:t xml:space="preserve">Implementační plány </w:t>
            </w:r>
            <w:r w:rsidR="00641CF6">
              <w:rPr>
                <w:rFonts w:asciiTheme="minorHAnsi" w:hAnsiTheme="minorHAnsi" w:cstheme="minorHAnsi"/>
                <w:sz w:val="22"/>
                <w:szCs w:val="22"/>
              </w:rPr>
              <w:t xml:space="preserve">vypracovalo </w:t>
            </w:r>
            <w:r w:rsidRPr="006442FB">
              <w:rPr>
                <w:rFonts w:asciiTheme="minorHAnsi" w:hAnsiTheme="minorHAnsi" w:cstheme="minorHAnsi"/>
                <w:sz w:val="22"/>
                <w:szCs w:val="22"/>
              </w:rPr>
              <w:t>Ministerstvo vnitra ve spolupráci s Úřadem vlády, útvarem MV, který je garantem státní služby, a dalšími subjekty veřejné správy podílejícími se na implementaci Strategického rámce. Tyto budou realizovány ve dvouletém intervalu a následně vždy hodnoceny.</w:t>
            </w: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lastRenderedPageBreak/>
              <w:t xml:space="preserve">Globálním cílem Strategického rámce je </w:t>
            </w:r>
            <w:r w:rsidRPr="006442FB">
              <w:rPr>
                <w:rFonts w:asciiTheme="minorHAnsi" w:hAnsiTheme="minorHAnsi" w:cstheme="minorHAnsi"/>
                <w:b/>
                <w:sz w:val="22"/>
                <w:szCs w:val="22"/>
              </w:rPr>
              <w:t>zvýšit kvalitu, efektivitu a transparentnost veřejné správy</w:t>
            </w:r>
            <w:r w:rsidRPr="006442FB">
              <w:rPr>
                <w:rFonts w:asciiTheme="minorHAnsi" w:hAnsiTheme="minorHAnsi" w:cstheme="minorHAnsi"/>
                <w:sz w:val="22"/>
                <w:szCs w:val="22"/>
              </w:rPr>
              <w:t>, a to cílenou intervencí zaměřenou na vybraná slabá místa veřejné správy.</w:t>
            </w: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Účelem Strategického rámce a navazujících implementačních plánů je zejména:</w:t>
            </w: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zajistit kontinuitu a realizaci dalších potřebných kroků v oblasti rozvoje veřejné správy,</w:t>
            </w: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nastavit další směřování rozvoje a investic do vybraných oblastí veřejné správy v období 2014 – 2020,</w:t>
            </w: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zajistit plnění předběžných podmínek stanovených Evropskou komisí jako podmínky pro umožnění čerpání Evropských strukturálních a investičních fondů.</w:t>
            </w: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lastRenderedPageBreak/>
              <w:t>Odkazy – Strategický rámec:</w:t>
            </w:r>
          </w:p>
          <w:p w:rsidR="006442FB" w:rsidRPr="006442FB" w:rsidRDefault="00400236" w:rsidP="006E6B3F">
            <w:pPr>
              <w:jc w:val="both"/>
              <w:rPr>
                <w:rStyle w:val="Hypertextovodkaz"/>
                <w:rFonts w:asciiTheme="minorHAnsi" w:hAnsiTheme="minorHAnsi" w:cstheme="minorHAnsi"/>
                <w:sz w:val="22"/>
                <w:szCs w:val="22"/>
              </w:rPr>
            </w:pPr>
            <w:hyperlink r:id="rId64" w:history="1">
              <w:r w:rsidR="006442FB" w:rsidRPr="006442FB">
                <w:rPr>
                  <w:rStyle w:val="Hypertextovodkaz"/>
                  <w:rFonts w:asciiTheme="minorHAnsi" w:hAnsiTheme="minorHAnsi" w:cstheme="minorHAnsi"/>
                  <w:sz w:val="22"/>
                  <w:szCs w:val="22"/>
                </w:rPr>
                <w:t>http://www.mvcr.cz/odk2/clanek/odbor-verejne-spravy-dozoru-a-kontroly.aspx?q=Y2hudW09OQ%3d%3d</w:t>
              </w:r>
            </w:hyperlink>
          </w:p>
          <w:p w:rsidR="006442FB" w:rsidRPr="006442FB" w:rsidRDefault="006442FB" w:rsidP="006E6B3F">
            <w:pPr>
              <w:jc w:val="both"/>
              <w:rPr>
                <w:rFonts w:asciiTheme="minorHAnsi" w:hAnsiTheme="minorHAnsi" w:cstheme="minorHAnsi"/>
                <w:sz w:val="22"/>
                <w:szCs w:val="22"/>
              </w:rPr>
            </w:pPr>
          </w:p>
          <w:p w:rsidR="006442FB" w:rsidRPr="006442FB" w:rsidRDefault="00400236" w:rsidP="006E6B3F">
            <w:pPr>
              <w:jc w:val="both"/>
              <w:rPr>
                <w:rFonts w:asciiTheme="minorHAnsi" w:hAnsiTheme="minorHAnsi" w:cstheme="minorHAnsi"/>
                <w:sz w:val="22"/>
                <w:szCs w:val="22"/>
              </w:rPr>
            </w:pPr>
            <w:hyperlink r:id="rId65" w:history="1">
              <w:r w:rsidR="006442FB" w:rsidRPr="006442FB">
                <w:rPr>
                  <w:rStyle w:val="Hypertextovodkaz"/>
                  <w:rFonts w:asciiTheme="minorHAnsi" w:hAnsiTheme="minorHAnsi" w:cstheme="minorHAnsi"/>
                  <w:sz w:val="22"/>
                  <w:szCs w:val="22"/>
                </w:rPr>
                <w:t>http://databaze-strategie.cz/cz/mv/strategie/strategicky-ramec-rozvoje-verejne-spravy-ceske-republiky-pro-obdobi-2014-2020</w:t>
              </w:r>
            </w:hyperlink>
            <w:r w:rsidR="006442FB" w:rsidRPr="006442FB">
              <w:rPr>
                <w:rFonts w:asciiTheme="minorHAnsi" w:hAnsiTheme="minorHAnsi" w:cstheme="minorHAnsi"/>
                <w:sz w:val="22"/>
                <w:szCs w:val="22"/>
              </w:rPr>
              <w:t xml:space="preserve"> </w:t>
            </w:r>
          </w:p>
          <w:p w:rsidR="006442FB" w:rsidRPr="006442FB" w:rsidRDefault="006442FB" w:rsidP="006E6B3F">
            <w:pPr>
              <w:jc w:val="both"/>
              <w:rPr>
                <w:rFonts w:asciiTheme="minorHAnsi" w:hAnsiTheme="minorHAnsi" w:cstheme="minorHAnsi"/>
                <w:sz w:val="22"/>
                <w:szCs w:val="22"/>
              </w:rPr>
            </w:pP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Odkaz na implementační plán k strategickému cíli č. 3:</w:t>
            </w:r>
          </w:p>
          <w:p w:rsidR="006442FB" w:rsidRPr="006442FB" w:rsidRDefault="00400236" w:rsidP="006E6B3F">
            <w:pPr>
              <w:jc w:val="both"/>
              <w:rPr>
                <w:rFonts w:asciiTheme="minorHAnsi" w:hAnsiTheme="minorHAnsi" w:cstheme="minorHAnsi"/>
                <w:sz w:val="22"/>
                <w:szCs w:val="22"/>
              </w:rPr>
            </w:pPr>
            <w:hyperlink r:id="rId66" w:history="1">
              <w:r w:rsidR="00C40B88" w:rsidRPr="000B3569">
                <w:rPr>
                  <w:rStyle w:val="Hypertextovodkaz"/>
                  <w:rFonts w:asciiTheme="minorHAnsi" w:hAnsiTheme="minorHAnsi" w:cstheme="minorHAnsi"/>
                  <w:sz w:val="22"/>
                  <w:szCs w:val="22"/>
                </w:rPr>
                <w:t>http://www.mvcr.cz/odk2/cl</w:t>
              </w:r>
              <w:r w:rsidR="00C40B88" w:rsidRPr="000B3569">
                <w:rPr>
                  <w:rStyle w:val="Hypertextovodkaz"/>
                  <w:rFonts w:asciiTheme="minorHAnsi" w:hAnsiTheme="minorHAnsi" w:cstheme="minorHAnsi"/>
                  <w:sz w:val="22"/>
                  <w:szCs w:val="22"/>
                </w:rPr>
                <w:lastRenderedPageBreak/>
                <w:t>anek/odbor-verejne-spravy-dozoru-a-kontroly.aspx?q=Y2hudW09OQ%3d%3d</w:t>
              </w:r>
            </w:hyperlink>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O schválení dokumentu MV oficiálně informovalo EK v září 2014, současně byl EK materiál poskytnut po pracovní linii.</w:t>
            </w:r>
          </w:p>
        </w:tc>
      </w:tr>
      <w:tr w:rsidR="006442FB" w:rsidRPr="006442FB" w:rsidTr="00557FFB">
        <w:tc>
          <w:tcPr>
            <w:tcW w:w="2828"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rPr>
                <w:rFonts w:asciiTheme="minorHAnsi" w:hAnsiTheme="minorHAnsi" w:cstheme="minorHAnsi"/>
                <w:b/>
                <w:sz w:val="22"/>
                <w:szCs w:val="22"/>
              </w:rPr>
            </w:pPr>
            <w:r w:rsidRPr="006442FB">
              <w:rPr>
                <w:rFonts w:asciiTheme="minorHAnsi" w:hAnsiTheme="minorHAnsi" w:cstheme="minorHAnsi"/>
                <w:b/>
                <w:sz w:val="22"/>
                <w:szCs w:val="22"/>
              </w:rPr>
              <w:lastRenderedPageBreak/>
              <w:t>Národní strategie inteligentní specializace (RIS3)</w:t>
            </w:r>
          </w:p>
        </w:tc>
        <w:tc>
          <w:tcPr>
            <w:tcW w:w="1249" w:type="dxa"/>
            <w:tcBorders>
              <w:top w:val="single" w:sz="4" w:space="0" w:color="auto"/>
              <w:left w:val="single" w:sz="4" w:space="0" w:color="auto"/>
              <w:bottom w:val="single" w:sz="4" w:space="0" w:color="auto"/>
              <w:right w:val="single" w:sz="4" w:space="0" w:color="auto"/>
            </w:tcBorders>
          </w:tcPr>
          <w:p w:rsid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MŠMT</w:t>
            </w:r>
            <w:r w:rsidR="00197F3F">
              <w:rPr>
                <w:rFonts w:asciiTheme="minorHAnsi" w:hAnsiTheme="minorHAnsi" w:cstheme="minorHAnsi"/>
                <w:sz w:val="22"/>
                <w:szCs w:val="22"/>
              </w:rPr>
              <w:t xml:space="preserve"> (do 8.12.2014)</w:t>
            </w:r>
          </w:p>
          <w:p w:rsidR="00CD69B0" w:rsidRPr="006442FB" w:rsidRDefault="00CD69B0" w:rsidP="006E6B3F">
            <w:pPr>
              <w:jc w:val="both"/>
              <w:rPr>
                <w:rFonts w:asciiTheme="minorHAnsi" w:hAnsiTheme="minorHAnsi" w:cstheme="minorHAnsi"/>
                <w:sz w:val="22"/>
                <w:szCs w:val="22"/>
              </w:rPr>
            </w:pPr>
            <w:r>
              <w:rPr>
                <w:rFonts w:asciiTheme="minorHAnsi" w:hAnsiTheme="minorHAnsi" w:cstheme="minorHAnsi"/>
                <w:sz w:val="22"/>
                <w:szCs w:val="22"/>
              </w:rPr>
              <w:t>Úřad vlády ČR (od 8.12.2014)</w:t>
            </w:r>
          </w:p>
        </w:tc>
        <w:tc>
          <w:tcPr>
            <w:tcW w:w="4445"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Národní výzkumná a inovační strategie pro inteligentní specializaci České republiky (RIS3) je zpracována dle metodického dokumentu EK „</w:t>
            </w:r>
            <w:proofErr w:type="spellStart"/>
            <w:r w:rsidRPr="006442FB">
              <w:rPr>
                <w:rFonts w:asciiTheme="minorHAnsi" w:hAnsiTheme="minorHAnsi" w:cstheme="minorHAnsi"/>
                <w:sz w:val="22"/>
                <w:szCs w:val="22"/>
              </w:rPr>
              <w:t>Guide</w:t>
            </w:r>
            <w:proofErr w:type="spellEnd"/>
            <w:r w:rsidRPr="006442FB">
              <w:rPr>
                <w:rFonts w:asciiTheme="minorHAnsi" w:hAnsiTheme="minorHAnsi" w:cstheme="minorHAnsi"/>
                <w:sz w:val="22"/>
                <w:szCs w:val="22"/>
              </w:rPr>
              <w:t xml:space="preserve"> to </w:t>
            </w:r>
            <w:proofErr w:type="spellStart"/>
            <w:r w:rsidRPr="006442FB">
              <w:rPr>
                <w:rFonts w:asciiTheme="minorHAnsi" w:hAnsiTheme="minorHAnsi" w:cstheme="minorHAnsi"/>
                <w:sz w:val="22"/>
                <w:szCs w:val="22"/>
              </w:rPr>
              <w:t>Research</w:t>
            </w:r>
            <w:proofErr w:type="spellEnd"/>
            <w:r w:rsidRPr="006442FB">
              <w:rPr>
                <w:rFonts w:asciiTheme="minorHAnsi" w:hAnsiTheme="minorHAnsi" w:cstheme="minorHAnsi"/>
                <w:sz w:val="22"/>
                <w:szCs w:val="22"/>
              </w:rPr>
              <w:t xml:space="preserve"> and </w:t>
            </w:r>
            <w:proofErr w:type="spellStart"/>
            <w:r w:rsidRPr="006442FB">
              <w:rPr>
                <w:rFonts w:asciiTheme="minorHAnsi" w:hAnsiTheme="minorHAnsi" w:cstheme="minorHAnsi"/>
                <w:sz w:val="22"/>
                <w:szCs w:val="22"/>
              </w:rPr>
              <w:t>Innovation</w:t>
            </w:r>
            <w:proofErr w:type="spellEnd"/>
            <w:r w:rsidRPr="006442FB">
              <w:rPr>
                <w:rFonts w:asciiTheme="minorHAnsi" w:hAnsiTheme="minorHAnsi" w:cstheme="minorHAnsi"/>
                <w:sz w:val="22"/>
                <w:szCs w:val="22"/>
              </w:rPr>
              <w:t xml:space="preserve"> </w:t>
            </w:r>
            <w:proofErr w:type="spellStart"/>
            <w:r w:rsidRPr="006442FB">
              <w:rPr>
                <w:rFonts w:asciiTheme="minorHAnsi" w:hAnsiTheme="minorHAnsi" w:cstheme="minorHAnsi"/>
                <w:sz w:val="22"/>
                <w:szCs w:val="22"/>
              </w:rPr>
              <w:t>Strategies</w:t>
            </w:r>
            <w:proofErr w:type="spellEnd"/>
            <w:r w:rsidRPr="006442FB">
              <w:rPr>
                <w:rFonts w:asciiTheme="minorHAnsi" w:hAnsiTheme="minorHAnsi" w:cstheme="minorHAnsi"/>
                <w:sz w:val="22"/>
                <w:szCs w:val="22"/>
              </w:rPr>
              <w:t xml:space="preserve"> </w:t>
            </w:r>
            <w:proofErr w:type="spellStart"/>
            <w:r w:rsidRPr="006442FB">
              <w:rPr>
                <w:rFonts w:asciiTheme="minorHAnsi" w:hAnsiTheme="minorHAnsi" w:cstheme="minorHAnsi"/>
                <w:sz w:val="22"/>
                <w:szCs w:val="22"/>
              </w:rPr>
              <w:t>for</w:t>
            </w:r>
            <w:proofErr w:type="spellEnd"/>
            <w:r w:rsidRPr="006442FB">
              <w:rPr>
                <w:rFonts w:asciiTheme="minorHAnsi" w:hAnsiTheme="minorHAnsi" w:cstheme="minorHAnsi"/>
                <w:sz w:val="22"/>
                <w:szCs w:val="22"/>
              </w:rPr>
              <w:t xml:space="preserve"> Smart </w:t>
            </w:r>
            <w:proofErr w:type="spellStart"/>
            <w:r w:rsidRPr="006442FB">
              <w:rPr>
                <w:rFonts w:asciiTheme="minorHAnsi" w:hAnsiTheme="minorHAnsi" w:cstheme="minorHAnsi"/>
                <w:sz w:val="22"/>
                <w:szCs w:val="22"/>
              </w:rPr>
              <w:t>Specialisations</w:t>
            </w:r>
            <w:proofErr w:type="spellEnd"/>
            <w:r w:rsidRPr="006442FB">
              <w:rPr>
                <w:rFonts w:asciiTheme="minorHAnsi" w:hAnsiTheme="minorHAnsi" w:cstheme="minorHAnsi"/>
                <w:sz w:val="22"/>
                <w:szCs w:val="22"/>
              </w:rPr>
              <w:t xml:space="preserve">“ a představuje předběžnou podmínku pro uskutečňování intervencí regionální politiky Evropské unie </w:t>
            </w:r>
            <w:r w:rsidRPr="006442FB">
              <w:rPr>
                <w:rFonts w:asciiTheme="minorHAnsi" w:hAnsiTheme="minorHAnsi" w:cstheme="minorHAnsi"/>
                <w:sz w:val="22"/>
                <w:szCs w:val="22"/>
              </w:rPr>
              <w:lastRenderedPageBreak/>
              <w:t>(Evropských strukturálních a investičních fondů, ESIF) v oblasti podpory výzkumu, vývoje a inovací. Podle Obecného nařízení (Nařízení Evropského parlamentu a Rady č. 1303/2013) je povinností zpracovat a předložit Evropské komisi strategii inteligentní specializace pro ty členské státy nebo regiony, které chtějí investovat prostředky ESIF do investičních priorit:</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1. Posilování výzkumu, technologického rozvoje a inovací</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2. Zlepšení přístupu k IKT, využití a kvality IKT</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Národní výzkumná a inovační strategie pro inteligentní specializaci České republiky v tomto smyslu představuje nejen předběžnou podmínku intervencí, ale také koordinační mechanismus intervencí, které se v dané oblasti mají uskutečnit bez ohledu na to, z jakého zdroje budou financovány. Přestože je RIS3 předběžnou podmínkou investic ESIF v daných investičních prioritách, není primárním smyslem RIS3 rozdělovat prostředky EISF, nýbrž podpořit hospodářský růst a transformaci směrem ke znalostní ekonomice, se zohledněním společenských výzev a podmínek členských států a jejich regionů při plném využití jejich výzkumného a inovačního potenciálu. Zvláštním a významným rysem RIS3 je důraz na tzv. „</w:t>
            </w:r>
            <w:proofErr w:type="spellStart"/>
            <w:r w:rsidRPr="006442FB">
              <w:rPr>
                <w:rFonts w:asciiTheme="minorHAnsi" w:hAnsiTheme="minorHAnsi" w:cstheme="minorHAnsi"/>
                <w:sz w:val="22"/>
                <w:szCs w:val="22"/>
              </w:rPr>
              <w:t>entrepreneurial</w:t>
            </w:r>
            <w:proofErr w:type="spellEnd"/>
            <w:r w:rsidRPr="006442FB">
              <w:rPr>
                <w:rFonts w:asciiTheme="minorHAnsi" w:hAnsiTheme="minorHAnsi" w:cstheme="minorHAnsi"/>
                <w:sz w:val="22"/>
                <w:szCs w:val="22"/>
              </w:rPr>
              <w:t xml:space="preserve"> </w:t>
            </w:r>
            <w:proofErr w:type="spellStart"/>
            <w:r w:rsidRPr="006442FB">
              <w:rPr>
                <w:rFonts w:asciiTheme="minorHAnsi" w:hAnsiTheme="minorHAnsi" w:cstheme="minorHAnsi"/>
                <w:sz w:val="22"/>
                <w:szCs w:val="22"/>
              </w:rPr>
              <w:t>discovery</w:t>
            </w:r>
            <w:proofErr w:type="spellEnd"/>
            <w:r w:rsidRPr="006442FB">
              <w:rPr>
                <w:rFonts w:asciiTheme="minorHAnsi" w:hAnsiTheme="minorHAnsi" w:cstheme="minorHAnsi"/>
                <w:sz w:val="22"/>
                <w:szCs w:val="22"/>
              </w:rPr>
              <w:t xml:space="preserve"> </w:t>
            </w:r>
            <w:proofErr w:type="spellStart"/>
            <w:r w:rsidRPr="006442FB">
              <w:rPr>
                <w:rFonts w:asciiTheme="minorHAnsi" w:hAnsiTheme="minorHAnsi" w:cstheme="minorHAnsi"/>
                <w:sz w:val="22"/>
                <w:szCs w:val="22"/>
              </w:rPr>
              <w:t>process</w:t>
            </w:r>
            <w:proofErr w:type="spellEnd"/>
            <w:r w:rsidRPr="006442FB">
              <w:rPr>
                <w:rFonts w:asciiTheme="minorHAnsi" w:hAnsiTheme="minorHAnsi" w:cstheme="minorHAnsi"/>
                <w:sz w:val="22"/>
                <w:szCs w:val="22"/>
              </w:rPr>
              <w:t xml:space="preserve">“ (proces podnikatelského objevování, účast podnikatelů, výzkumníků a dalších zainteresovaných hráčů na realizaci RIS3), který představuje mimo jiné participativní </w:t>
            </w:r>
            <w:r w:rsidRPr="006442FB">
              <w:rPr>
                <w:rFonts w:asciiTheme="minorHAnsi" w:hAnsiTheme="minorHAnsi" w:cstheme="minorHAnsi"/>
                <w:sz w:val="22"/>
                <w:szCs w:val="22"/>
              </w:rPr>
              <w:lastRenderedPageBreak/>
              <w:t>definování cílů strategie v kombinované účasti podnikatelů a výzkumníků, které však zahrnuje i další společensko-ekonomické skupiny, včetně občanské společnosti v roli uživatele inovací (</w:t>
            </w:r>
            <w:proofErr w:type="spellStart"/>
            <w:r w:rsidRPr="006442FB">
              <w:rPr>
                <w:rFonts w:asciiTheme="minorHAnsi" w:hAnsiTheme="minorHAnsi" w:cstheme="minorHAnsi"/>
                <w:sz w:val="22"/>
                <w:szCs w:val="22"/>
              </w:rPr>
              <w:t>quadruple</w:t>
            </w:r>
            <w:proofErr w:type="spellEnd"/>
            <w:r w:rsidRPr="006442FB">
              <w:rPr>
                <w:rFonts w:asciiTheme="minorHAnsi" w:hAnsiTheme="minorHAnsi" w:cstheme="minorHAnsi"/>
                <w:sz w:val="22"/>
                <w:szCs w:val="22"/>
              </w:rPr>
              <w:t xml:space="preserve"> helix).</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Národní RIS3 je určujícím národním dokumentem a krajské přílohy jeho zaměření jednak specifikují a upřesňují, zvláště v případě navrhovaných specializací, a v některých případech také doplňují o návrhy specifických intervencí, reflektujících zvláštní podmínky a potenciál jednotlivých krajů.</w:t>
            </w: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lastRenderedPageBreak/>
              <w:t>Cílem RIS3 strategie je efektivní zacílení finančních prostředků (evropských, národních,</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 xml:space="preserve">krajských i soukromých) do aktivit vedoucích k posílení inovační kapacity a do </w:t>
            </w:r>
            <w:r w:rsidRPr="006442FB">
              <w:rPr>
                <w:rFonts w:asciiTheme="minorHAnsi" w:hAnsiTheme="minorHAnsi" w:cstheme="minorHAnsi"/>
                <w:sz w:val="22"/>
                <w:szCs w:val="22"/>
              </w:rPr>
              <w:lastRenderedPageBreak/>
              <w:t>prioritně</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vytyčených perspektivních oblastí s cílem plně využít znalostní potenciál jak na národní, tak i</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na regionální úrovni, a podpořit tak snižování nezaměstnanosti a posilování</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konkurenceschopnosti ekonomiky.</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Hlavním cílem a účelem RIS3 je tedy podpora hospodářského růstu a konkurenceschopnosti založených na využívání znalostí a na inovacích (na rozdíl od konkurenceschopnosti založené převážně na efektivitě).</w:t>
            </w: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lastRenderedPageBreak/>
              <w:t xml:space="preserve">V souladu s metodickým dokumentem EK k ex-ante </w:t>
            </w:r>
            <w:proofErr w:type="spellStart"/>
            <w:r w:rsidRPr="006442FB">
              <w:rPr>
                <w:rFonts w:asciiTheme="minorHAnsi" w:hAnsiTheme="minorHAnsi" w:cstheme="minorHAnsi"/>
                <w:sz w:val="22"/>
                <w:szCs w:val="22"/>
              </w:rPr>
              <w:t>kondicionalitám</w:t>
            </w:r>
            <w:proofErr w:type="spellEnd"/>
            <w:r w:rsidRPr="006442FB">
              <w:rPr>
                <w:rFonts w:asciiTheme="minorHAnsi" w:hAnsiTheme="minorHAnsi" w:cstheme="minorHAnsi"/>
                <w:sz w:val="22"/>
                <w:szCs w:val="22"/>
              </w:rPr>
              <w:t xml:space="preserve"> byl zpracován Akční plán RIS3, který specifikuje konkrétní kroky a harmonogram přípravy strategie. RIS3 </w:t>
            </w:r>
            <w:r w:rsidRPr="006442FB">
              <w:rPr>
                <w:rFonts w:asciiTheme="minorHAnsi" w:hAnsiTheme="minorHAnsi" w:cstheme="minorHAnsi"/>
                <w:sz w:val="22"/>
                <w:szCs w:val="22"/>
              </w:rPr>
              <w:lastRenderedPageBreak/>
              <w:t xml:space="preserve">dotváří strategický rámec pro digitální růst ve vazbě na předběžnou podmínku č. 2.1. Aktuální akční plán </w:t>
            </w:r>
            <w:r w:rsidR="00947C84">
              <w:rPr>
                <w:rFonts w:asciiTheme="minorHAnsi" w:hAnsiTheme="minorHAnsi" w:cstheme="minorHAnsi"/>
                <w:sz w:val="22"/>
                <w:szCs w:val="22"/>
              </w:rPr>
              <w:t xml:space="preserve">je </w:t>
            </w:r>
            <w:r w:rsidRPr="006442FB">
              <w:rPr>
                <w:rFonts w:asciiTheme="minorHAnsi" w:hAnsiTheme="minorHAnsi" w:cstheme="minorHAnsi"/>
                <w:sz w:val="22"/>
                <w:szCs w:val="22"/>
              </w:rPr>
              <w:t>připojen k relevantním OP (</w:t>
            </w:r>
            <w:r w:rsidR="001D2A73">
              <w:rPr>
                <w:rFonts w:asciiTheme="minorHAnsi" w:hAnsiTheme="minorHAnsi" w:cstheme="minorHAnsi"/>
                <w:sz w:val="22"/>
                <w:szCs w:val="22"/>
              </w:rPr>
              <w:t>O</w:t>
            </w:r>
            <w:r w:rsidR="00DC0199">
              <w:rPr>
                <w:rFonts w:asciiTheme="minorHAnsi" w:hAnsiTheme="minorHAnsi" w:cstheme="minorHAnsi"/>
                <w:sz w:val="22"/>
                <w:szCs w:val="22"/>
              </w:rPr>
              <w:t>P</w:t>
            </w:r>
            <w:r w:rsidR="001D2A73">
              <w:rPr>
                <w:rFonts w:asciiTheme="minorHAnsi" w:hAnsiTheme="minorHAnsi" w:cstheme="minorHAnsi"/>
                <w:sz w:val="22"/>
                <w:szCs w:val="22"/>
              </w:rPr>
              <w:t xml:space="preserve"> VVV, </w:t>
            </w:r>
            <w:r w:rsidRPr="006442FB">
              <w:rPr>
                <w:rFonts w:asciiTheme="minorHAnsi" w:hAnsiTheme="minorHAnsi" w:cstheme="minorHAnsi"/>
                <w:sz w:val="22"/>
                <w:szCs w:val="22"/>
              </w:rPr>
              <w:t>OP PIK a OP Praha – pól růstu).</w:t>
            </w:r>
          </w:p>
          <w:p w:rsidR="006442FB" w:rsidRPr="006442FB" w:rsidRDefault="006442FB" w:rsidP="006E6B3F">
            <w:pPr>
              <w:jc w:val="both"/>
              <w:rPr>
                <w:rFonts w:asciiTheme="minorHAnsi" w:hAnsiTheme="minorHAnsi" w:cstheme="minorHAnsi"/>
                <w:sz w:val="22"/>
                <w:szCs w:val="22"/>
              </w:rPr>
            </w:pPr>
          </w:p>
          <w:p w:rsidR="00947C84" w:rsidRPr="006442FB" w:rsidRDefault="006442FB" w:rsidP="00947C84">
            <w:pPr>
              <w:jc w:val="both"/>
              <w:rPr>
                <w:rFonts w:asciiTheme="minorHAnsi" w:hAnsiTheme="minorHAnsi" w:cstheme="minorHAnsi"/>
                <w:sz w:val="22"/>
                <w:szCs w:val="22"/>
              </w:rPr>
            </w:pPr>
            <w:r w:rsidRPr="006442FB">
              <w:rPr>
                <w:rFonts w:asciiTheme="minorHAnsi" w:hAnsiTheme="minorHAnsi" w:cstheme="minorHAnsi"/>
                <w:sz w:val="22"/>
                <w:szCs w:val="22"/>
              </w:rPr>
              <w:t xml:space="preserve">Národní výzkumná a inovační strategie pro inteligentní specializaci České republiky (RIS3) byla finalizována a schválena poradou vedení MŠMT a Národní RIS3 koordinační radou (vrcholným dozorčím a koordinačním orgánem pro přípravu RIS3 strategie ČR) v říjnu 2014. V listopadu 2014 </w:t>
            </w:r>
            <w:r w:rsidR="00947C84">
              <w:rPr>
                <w:rFonts w:asciiTheme="minorHAnsi" w:hAnsiTheme="minorHAnsi" w:cstheme="minorHAnsi"/>
                <w:sz w:val="22"/>
                <w:szCs w:val="22"/>
              </w:rPr>
              <w:t xml:space="preserve">byl </w:t>
            </w:r>
            <w:r w:rsidRPr="006442FB">
              <w:rPr>
                <w:rFonts w:asciiTheme="minorHAnsi" w:hAnsiTheme="minorHAnsi" w:cstheme="minorHAnsi"/>
                <w:sz w:val="22"/>
                <w:szCs w:val="22"/>
              </w:rPr>
              <w:t xml:space="preserve">materiál předložen do meziresortního připomínkového řízení a následně vládě ČR k projednání. </w:t>
            </w:r>
            <w:r w:rsidR="00947C84">
              <w:rPr>
                <w:rFonts w:asciiTheme="minorHAnsi" w:hAnsiTheme="minorHAnsi" w:cstheme="minorHAnsi"/>
                <w:sz w:val="22"/>
                <w:szCs w:val="22"/>
              </w:rPr>
              <w:t xml:space="preserve">Strategie byla schválena vládou dne </w:t>
            </w:r>
            <w:r w:rsidR="00947C84" w:rsidRPr="008028A0">
              <w:rPr>
                <w:rFonts w:asciiTheme="minorHAnsi" w:hAnsiTheme="minorHAnsi" w:cstheme="minorHAnsi"/>
                <w:sz w:val="22"/>
                <w:szCs w:val="22"/>
              </w:rPr>
              <w:t>8.12.2014 (usnesení vlády č. 1028/2014).</w:t>
            </w:r>
            <w:r w:rsidR="00947C84" w:rsidRPr="006442FB">
              <w:rPr>
                <w:rFonts w:asciiTheme="minorHAnsi" w:hAnsiTheme="minorHAnsi" w:cstheme="minorHAnsi"/>
                <w:sz w:val="22"/>
                <w:szCs w:val="22"/>
              </w:rPr>
              <w:t xml:space="preserve"> </w:t>
            </w:r>
          </w:p>
          <w:p w:rsidR="006442FB" w:rsidRPr="006442FB" w:rsidRDefault="006442FB" w:rsidP="006E6B3F">
            <w:pPr>
              <w:rPr>
                <w:rFonts w:asciiTheme="minorHAnsi" w:hAnsiTheme="minorHAnsi" w:cstheme="minorHAnsi"/>
                <w:sz w:val="22"/>
                <w:szCs w:val="22"/>
              </w:rPr>
            </w:pPr>
          </w:p>
          <w:p w:rsidR="006442FB" w:rsidRPr="006442FB" w:rsidRDefault="006442FB" w:rsidP="006E6B3F">
            <w:pPr>
              <w:rPr>
                <w:rFonts w:asciiTheme="minorHAnsi" w:hAnsiTheme="minorHAnsi" w:cstheme="minorHAnsi"/>
                <w:sz w:val="22"/>
                <w:szCs w:val="22"/>
              </w:rPr>
            </w:pPr>
            <w:r w:rsidRPr="006442FB">
              <w:rPr>
                <w:rFonts w:asciiTheme="minorHAnsi" w:hAnsiTheme="minorHAnsi" w:cstheme="minorHAnsi"/>
                <w:sz w:val="22"/>
                <w:szCs w:val="22"/>
              </w:rPr>
              <w:t xml:space="preserve">Dokument </w:t>
            </w:r>
            <w:r w:rsidR="00272937">
              <w:rPr>
                <w:rFonts w:asciiTheme="minorHAnsi" w:hAnsiTheme="minorHAnsi" w:cstheme="minorHAnsi"/>
                <w:sz w:val="22"/>
                <w:szCs w:val="22"/>
              </w:rPr>
              <w:t xml:space="preserve">byl </w:t>
            </w:r>
            <w:r w:rsidRPr="006442FB">
              <w:rPr>
                <w:rFonts w:asciiTheme="minorHAnsi" w:hAnsiTheme="minorHAnsi" w:cstheme="minorHAnsi"/>
                <w:sz w:val="22"/>
                <w:szCs w:val="22"/>
              </w:rPr>
              <w:t xml:space="preserve"> </w:t>
            </w:r>
            <w:r w:rsidR="00393768">
              <w:rPr>
                <w:rFonts w:asciiTheme="minorHAnsi" w:hAnsiTheme="minorHAnsi" w:cstheme="minorHAnsi"/>
                <w:sz w:val="22"/>
                <w:szCs w:val="22"/>
              </w:rPr>
              <w:t xml:space="preserve"> </w:t>
            </w:r>
            <w:r w:rsidRPr="006442FB">
              <w:rPr>
                <w:rFonts w:asciiTheme="minorHAnsi" w:hAnsiTheme="minorHAnsi" w:cstheme="minorHAnsi"/>
                <w:sz w:val="22"/>
                <w:szCs w:val="22"/>
              </w:rPr>
              <w:t xml:space="preserve">po celou dobu přípravy neformálně konzultován s DG </w:t>
            </w:r>
            <w:proofErr w:type="spellStart"/>
            <w:r w:rsidRPr="006442FB">
              <w:rPr>
                <w:rFonts w:asciiTheme="minorHAnsi" w:hAnsiTheme="minorHAnsi" w:cstheme="minorHAnsi"/>
                <w:sz w:val="22"/>
                <w:szCs w:val="22"/>
              </w:rPr>
              <w:t>Regio</w:t>
            </w:r>
            <w:proofErr w:type="spellEnd"/>
            <w:r w:rsidRPr="006442FB">
              <w:rPr>
                <w:rFonts w:asciiTheme="minorHAnsi" w:hAnsiTheme="minorHAnsi" w:cstheme="minorHAnsi"/>
                <w:sz w:val="22"/>
                <w:szCs w:val="22"/>
              </w:rPr>
              <w:t xml:space="preserve"> EK.</w:t>
            </w:r>
          </w:p>
          <w:p w:rsidR="006442FB" w:rsidRPr="006442FB" w:rsidRDefault="006442FB" w:rsidP="006E6B3F">
            <w:pPr>
              <w:jc w:val="both"/>
              <w:rPr>
                <w:rFonts w:asciiTheme="minorHAnsi" w:hAnsiTheme="minorHAnsi" w:cstheme="minorHAnsi"/>
                <w:sz w:val="22"/>
                <w:szCs w:val="22"/>
              </w:rPr>
            </w:pPr>
          </w:p>
        </w:tc>
      </w:tr>
      <w:tr w:rsidR="006442FB" w:rsidRPr="006442FB" w:rsidTr="00557FFB">
        <w:tc>
          <w:tcPr>
            <w:tcW w:w="2828" w:type="dxa"/>
            <w:tcBorders>
              <w:top w:val="single" w:sz="4" w:space="0" w:color="auto"/>
              <w:left w:val="single" w:sz="4" w:space="0" w:color="auto"/>
              <w:bottom w:val="single" w:sz="4" w:space="0" w:color="auto"/>
              <w:right w:val="single" w:sz="4" w:space="0" w:color="auto"/>
            </w:tcBorders>
          </w:tcPr>
          <w:p w:rsidR="006442FB" w:rsidRPr="006442FB" w:rsidRDefault="00CD5E51" w:rsidP="00393768">
            <w:pPr>
              <w:rPr>
                <w:rFonts w:asciiTheme="minorHAnsi" w:hAnsiTheme="minorHAnsi" w:cstheme="minorHAnsi"/>
                <w:b/>
                <w:sz w:val="22"/>
                <w:szCs w:val="22"/>
              </w:rPr>
            </w:pPr>
            <w:r w:rsidRPr="00C44945">
              <w:rPr>
                <w:rFonts w:asciiTheme="minorHAnsi" w:hAnsiTheme="minorHAnsi" w:cstheme="minorHAnsi"/>
                <w:sz w:val="22"/>
                <w:szCs w:val="22"/>
              </w:rPr>
              <w:lastRenderedPageBreak/>
              <w:t>Strategie digitální gramotnosti ČR na období 2015 – 2020</w:t>
            </w:r>
          </w:p>
        </w:tc>
        <w:tc>
          <w:tcPr>
            <w:tcW w:w="124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MPSV</w:t>
            </w:r>
          </w:p>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t>MŠMT</w:t>
            </w:r>
          </w:p>
        </w:tc>
        <w:tc>
          <w:tcPr>
            <w:tcW w:w="4445" w:type="dxa"/>
            <w:tcBorders>
              <w:top w:val="single" w:sz="4" w:space="0" w:color="auto"/>
              <w:left w:val="single" w:sz="4" w:space="0" w:color="auto"/>
              <w:bottom w:val="single" w:sz="4" w:space="0" w:color="auto"/>
              <w:right w:val="single" w:sz="4" w:space="0" w:color="auto"/>
            </w:tcBorders>
          </w:tcPr>
          <w:p w:rsidR="006442FB" w:rsidRPr="006442FB" w:rsidRDefault="006442FB" w:rsidP="006442FB">
            <w:pPr>
              <w:pStyle w:val="Nadpis1"/>
              <w:numPr>
                <w:ilvl w:val="0"/>
                <w:numId w:val="0"/>
              </w:numPr>
              <w:spacing w:before="0" w:after="0"/>
              <w:ind w:left="34"/>
              <w:rPr>
                <w:rFonts w:asciiTheme="minorHAnsi" w:hAnsiTheme="minorHAnsi" w:cstheme="minorHAnsi"/>
                <w:b w:val="0"/>
                <w:smallCaps w:val="0"/>
                <w:color w:val="000000" w:themeColor="text1"/>
                <w:sz w:val="22"/>
                <w:szCs w:val="22"/>
              </w:rPr>
            </w:pPr>
            <w:r w:rsidRPr="006442FB">
              <w:rPr>
                <w:rFonts w:asciiTheme="minorHAnsi" w:hAnsiTheme="minorHAnsi" w:cstheme="minorHAnsi"/>
                <w:b w:val="0"/>
                <w:smallCaps w:val="0"/>
                <w:color w:val="000000" w:themeColor="text1"/>
                <w:sz w:val="22"/>
                <w:szCs w:val="22"/>
              </w:rPr>
              <w:t xml:space="preserve">V současné době probíhají jednání mezi oběma resorty (prostřednictvím Fondu dalšího vzdělávání a Národního ústavu pro vzdělávání) k detailnějšímu rozpracování struktury strategie (aktuální a nejspíše konečné rozpracování struktury strategie viz níže).  MPSV bude vycházet ze zpracované Strategie digitálního vzdělávání MŠMT za oblast počátečního vzdělávání, která bude přejata a pokračovat bude část dalšího vzdělávání (ve spolupráci s MŠMT) a část na rozvoj digitálních kompetencí k uplatnění na trhu práce, sociálnímu začleňování a zvýšení efektivity veřejné správy. Pozornost bude věnována rovněž rozvoji přístupu ke vzdělávání – otevřenému vzdělávání. Vlastní strategie je rozdělena na část MŠMT pro oblast počátečního vzdělávání a část zpracovávanou </w:t>
            </w:r>
            <w:r w:rsidRPr="006442FB">
              <w:rPr>
                <w:rFonts w:asciiTheme="minorHAnsi" w:hAnsiTheme="minorHAnsi" w:cstheme="minorHAnsi"/>
                <w:b w:val="0"/>
                <w:smallCaps w:val="0"/>
                <w:color w:val="000000" w:themeColor="text1"/>
                <w:sz w:val="22"/>
                <w:szCs w:val="22"/>
              </w:rPr>
              <w:lastRenderedPageBreak/>
              <w:t>MPSV ve spolupráci s MŠMT v oblasti dalšího vzdělávání. Společně budou obě části tvořit ucelený strategický rámec. Součástí této strategie budou ukazatele umožňující měření pokroku v oblasti počítačové gramotnosti a digitálního začlenění.</w:t>
            </w:r>
          </w:p>
          <w:p w:rsidR="006442FB" w:rsidRPr="006442FB" w:rsidRDefault="006442FB" w:rsidP="006442FB">
            <w:pPr>
              <w:ind w:left="34"/>
              <w:rPr>
                <w:rFonts w:asciiTheme="minorHAnsi" w:hAnsiTheme="minorHAnsi" w:cstheme="minorHAnsi"/>
                <w:b/>
                <w:sz w:val="22"/>
                <w:szCs w:val="22"/>
              </w:rPr>
            </w:pPr>
            <w:r w:rsidRPr="006442FB">
              <w:rPr>
                <w:rFonts w:asciiTheme="minorHAnsi" w:hAnsiTheme="minorHAnsi" w:cstheme="minorHAnsi"/>
                <w:b/>
                <w:sz w:val="22"/>
                <w:szCs w:val="22"/>
              </w:rPr>
              <w:t>Aktualizovaná struktura strategie</w:t>
            </w:r>
          </w:p>
          <w:p w:rsidR="006442FB" w:rsidRPr="006442FB" w:rsidRDefault="006442FB" w:rsidP="006442FB">
            <w:pPr>
              <w:pStyle w:val="Nadpis1"/>
              <w:keepLines/>
              <w:pageBreakBefore w:val="0"/>
              <w:numPr>
                <w:ilvl w:val="0"/>
                <w:numId w:val="0"/>
              </w:numPr>
              <w:spacing w:before="0" w:after="0" w:line="240" w:lineRule="auto"/>
              <w:ind w:left="34"/>
              <w:rPr>
                <w:rFonts w:asciiTheme="minorHAnsi" w:hAnsiTheme="minorHAnsi" w:cstheme="minorHAnsi"/>
                <w:smallCaps w:val="0"/>
                <w:color w:val="000000" w:themeColor="text1"/>
                <w:sz w:val="22"/>
                <w:szCs w:val="22"/>
              </w:rPr>
            </w:pPr>
            <w:r w:rsidRPr="006442FB">
              <w:rPr>
                <w:rFonts w:asciiTheme="minorHAnsi" w:hAnsiTheme="minorHAnsi" w:cstheme="minorHAnsi"/>
                <w:smallCaps w:val="0"/>
                <w:color w:val="000000" w:themeColor="text1"/>
                <w:sz w:val="22"/>
                <w:szCs w:val="22"/>
              </w:rPr>
              <w:t xml:space="preserve">Úvod – </w:t>
            </w:r>
            <w:r w:rsidRPr="006442FB">
              <w:rPr>
                <w:rFonts w:asciiTheme="minorHAnsi" w:hAnsiTheme="minorHAnsi" w:cstheme="minorHAnsi"/>
                <w:b w:val="0"/>
                <w:smallCaps w:val="0"/>
                <w:color w:val="000000" w:themeColor="text1"/>
                <w:sz w:val="22"/>
                <w:szCs w:val="22"/>
              </w:rPr>
              <w:t>zde budou uvedeny okolnosti vzniku strategie, účel a cíl strategického dokumentu, stručný popis struktury a obsahu jednotlivých částí, dále informace o způsobu vzniku strategie včetně zadání Digitální Česko, bude vysvětleno provázání se Strategií digi</w:t>
            </w:r>
            <w:r w:rsidR="00C44945">
              <w:rPr>
                <w:rFonts w:asciiTheme="minorHAnsi" w:hAnsiTheme="minorHAnsi" w:cstheme="minorHAnsi"/>
                <w:b w:val="0"/>
                <w:smallCaps w:val="0"/>
                <w:color w:val="000000" w:themeColor="text1"/>
                <w:sz w:val="22"/>
                <w:szCs w:val="22"/>
              </w:rPr>
              <w:t>tálního vzdělávání do roku 2020</w:t>
            </w:r>
            <w:r w:rsidRPr="006442FB">
              <w:rPr>
                <w:rFonts w:asciiTheme="minorHAnsi" w:hAnsiTheme="minorHAnsi" w:cstheme="minorHAnsi"/>
                <w:b w:val="0"/>
                <w:smallCaps w:val="0"/>
                <w:color w:val="000000" w:themeColor="text1"/>
                <w:sz w:val="22"/>
                <w:szCs w:val="22"/>
              </w:rPr>
              <w:t xml:space="preserve"> a Strategií vzdělávací politiky České republiky do roku 2020</w:t>
            </w:r>
            <w:r w:rsidR="00CC5D45">
              <w:rPr>
                <w:rFonts w:asciiTheme="minorHAnsi" w:hAnsiTheme="minorHAnsi" w:cstheme="minorHAnsi"/>
                <w:b w:val="0"/>
                <w:smallCaps w:val="0"/>
                <w:color w:val="000000" w:themeColor="text1"/>
                <w:sz w:val="22"/>
                <w:szCs w:val="22"/>
              </w:rPr>
              <w:t>.</w:t>
            </w:r>
          </w:p>
          <w:p w:rsidR="006442FB" w:rsidRPr="006442FB" w:rsidRDefault="006442FB" w:rsidP="006442FB">
            <w:pPr>
              <w:pStyle w:val="Nadpis1"/>
              <w:keepLines/>
              <w:pageBreakBefore w:val="0"/>
              <w:numPr>
                <w:ilvl w:val="0"/>
                <w:numId w:val="0"/>
              </w:numPr>
              <w:spacing w:before="0" w:after="0" w:line="240" w:lineRule="auto"/>
              <w:ind w:left="34"/>
              <w:rPr>
                <w:rFonts w:asciiTheme="minorHAnsi" w:hAnsiTheme="minorHAnsi" w:cstheme="minorHAnsi"/>
                <w:smallCaps w:val="0"/>
                <w:color w:val="000000" w:themeColor="text1"/>
                <w:sz w:val="22"/>
                <w:szCs w:val="22"/>
              </w:rPr>
            </w:pPr>
            <w:r w:rsidRPr="006442FB">
              <w:rPr>
                <w:rFonts w:asciiTheme="minorHAnsi" w:hAnsiTheme="minorHAnsi" w:cstheme="minorHAnsi"/>
                <w:smallCaps w:val="0"/>
                <w:color w:val="000000" w:themeColor="text1"/>
                <w:sz w:val="22"/>
                <w:szCs w:val="22"/>
              </w:rPr>
              <w:t>Digitální technologie pro život v 21. Století –</w:t>
            </w:r>
            <w:r w:rsidRPr="006442FB">
              <w:rPr>
                <w:rFonts w:asciiTheme="minorHAnsi" w:hAnsiTheme="minorHAnsi" w:cstheme="minorHAnsi"/>
                <w:b w:val="0"/>
                <w:smallCaps w:val="0"/>
                <w:color w:val="000000" w:themeColor="text1"/>
                <w:sz w:val="22"/>
                <w:szCs w:val="22"/>
              </w:rPr>
              <w:t xml:space="preserve"> v této kapitole bude zmíněn kontext informační/vzdělanostní společnosti, význam využívání digitálních technologií pro jednotlivce a organizace a koncept digitálního vyloučení. Dále bude zmíněn význam digitální gramotnosti v informační/vzdělanostní společnosti, koncept digitální gramotnosti, žádoucí stav digitální gramotnosti v plánovaném výhledu a hlavní nedostatky a nerovnosti v současném stavu. Dále zde bude uveden význam strategie (pro dosažení ideálního stavu), základní principy a oblasti řízeného zvyšování digitální gramotnosti v populaci, obecné problémy dosavadní praxe, významné dokumenty zabývající se tématem digitální gramotnosti a změny ve způsobech a </w:t>
            </w:r>
            <w:r w:rsidRPr="006442FB">
              <w:rPr>
                <w:rFonts w:asciiTheme="minorHAnsi" w:hAnsiTheme="minorHAnsi" w:cstheme="minorHAnsi"/>
                <w:b w:val="0"/>
                <w:smallCaps w:val="0"/>
                <w:color w:val="000000" w:themeColor="text1"/>
                <w:sz w:val="22"/>
                <w:szCs w:val="22"/>
              </w:rPr>
              <w:lastRenderedPageBreak/>
              <w:t>možnostech vzdělávání.</w:t>
            </w:r>
          </w:p>
          <w:p w:rsidR="006442FB" w:rsidRPr="006442FB" w:rsidRDefault="006442FB" w:rsidP="006442FB">
            <w:pPr>
              <w:pStyle w:val="Nadpis1"/>
              <w:keepLines/>
              <w:pageBreakBefore w:val="0"/>
              <w:numPr>
                <w:ilvl w:val="0"/>
                <w:numId w:val="0"/>
              </w:numPr>
              <w:spacing w:before="0" w:after="0" w:line="240" w:lineRule="auto"/>
              <w:ind w:left="34"/>
              <w:rPr>
                <w:rFonts w:asciiTheme="minorHAnsi" w:hAnsiTheme="minorHAnsi" w:cstheme="minorHAnsi"/>
                <w:smallCaps w:val="0"/>
                <w:color w:val="000000" w:themeColor="text1"/>
                <w:sz w:val="22"/>
                <w:szCs w:val="22"/>
              </w:rPr>
            </w:pPr>
            <w:bookmarkStart w:id="2" w:name="h.3znysh7" w:colFirst="0" w:colLast="0"/>
            <w:bookmarkEnd w:id="2"/>
            <w:r w:rsidRPr="006442FB">
              <w:rPr>
                <w:rFonts w:asciiTheme="minorHAnsi" w:hAnsiTheme="minorHAnsi" w:cstheme="minorHAnsi"/>
                <w:smallCaps w:val="0"/>
                <w:color w:val="000000" w:themeColor="text1"/>
                <w:sz w:val="22"/>
                <w:szCs w:val="22"/>
              </w:rPr>
              <w:t xml:space="preserve">Popis současného stavu digitálního vzdělávání a digitální gramotnosti v ČR </w:t>
            </w:r>
            <w:r w:rsidRPr="006442FB">
              <w:rPr>
                <w:rFonts w:asciiTheme="minorHAnsi" w:hAnsiTheme="minorHAnsi" w:cstheme="minorHAnsi"/>
                <w:b w:val="0"/>
                <w:smallCaps w:val="0"/>
                <w:color w:val="000000" w:themeColor="text1"/>
                <w:sz w:val="22"/>
                <w:szCs w:val="22"/>
              </w:rPr>
              <w:t>– zde budou identifikovány okruhy, pod které budou zařazeny jednotlivé problémy a překážky v naplňování vize. Identifikovány budou i jednotlivé způsoby, formy a oblasti získávání digitálních kompetencí. Vymezeni budou aktéři a hlavní stávající nástroje veřejné politiky. Dále zde budou popsány faktory působící na problematiku učení a vzdělávání digitální gramotnosti (s ohledem na současnost v ČR) a aktuální stav dovedností dospělých v ČR při řešení problémů v prostředí informačních technologií dle PIAAC (</w:t>
            </w:r>
            <w:proofErr w:type="spellStart"/>
            <w:r w:rsidRPr="006442FB">
              <w:rPr>
                <w:rFonts w:asciiTheme="minorHAnsi" w:hAnsiTheme="minorHAnsi" w:cstheme="minorHAnsi"/>
                <w:b w:val="0"/>
                <w:smallCaps w:val="0"/>
                <w:color w:val="000000" w:themeColor="text1"/>
                <w:sz w:val="22"/>
                <w:szCs w:val="22"/>
              </w:rPr>
              <w:t>Programme</w:t>
            </w:r>
            <w:proofErr w:type="spellEnd"/>
            <w:r w:rsidRPr="006442FB">
              <w:rPr>
                <w:rFonts w:asciiTheme="minorHAnsi" w:hAnsiTheme="minorHAnsi" w:cstheme="minorHAnsi"/>
                <w:b w:val="0"/>
                <w:smallCaps w:val="0"/>
                <w:color w:val="000000" w:themeColor="text1"/>
                <w:sz w:val="22"/>
                <w:szCs w:val="22"/>
              </w:rPr>
              <w:t xml:space="preserve"> </w:t>
            </w:r>
            <w:proofErr w:type="spellStart"/>
            <w:r w:rsidRPr="006442FB">
              <w:rPr>
                <w:rFonts w:asciiTheme="minorHAnsi" w:hAnsiTheme="minorHAnsi" w:cstheme="minorHAnsi"/>
                <w:b w:val="0"/>
                <w:smallCaps w:val="0"/>
                <w:color w:val="000000" w:themeColor="text1"/>
                <w:sz w:val="22"/>
                <w:szCs w:val="22"/>
              </w:rPr>
              <w:t>for</w:t>
            </w:r>
            <w:proofErr w:type="spellEnd"/>
            <w:r w:rsidRPr="006442FB">
              <w:rPr>
                <w:rFonts w:asciiTheme="minorHAnsi" w:hAnsiTheme="minorHAnsi" w:cstheme="minorHAnsi"/>
                <w:b w:val="0"/>
                <w:smallCaps w:val="0"/>
                <w:color w:val="000000" w:themeColor="text1"/>
                <w:sz w:val="22"/>
                <w:szCs w:val="22"/>
              </w:rPr>
              <w:t xml:space="preserve"> International </w:t>
            </w:r>
            <w:proofErr w:type="spellStart"/>
            <w:r w:rsidRPr="006442FB">
              <w:rPr>
                <w:rFonts w:asciiTheme="minorHAnsi" w:hAnsiTheme="minorHAnsi" w:cstheme="minorHAnsi"/>
                <w:b w:val="0"/>
                <w:smallCaps w:val="0"/>
                <w:color w:val="000000" w:themeColor="text1"/>
                <w:sz w:val="22"/>
                <w:szCs w:val="22"/>
              </w:rPr>
              <w:t>Assessment</w:t>
            </w:r>
            <w:proofErr w:type="spellEnd"/>
            <w:r w:rsidRPr="006442FB">
              <w:rPr>
                <w:rFonts w:asciiTheme="minorHAnsi" w:hAnsiTheme="minorHAnsi" w:cstheme="minorHAnsi"/>
                <w:b w:val="0"/>
                <w:smallCaps w:val="0"/>
                <w:color w:val="000000" w:themeColor="text1"/>
                <w:sz w:val="22"/>
                <w:szCs w:val="22"/>
              </w:rPr>
              <w:t xml:space="preserve"> </w:t>
            </w:r>
            <w:proofErr w:type="spellStart"/>
            <w:r w:rsidRPr="006442FB">
              <w:rPr>
                <w:rFonts w:asciiTheme="minorHAnsi" w:hAnsiTheme="minorHAnsi" w:cstheme="minorHAnsi"/>
                <w:b w:val="0"/>
                <w:smallCaps w:val="0"/>
                <w:color w:val="000000" w:themeColor="text1"/>
                <w:sz w:val="22"/>
                <w:szCs w:val="22"/>
              </w:rPr>
              <w:t>of</w:t>
            </w:r>
            <w:proofErr w:type="spellEnd"/>
            <w:r w:rsidRPr="006442FB">
              <w:rPr>
                <w:rFonts w:asciiTheme="minorHAnsi" w:hAnsiTheme="minorHAnsi" w:cstheme="minorHAnsi"/>
                <w:b w:val="0"/>
                <w:smallCaps w:val="0"/>
                <w:color w:val="000000" w:themeColor="text1"/>
                <w:sz w:val="22"/>
                <w:szCs w:val="22"/>
              </w:rPr>
              <w:t xml:space="preserve"> </w:t>
            </w:r>
            <w:proofErr w:type="spellStart"/>
            <w:r w:rsidRPr="006442FB">
              <w:rPr>
                <w:rFonts w:asciiTheme="minorHAnsi" w:hAnsiTheme="minorHAnsi" w:cstheme="minorHAnsi"/>
                <w:b w:val="0"/>
                <w:smallCaps w:val="0"/>
                <w:color w:val="000000" w:themeColor="text1"/>
                <w:sz w:val="22"/>
                <w:szCs w:val="22"/>
              </w:rPr>
              <w:t>Adult</w:t>
            </w:r>
            <w:proofErr w:type="spellEnd"/>
            <w:r w:rsidRPr="006442FB">
              <w:rPr>
                <w:rFonts w:asciiTheme="minorHAnsi" w:hAnsiTheme="minorHAnsi" w:cstheme="minorHAnsi"/>
                <w:b w:val="0"/>
                <w:smallCaps w:val="0"/>
                <w:color w:val="000000" w:themeColor="text1"/>
                <w:sz w:val="22"/>
                <w:szCs w:val="22"/>
              </w:rPr>
              <w:t xml:space="preserve"> </w:t>
            </w:r>
            <w:proofErr w:type="spellStart"/>
            <w:r w:rsidRPr="006442FB">
              <w:rPr>
                <w:rFonts w:asciiTheme="minorHAnsi" w:hAnsiTheme="minorHAnsi" w:cstheme="minorHAnsi"/>
                <w:b w:val="0"/>
                <w:smallCaps w:val="0"/>
                <w:color w:val="000000" w:themeColor="text1"/>
                <w:sz w:val="22"/>
                <w:szCs w:val="22"/>
              </w:rPr>
              <w:t>Competencies</w:t>
            </w:r>
            <w:proofErr w:type="spellEnd"/>
            <w:r w:rsidRPr="006442FB">
              <w:rPr>
                <w:rFonts w:asciiTheme="minorHAnsi" w:hAnsiTheme="minorHAnsi" w:cstheme="minorHAnsi"/>
                <w:b w:val="0"/>
                <w:smallCaps w:val="0"/>
                <w:color w:val="000000" w:themeColor="text1"/>
                <w:sz w:val="22"/>
                <w:szCs w:val="22"/>
              </w:rPr>
              <w:t>).</w:t>
            </w:r>
          </w:p>
          <w:p w:rsidR="006442FB" w:rsidRPr="006442FB" w:rsidRDefault="006442FB" w:rsidP="006442FB">
            <w:pPr>
              <w:ind w:left="34"/>
              <w:jc w:val="both"/>
              <w:rPr>
                <w:rFonts w:asciiTheme="minorHAnsi" w:hAnsiTheme="minorHAnsi" w:cstheme="minorHAnsi"/>
                <w:color w:val="000000" w:themeColor="text1"/>
                <w:sz w:val="22"/>
                <w:szCs w:val="22"/>
              </w:rPr>
            </w:pPr>
            <w:r w:rsidRPr="006442FB">
              <w:rPr>
                <w:rFonts w:asciiTheme="minorHAnsi" w:hAnsiTheme="minorHAnsi" w:cstheme="minorHAnsi"/>
                <w:color w:val="000000" w:themeColor="text1"/>
                <w:sz w:val="22"/>
                <w:szCs w:val="22"/>
              </w:rPr>
              <w:t xml:space="preserve">Bude zde popsána jak </w:t>
            </w:r>
            <w:r w:rsidRPr="006442FB">
              <w:rPr>
                <w:rFonts w:asciiTheme="minorHAnsi" w:hAnsiTheme="minorHAnsi" w:cstheme="minorHAnsi"/>
                <w:b/>
                <w:color w:val="000000" w:themeColor="text1"/>
                <w:sz w:val="22"/>
                <w:szCs w:val="22"/>
              </w:rPr>
              <w:t>situace v počátečním vzdělávání</w:t>
            </w:r>
            <w:r w:rsidRPr="006442FB">
              <w:rPr>
                <w:rFonts w:asciiTheme="minorHAnsi" w:hAnsiTheme="minorHAnsi" w:cstheme="minorHAnsi"/>
                <w:color w:val="000000" w:themeColor="text1"/>
                <w:sz w:val="22"/>
                <w:szCs w:val="22"/>
              </w:rPr>
              <w:t xml:space="preserve">, (kde bude shrnut a vymezen vztah k separátní strategii pro počáteční vzdělávání, bude popsána cílová skupina a budou upřesněna specifika významu digitální gramotnosti v této oblasti) tak i </w:t>
            </w:r>
            <w:r w:rsidRPr="006442FB">
              <w:rPr>
                <w:rFonts w:asciiTheme="minorHAnsi" w:hAnsiTheme="minorHAnsi" w:cstheme="minorHAnsi"/>
                <w:b/>
                <w:color w:val="000000" w:themeColor="text1"/>
                <w:sz w:val="22"/>
                <w:szCs w:val="22"/>
              </w:rPr>
              <w:t>situace v dalším vzdělávání</w:t>
            </w:r>
            <w:r w:rsidRPr="006442FB">
              <w:rPr>
                <w:rFonts w:asciiTheme="minorHAnsi" w:hAnsiTheme="minorHAnsi" w:cstheme="minorHAnsi"/>
                <w:color w:val="000000" w:themeColor="text1"/>
                <w:sz w:val="22"/>
                <w:szCs w:val="22"/>
              </w:rPr>
              <w:t xml:space="preserve"> (kde budou uvedeny významné politické dokumenty, výzkumy a analýzy pro danou problematiku, bude popsána cílová skupina, budou upřesněny specifika významu digitální gramotnosti v této oblasti a vymezí se problémy včetně příčin a důsledků). </w:t>
            </w:r>
          </w:p>
          <w:p w:rsidR="006442FB" w:rsidRPr="006442FB" w:rsidRDefault="006442FB" w:rsidP="006442FB">
            <w:pPr>
              <w:pStyle w:val="Nadpis3"/>
              <w:numPr>
                <w:ilvl w:val="0"/>
                <w:numId w:val="0"/>
              </w:numPr>
              <w:spacing w:before="0" w:after="0"/>
              <w:ind w:left="34"/>
              <w:rPr>
                <w:rFonts w:asciiTheme="minorHAnsi" w:hAnsiTheme="minorHAnsi" w:cstheme="minorHAnsi"/>
                <w:b w:val="0"/>
                <w:color w:val="000000" w:themeColor="text1"/>
                <w:sz w:val="22"/>
                <w:szCs w:val="22"/>
              </w:rPr>
            </w:pPr>
            <w:r w:rsidRPr="006442FB">
              <w:rPr>
                <w:rFonts w:asciiTheme="minorHAnsi" w:hAnsiTheme="minorHAnsi" w:cstheme="minorHAnsi"/>
                <w:color w:val="000000" w:themeColor="text1"/>
                <w:sz w:val="22"/>
                <w:szCs w:val="22"/>
              </w:rPr>
              <w:t>Kapitola pojednávající o dalším vzdělávání bude dále členěna na podkapitoly</w:t>
            </w:r>
            <w:r w:rsidRPr="006442FB">
              <w:rPr>
                <w:rFonts w:asciiTheme="minorHAnsi" w:hAnsiTheme="minorHAnsi" w:cstheme="minorHAnsi"/>
                <w:b w:val="0"/>
                <w:color w:val="000000" w:themeColor="text1"/>
                <w:sz w:val="22"/>
                <w:szCs w:val="22"/>
              </w:rPr>
              <w:t xml:space="preserve">: Digitální gramotnost jako podmínka uplatnitelnosti na </w:t>
            </w:r>
            <w:r w:rsidRPr="006442FB">
              <w:rPr>
                <w:rFonts w:asciiTheme="minorHAnsi" w:hAnsiTheme="minorHAnsi" w:cstheme="minorHAnsi"/>
                <w:b w:val="0"/>
                <w:color w:val="000000" w:themeColor="text1"/>
                <w:sz w:val="22"/>
                <w:szCs w:val="22"/>
              </w:rPr>
              <w:lastRenderedPageBreak/>
              <w:t xml:space="preserve">trhu práce (podpora zaměstnanosti); Digitální gramotnost jako nástroj zvyšování konkurenceschopnosti ČR (adaptabilita pracovní síly); Rozvoj digitální gramotnosti pracovníků veřejné správy pro využívání a rozvoj digitálních agend, jejich přístupnost a použitelnost pro veřejnost (vzdělávání veřejné správy); Nedostatečná úroveň digitální gramotnosti jako příčina sociálního vyloučení (sociální začleňování, digitální vyloučení); Vliv digitálních technologií na rodinu; Podpora nových forem, inovací a systematického přístupu při rozvoji digitální gramotnosti. </w:t>
            </w:r>
          </w:p>
          <w:p w:rsidR="006442FB" w:rsidRPr="006442FB" w:rsidRDefault="006442FB" w:rsidP="006442FB">
            <w:pPr>
              <w:pStyle w:val="Nadpis3"/>
              <w:numPr>
                <w:ilvl w:val="0"/>
                <w:numId w:val="0"/>
              </w:numPr>
              <w:spacing w:before="0" w:after="0"/>
              <w:ind w:left="34"/>
              <w:rPr>
                <w:rFonts w:asciiTheme="minorHAnsi" w:hAnsiTheme="minorHAnsi" w:cstheme="minorHAnsi"/>
                <w:color w:val="000000" w:themeColor="text1"/>
                <w:sz w:val="22"/>
                <w:szCs w:val="22"/>
              </w:rPr>
            </w:pPr>
            <w:r w:rsidRPr="006442FB">
              <w:rPr>
                <w:rFonts w:asciiTheme="minorHAnsi" w:hAnsiTheme="minorHAnsi" w:cstheme="minorHAnsi"/>
                <w:color w:val="000000" w:themeColor="text1"/>
                <w:sz w:val="22"/>
                <w:szCs w:val="22"/>
              </w:rPr>
              <w:t xml:space="preserve">Ve všech podkapitolách budou: </w:t>
            </w:r>
            <w:r w:rsidRPr="006442FB">
              <w:rPr>
                <w:rFonts w:asciiTheme="minorHAnsi" w:hAnsiTheme="minorHAnsi" w:cstheme="minorHAnsi"/>
                <w:b w:val="0"/>
                <w:color w:val="000000" w:themeColor="text1"/>
                <w:sz w:val="22"/>
                <w:szCs w:val="22"/>
              </w:rPr>
              <w:t>uvedeny významné politické dokumenty, výzkumy a analýzy pro danou problematiku, budou popsány cílové skupiny, budou upřesněny specifika významu digitální gramotnosti v této oblasti a vymezí se problémy včetně příčin a důsledků.</w:t>
            </w:r>
            <w:r w:rsidRPr="006442FB">
              <w:rPr>
                <w:rFonts w:asciiTheme="minorHAnsi" w:hAnsiTheme="minorHAnsi" w:cstheme="minorHAnsi"/>
                <w:color w:val="000000" w:themeColor="text1"/>
                <w:sz w:val="22"/>
                <w:szCs w:val="22"/>
              </w:rPr>
              <w:t xml:space="preserve"> </w:t>
            </w:r>
          </w:p>
          <w:p w:rsidR="006442FB" w:rsidRPr="006442FB" w:rsidRDefault="006442FB" w:rsidP="006442FB">
            <w:pPr>
              <w:pStyle w:val="Nadpis1"/>
              <w:keepLines/>
              <w:pageBreakBefore w:val="0"/>
              <w:numPr>
                <w:ilvl w:val="0"/>
                <w:numId w:val="0"/>
              </w:numPr>
              <w:spacing w:before="0" w:after="0" w:line="240" w:lineRule="auto"/>
              <w:ind w:left="34"/>
              <w:rPr>
                <w:rFonts w:asciiTheme="minorHAnsi" w:hAnsiTheme="minorHAnsi" w:cstheme="minorHAnsi"/>
                <w:smallCaps w:val="0"/>
                <w:color w:val="000000" w:themeColor="text1"/>
                <w:sz w:val="22"/>
                <w:szCs w:val="22"/>
              </w:rPr>
            </w:pPr>
            <w:bookmarkStart w:id="3" w:name="h.26in1rg" w:colFirst="0" w:colLast="0"/>
            <w:bookmarkEnd w:id="3"/>
            <w:r w:rsidRPr="006442FB">
              <w:rPr>
                <w:rFonts w:asciiTheme="minorHAnsi" w:hAnsiTheme="minorHAnsi" w:cstheme="minorHAnsi"/>
                <w:smallCaps w:val="0"/>
                <w:color w:val="000000" w:themeColor="text1"/>
                <w:sz w:val="22"/>
                <w:szCs w:val="22"/>
              </w:rPr>
              <w:t xml:space="preserve">Strategické cíle v oblasti digitální gramotnosti, hodnoticí kritéria a vybrané nástroje řešení </w:t>
            </w:r>
            <w:r w:rsidRPr="006442FB">
              <w:rPr>
                <w:rFonts w:asciiTheme="minorHAnsi" w:hAnsiTheme="minorHAnsi" w:cstheme="minorHAnsi"/>
                <w:b w:val="0"/>
                <w:smallCaps w:val="0"/>
                <w:color w:val="000000" w:themeColor="text1"/>
                <w:sz w:val="22"/>
                <w:szCs w:val="22"/>
              </w:rPr>
              <w:t xml:space="preserve">– tato kapitola bude opět členěna na podkapitoly týkající se </w:t>
            </w:r>
            <w:r w:rsidRPr="006442FB">
              <w:rPr>
                <w:rFonts w:asciiTheme="minorHAnsi" w:hAnsiTheme="minorHAnsi" w:cstheme="minorHAnsi"/>
                <w:smallCaps w:val="0"/>
                <w:color w:val="000000" w:themeColor="text1"/>
                <w:sz w:val="22"/>
                <w:szCs w:val="22"/>
              </w:rPr>
              <w:t>specifických cílů pro počáteční vzdělávání a specifických cílů pro další vzdělávání (pro trh práce a sociální začleňování)</w:t>
            </w:r>
            <w:r w:rsidRPr="006442FB">
              <w:rPr>
                <w:rFonts w:asciiTheme="minorHAnsi" w:hAnsiTheme="minorHAnsi" w:cstheme="minorHAnsi"/>
                <w:b w:val="0"/>
                <w:smallCaps w:val="0"/>
                <w:color w:val="000000" w:themeColor="text1"/>
                <w:sz w:val="22"/>
                <w:szCs w:val="22"/>
              </w:rPr>
              <w:t xml:space="preserve">. V těchto podkapitolách bude: Struktura primárních cílů a opatření – schéma, popis navržených opatření včetně </w:t>
            </w:r>
            <w:proofErr w:type="spellStart"/>
            <w:r w:rsidRPr="006442FB">
              <w:rPr>
                <w:rFonts w:asciiTheme="minorHAnsi" w:hAnsiTheme="minorHAnsi" w:cstheme="minorHAnsi"/>
                <w:b w:val="0"/>
                <w:smallCaps w:val="0"/>
                <w:color w:val="000000" w:themeColor="text1"/>
                <w:sz w:val="22"/>
                <w:szCs w:val="22"/>
              </w:rPr>
              <w:t>stakeholderů</w:t>
            </w:r>
            <w:proofErr w:type="spellEnd"/>
            <w:r w:rsidRPr="006442FB">
              <w:rPr>
                <w:rFonts w:asciiTheme="minorHAnsi" w:hAnsiTheme="minorHAnsi" w:cstheme="minorHAnsi"/>
                <w:b w:val="0"/>
                <w:smallCaps w:val="0"/>
                <w:color w:val="000000" w:themeColor="text1"/>
                <w:sz w:val="22"/>
                <w:szCs w:val="22"/>
              </w:rPr>
              <w:t xml:space="preserve">, cílové skupiny, zodpovědností, </w:t>
            </w:r>
            <w:r w:rsidRPr="006442FB">
              <w:rPr>
                <w:rFonts w:asciiTheme="minorHAnsi" w:hAnsiTheme="minorHAnsi" w:cstheme="minorHAnsi"/>
                <w:b w:val="0"/>
                <w:smallCaps w:val="0"/>
                <w:color w:val="000000" w:themeColor="text1"/>
                <w:sz w:val="22"/>
                <w:szCs w:val="22"/>
              </w:rPr>
              <w:lastRenderedPageBreak/>
              <w:t>postupu realizace, období realizace, odhadu nákladů, identifikace finančního zdroje, očekávaných výstupů a určení jejich indikátoru.</w:t>
            </w:r>
          </w:p>
          <w:p w:rsidR="006442FB" w:rsidRPr="006442FB" w:rsidRDefault="006442FB" w:rsidP="006442FB">
            <w:pPr>
              <w:pStyle w:val="Nadpis1"/>
              <w:keepLines/>
              <w:pageBreakBefore w:val="0"/>
              <w:numPr>
                <w:ilvl w:val="0"/>
                <w:numId w:val="0"/>
              </w:numPr>
              <w:spacing w:before="0" w:after="0" w:line="240" w:lineRule="auto"/>
              <w:ind w:left="34"/>
              <w:rPr>
                <w:rFonts w:asciiTheme="minorHAnsi" w:hAnsiTheme="minorHAnsi" w:cstheme="minorHAnsi"/>
                <w:smallCaps w:val="0"/>
                <w:color w:val="000000" w:themeColor="text1"/>
                <w:sz w:val="22"/>
                <w:szCs w:val="22"/>
              </w:rPr>
            </w:pPr>
            <w:bookmarkStart w:id="4" w:name="h.lnxbz9" w:colFirst="0" w:colLast="0"/>
            <w:bookmarkStart w:id="5" w:name="h.1ksv4uv" w:colFirst="0" w:colLast="0"/>
            <w:bookmarkEnd w:id="4"/>
            <w:bookmarkEnd w:id="5"/>
            <w:r w:rsidRPr="006442FB">
              <w:rPr>
                <w:rFonts w:asciiTheme="minorHAnsi" w:hAnsiTheme="minorHAnsi" w:cstheme="minorHAnsi"/>
                <w:smallCaps w:val="0"/>
                <w:color w:val="000000" w:themeColor="text1"/>
                <w:sz w:val="22"/>
                <w:szCs w:val="22"/>
              </w:rPr>
              <w:t xml:space="preserve">Implementace strategie </w:t>
            </w:r>
            <w:r w:rsidRPr="006442FB">
              <w:rPr>
                <w:rFonts w:asciiTheme="minorHAnsi" w:hAnsiTheme="minorHAnsi" w:cstheme="minorHAnsi"/>
                <w:b w:val="0"/>
                <w:smallCaps w:val="0"/>
                <w:color w:val="000000" w:themeColor="text1"/>
                <w:sz w:val="22"/>
                <w:szCs w:val="22"/>
              </w:rPr>
              <w:t>– zde budou informace týkající se logického rámce implementace strategie, harmonogramu implementace strategie a odhadu nákladů realizace strategie.</w:t>
            </w:r>
          </w:p>
          <w:p w:rsidR="006442FB" w:rsidRPr="006442FB" w:rsidRDefault="006442FB" w:rsidP="006442FB">
            <w:pPr>
              <w:ind w:left="34"/>
              <w:jc w:val="both"/>
              <w:rPr>
                <w:rFonts w:asciiTheme="minorHAnsi" w:hAnsiTheme="minorHAnsi" w:cstheme="minorHAnsi"/>
                <w:sz w:val="22"/>
                <w:szCs w:val="22"/>
              </w:rPr>
            </w:pPr>
            <w:bookmarkStart w:id="6" w:name="h.44sinio" w:colFirst="0" w:colLast="0"/>
            <w:bookmarkStart w:id="7" w:name="h.3j2qqm3" w:colFirst="0" w:colLast="0"/>
            <w:bookmarkEnd w:id="6"/>
            <w:bookmarkEnd w:id="7"/>
            <w:r w:rsidRPr="006442FB">
              <w:rPr>
                <w:rFonts w:asciiTheme="minorHAnsi" w:hAnsiTheme="minorHAnsi" w:cstheme="minorHAnsi"/>
                <w:color w:val="000000" w:themeColor="text1"/>
                <w:sz w:val="22"/>
                <w:szCs w:val="22"/>
              </w:rPr>
              <w:t>Monitoring a evaluace implementované strategie – schválení strategie, systém evaluace a systém monitorovacích indikátorů.</w:t>
            </w: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6442FB" w:rsidP="006E6B3F">
            <w:pPr>
              <w:jc w:val="both"/>
              <w:rPr>
                <w:rFonts w:asciiTheme="minorHAnsi" w:hAnsiTheme="minorHAnsi" w:cstheme="minorHAnsi"/>
                <w:sz w:val="22"/>
                <w:szCs w:val="22"/>
              </w:rPr>
            </w:pPr>
            <w:r w:rsidRPr="006442FB">
              <w:rPr>
                <w:rFonts w:asciiTheme="minorHAnsi" w:hAnsiTheme="minorHAnsi" w:cstheme="minorHAnsi"/>
                <w:sz w:val="22"/>
                <w:szCs w:val="22"/>
              </w:rPr>
              <w:lastRenderedPageBreak/>
              <w:t>Tato strategie má za cíl rozvíjet optimální nástroje tak, aby byli noví pracovníci připraveni na vstup do zaměstnání a zároveň aby byli podporováni současní zaměstnanci, kteří čelí změnám v informačních a komunikačních technologiích a globalizaci. Mezi další cíle patří snižování digitální propasti a zajištění, respektive zvýšení celkové úrovně digitální gramotnosti občanů a tím posílení české ekonomiky a její konkurenceschopnosti.</w:t>
            </w:r>
          </w:p>
        </w:tc>
        <w:tc>
          <w:tcPr>
            <w:tcW w:w="2829" w:type="dxa"/>
            <w:tcBorders>
              <w:top w:val="single" w:sz="4" w:space="0" w:color="auto"/>
              <w:left w:val="single" w:sz="4" w:space="0" w:color="auto"/>
              <w:bottom w:val="single" w:sz="4" w:space="0" w:color="auto"/>
              <w:right w:val="single" w:sz="4" w:space="0" w:color="auto"/>
            </w:tcBorders>
          </w:tcPr>
          <w:p w:rsidR="006442FB" w:rsidRPr="006442FB" w:rsidRDefault="00CD5E51" w:rsidP="006E6B3F">
            <w:pPr>
              <w:jc w:val="both"/>
              <w:rPr>
                <w:rFonts w:asciiTheme="minorHAnsi" w:hAnsiTheme="minorHAnsi" w:cstheme="minorHAnsi"/>
                <w:sz w:val="22"/>
                <w:szCs w:val="22"/>
              </w:rPr>
            </w:pPr>
            <w:r>
              <w:rPr>
                <w:rFonts w:asciiTheme="minorHAnsi" w:hAnsiTheme="minorHAnsi" w:cstheme="minorHAnsi"/>
                <w:sz w:val="22"/>
                <w:szCs w:val="22"/>
              </w:rPr>
              <w:t>Postup přípravy Strategie je zapracován v Akčním plánu pro předběžnou podmínku 2.1. Dle stanoveného harmonogramu by strategie měla být dokončena a předložena ke schválení vládě do konce června 2015.</w:t>
            </w:r>
          </w:p>
        </w:tc>
      </w:tr>
    </w:tbl>
    <w:p w:rsidR="006442FB" w:rsidRPr="006442FB" w:rsidRDefault="006442FB" w:rsidP="006442FB">
      <w:pPr>
        <w:overflowPunct/>
        <w:autoSpaceDE/>
        <w:autoSpaceDN/>
        <w:adjustRightInd/>
        <w:textAlignment w:val="auto"/>
        <w:rPr>
          <w:rFonts w:asciiTheme="minorHAnsi" w:hAnsiTheme="minorHAnsi" w:cstheme="minorHAnsi"/>
          <w:sz w:val="22"/>
          <w:szCs w:val="22"/>
        </w:rPr>
      </w:pPr>
    </w:p>
    <w:p w:rsidR="006442FB" w:rsidRPr="006D1AED" w:rsidRDefault="006442FB" w:rsidP="006D1AED">
      <w:pPr>
        <w:overflowPunct/>
        <w:autoSpaceDE/>
        <w:autoSpaceDN/>
        <w:adjustRightInd/>
        <w:textAlignment w:val="auto"/>
        <w:rPr>
          <w:rFonts w:asciiTheme="minorHAnsi" w:hAnsiTheme="minorHAnsi" w:cstheme="minorHAnsi"/>
          <w:sz w:val="22"/>
          <w:szCs w:val="22"/>
        </w:rPr>
      </w:pPr>
      <w:r w:rsidRPr="006442FB">
        <w:rPr>
          <w:rFonts w:asciiTheme="minorHAnsi" w:hAnsiTheme="minorHAnsi" w:cstheme="minorHAnsi"/>
          <w:b/>
          <w:sz w:val="22"/>
          <w:szCs w:val="22"/>
          <w:u w:val="single"/>
        </w:rPr>
        <w:t>Předběžná podmínka 2.2 – Národní plán rozvoje sítí nové generace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8"/>
        <w:gridCol w:w="1249"/>
        <w:gridCol w:w="2977"/>
        <w:gridCol w:w="3544"/>
        <w:gridCol w:w="3582"/>
      </w:tblGrid>
      <w:tr w:rsidR="006442FB" w:rsidRPr="006442FB" w:rsidTr="00557FFB">
        <w:tc>
          <w:tcPr>
            <w:tcW w:w="2828" w:type="dxa"/>
            <w:shd w:val="clear" w:color="auto" w:fill="B8CCE4" w:themeFill="accent1" w:themeFillTint="66"/>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t>Strategický dokument</w:t>
            </w:r>
          </w:p>
        </w:tc>
        <w:tc>
          <w:tcPr>
            <w:tcW w:w="1249" w:type="dxa"/>
            <w:shd w:val="clear" w:color="auto" w:fill="B8CCE4" w:themeFill="accent1" w:themeFillTint="66"/>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t>Gestor/</w:t>
            </w:r>
            <w:proofErr w:type="spellStart"/>
            <w:r w:rsidRPr="006442FB">
              <w:rPr>
                <w:rFonts w:asciiTheme="minorHAnsi" w:hAnsiTheme="minorHAnsi" w:cstheme="minorHAnsi"/>
                <w:b/>
                <w:sz w:val="22"/>
                <w:szCs w:val="22"/>
              </w:rPr>
              <w:t>spolugestor</w:t>
            </w:r>
            <w:proofErr w:type="spellEnd"/>
          </w:p>
        </w:tc>
        <w:tc>
          <w:tcPr>
            <w:tcW w:w="2977" w:type="dxa"/>
            <w:shd w:val="clear" w:color="auto" w:fill="B8CCE4" w:themeFill="accent1" w:themeFillTint="66"/>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t>Popis struktury dokumentu</w:t>
            </w:r>
          </w:p>
        </w:tc>
        <w:tc>
          <w:tcPr>
            <w:tcW w:w="3544" w:type="dxa"/>
            <w:shd w:val="clear" w:color="auto" w:fill="B8CCE4" w:themeFill="accent1" w:themeFillTint="66"/>
          </w:tcPr>
          <w:p w:rsidR="006442FB" w:rsidRPr="006442FB" w:rsidRDefault="006442FB" w:rsidP="006E6B3F">
            <w:pPr>
              <w:jc w:val="both"/>
              <w:rPr>
                <w:rFonts w:asciiTheme="minorHAnsi" w:hAnsiTheme="minorHAnsi" w:cstheme="minorHAnsi"/>
                <w:b/>
                <w:sz w:val="22"/>
                <w:szCs w:val="22"/>
              </w:rPr>
            </w:pPr>
            <w:r w:rsidRPr="006442FB">
              <w:rPr>
                <w:rFonts w:asciiTheme="minorHAnsi" w:hAnsiTheme="minorHAnsi" w:cstheme="minorHAnsi"/>
                <w:b/>
                <w:sz w:val="22"/>
                <w:szCs w:val="22"/>
              </w:rPr>
              <w:t>Cíle dokumentu</w:t>
            </w:r>
          </w:p>
        </w:tc>
        <w:tc>
          <w:tcPr>
            <w:tcW w:w="3582" w:type="dxa"/>
            <w:shd w:val="clear" w:color="auto" w:fill="B8CCE4" w:themeFill="accent1" w:themeFillTint="66"/>
          </w:tcPr>
          <w:p w:rsidR="006442FB" w:rsidRPr="006442FB" w:rsidRDefault="006442FB" w:rsidP="006E6B3F">
            <w:pPr>
              <w:rPr>
                <w:rFonts w:asciiTheme="minorHAnsi" w:hAnsiTheme="minorHAnsi" w:cstheme="minorHAnsi"/>
                <w:b/>
                <w:sz w:val="22"/>
                <w:szCs w:val="22"/>
              </w:rPr>
            </w:pPr>
            <w:r w:rsidRPr="006442FB">
              <w:rPr>
                <w:rFonts w:asciiTheme="minorHAnsi" w:hAnsiTheme="minorHAnsi" w:cstheme="minorHAnsi"/>
                <w:b/>
                <w:sz w:val="22"/>
                <w:szCs w:val="22"/>
              </w:rPr>
              <w:t>Odkazy a další informace (</w:t>
            </w:r>
            <w:r w:rsidRPr="006442FB">
              <w:rPr>
                <w:rFonts w:asciiTheme="minorHAnsi" w:hAnsiTheme="minorHAnsi" w:cstheme="minorHAnsi"/>
                <w:sz w:val="22"/>
                <w:szCs w:val="22"/>
              </w:rPr>
              <w:t>např. dokument již byl poskytnut EK, bude předložen atd.)</w:t>
            </w:r>
          </w:p>
        </w:tc>
      </w:tr>
      <w:tr w:rsidR="006442FB" w:rsidRPr="006442FB" w:rsidTr="00557FFB">
        <w:tc>
          <w:tcPr>
            <w:tcW w:w="2828" w:type="dxa"/>
          </w:tcPr>
          <w:p w:rsidR="006442FB" w:rsidRPr="006D1AED" w:rsidRDefault="006442FB" w:rsidP="006E6B3F">
            <w:pPr>
              <w:jc w:val="both"/>
              <w:rPr>
                <w:rFonts w:asciiTheme="minorHAnsi" w:hAnsiTheme="minorHAnsi" w:cstheme="minorHAnsi"/>
                <w:b/>
                <w:sz w:val="22"/>
                <w:szCs w:val="22"/>
              </w:rPr>
            </w:pPr>
            <w:r w:rsidRPr="006D1AED">
              <w:rPr>
                <w:rFonts w:asciiTheme="minorHAnsi" w:hAnsiTheme="minorHAnsi" w:cstheme="minorHAnsi"/>
                <w:b/>
                <w:sz w:val="22"/>
                <w:szCs w:val="22"/>
              </w:rPr>
              <w:t>Národní plán rozvoje sítí nové generace</w:t>
            </w:r>
          </w:p>
          <w:p w:rsidR="006442FB" w:rsidRPr="006D1AED" w:rsidRDefault="006442FB" w:rsidP="006E6B3F">
            <w:pPr>
              <w:jc w:val="both"/>
              <w:rPr>
                <w:rFonts w:asciiTheme="minorHAnsi" w:hAnsiTheme="minorHAnsi" w:cstheme="minorHAnsi"/>
                <w:sz w:val="22"/>
                <w:szCs w:val="22"/>
              </w:rPr>
            </w:pPr>
          </w:p>
        </w:tc>
        <w:tc>
          <w:tcPr>
            <w:tcW w:w="1249" w:type="dxa"/>
          </w:tcPr>
          <w:p w:rsidR="006442FB" w:rsidRPr="006D1AED" w:rsidRDefault="006442FB" w:rsidP="006E6B3F">
            <w:pPr>
              <w:jc w:val="both"/>
              <w:rPr>
                <w:rFonts w:asciiTheme="minorHAnsi" w:hAnsiTheme="minorHAnsi" w:cstheme="minorHAnsi"/>
                <w:sz w:val="22"/>
                <w:szCs w:val="22"/>
              </w:rPr>
            </w:pPr>
            <w:r w:rsidRPr="006D1AED">
              <w:rPr>
                <w:rFonts w:asciiTheme="minorHAnsi" w:hAnsiTheme="minorHAnsi" w:cstheme="minorHAnsi"/>
                <w:sz w:val="22"/>
                <w:szCs w:val="22"/>
              </w:rPr>
              <w:t>MPO/ČTÚ</w:t>
            </w:r>
          </w:p>
        </w:tc>
        <w:tc>
          <w:tcPr>
            <w:tcW w:w="2977" w:type="dxa"/>
          </w:tcPr>
          <w:p w:rsidR="006442FB" w:rsidRPr="006D1AED" w:rsidRDefault="006442FB" w:rsidP="00E44916">
            <w:pPr>
              <w:pStyle w:val="Odstavecseseznamem"/>
              <w:numPr>
                <w:ilvl w:val="0"/>
                <w:numId w:val="16"/>
              </w:numPr>
              <w:spacing w:after="0" w:line="240" w:lineRule="auto"/>
              <w:ind w:left="0" w:hanging="284"/>
              <w:jc w:val="both"/>
              <w:rPr>
                <w:rFonts w:cstheme="minorHAnsi"/>
                <w:szCs w:val="22"/>
              </w:rPr>
            </w:pPr>
            <w:r w:rsidRPr="006D1AED">
              <w:rPr>
                <w:rFonts w:cstheme="minorHAnsi"/>
                <w:szCs w:val="22"/>
              </w:rPr>
              <w:t>Úvod</w:t>
            </w:r>
          </w:p>
          <w:p w:rsidR="006442FB" w:rsidRPr="006D1AED" w:rsidRDefault="006442FB" w:rsidP="00E44916">
            <w:pPr>
              <w:pStyle w:val="Odstavecseseznamem"/>
              <w:numPr>
                <w:ilvl w:val="0"/>
                <w:numId w:val="16"/>
              </w:numPr>
              <w:spacing w:after="0" w:line="240" w:lineRule="auto"/>
              <w:ind w:left="0" w:hanging="284"/>
              <w:jc w:val="both"/>
              <w:rPr>
                <w:rFonts w:cstheme="minorHAnsi"/>
                <w:szCs w:val="22"/>
              </w:rPr>
            </w:pPr>
            <w:r w:rsidRPr="006D1AED">
              <w:rPr>
                <w:rFonts w:cstheme="minorHAnsi"/>
                <w:szCs w:val="22"/>
              </w:rPr>
              <w:t>Stav a trendy v oblasti sítí nové generace</w:t>
            </w:r>
          </w:p>
          <w:p w:rsidR="006442FB" w:rsidRPr="006D1AED" w:rsidRDefault="006442FB" w:rsidP="00E44916">
            <w:pPr>
              <w:pStyle w:val="Odstavecseseznamem"/>
              <w:numPr>
                <w:ilvl w:val="0"/>
                <w:numId w:val="16"/>
              </w:numPr>
              <w:spacing w:after="0" w:line="240" w:lineRule="auto"/>
              <w:ind w:left="0" w:hanging="284"/>
              <w:jc w:val="both"/>
              <w:rPr>
                <w:rFonts w:cstheme="minorHAnsi"/>
                <w:szCs w:val="22"/>
              </w:rPr>
            </w:pPr>
            <w:r w:rsidRPr="006D1AED">
              <w:rPr>
                <w:rFonts w:cstheme="minorHAnsi"/>
                <w:szCs w:val="22"/>
              </w:rPr>
              <w:t>Cíle a směry intervence</w:t>
            </w:r>
          </w:p>
          <w:p w:rsidR="006442FB" w:rsidRPr="006D1AED" w:rsidRDefault="006442FB" w:rsidP="00E44916">
            <w:pPr>
              <w:pStyle w:val="Odstavecseseznamem"/>
              <w:numPr>
                <w:ilvl w:val="0"/>
                <w:numId w:val="16"/>
              </w:numPr>
              <w:spacing w:after="0" w:line="240" w:lineRule="auto"/>
              <w:ind w:left="0" w:hanging="284"/>
              <w:jc w:val="both"/>
              <w:rPr>
                <w:rFonts w:cstheme="minorHAnsi"/>
                <w:szCs w:val="22"/>
              </w:rPr>
            </w:pPr>
            <w:r w:rsidRPr="006D1AED">
              <w:rPr>
                <w:rFonts w:cstheme="minorHAnsi"/>
                <w:szCs w:val="22"/>
              </w:rPr>
              <w:t>Systém realizace a implementace</w:t>
            </w:r>
          </w:p>
          <w:p w:rsidR="006442FB" w:rsidRPr="006D1AED" w:rsidRDefault="006442FB" w:rsidP="00E44916">
            <w:pPr>
              <w:pStyle w:val="Odstavecseseznamem"/>
              <w:numPr>
                <w:ilvl w:val="0"/>
                <w:numId w:val="16"/>
              </w:numPr>
              <w:spacing w:after="0" w:line="240" w:lineRule="auto"/>
              <w:ind w:left="0" w:hanging="284"/>
              <w:jc w:val="both"/>
              <w:rPr>
                <w:rFonts w:cstheme="minorHAnsi"/>
                <w:szCs w:val="22"/>
              </w:rPr>
            </w:pPr>
            <w:r w:rsidRPr="006D1AED">
              <w:rPr>
                <w:rFonts w:cstheme="minorHAnsi"/>
                <w:szCs w:val="22"/>
              </w:rPr>
              <w:t>Finanční aspekty</w:t>
            </w:r>
          </w:p>
          <w:p w:rsidR="006442FB" w:rsidRPr="006D1AED" w:rsidRDefault="006442FB" w:rsidP="00E44916">
            <w:pPr>
              <w:pStyle w:val="Odstavecseseznamem"/>
              <w:numPr>
                <w:ilvl w:val="0"/>
                <w:numId w:val="16"/>
              </w:numPr>
              <w:spacing w:after="0" w:line="240" w:lineRule="auto"/>
              <w:ind w:left="0" w:hanging="284"/>
              <w:jc w:val="both"/>
              <w:rPr>
                <w:rFonts w:cstheme="minorHAnsi"/>
                <w:szCs w:val="22"/>
              </w:rPr>
            </w:pPr>
            <w:r w:rsidRPr="006D1AED">
              <w:rPr>
                <w:rFonts w:cstheme="minorHAnsi"/>
                <w:szCs w:val="22"/>
              </w:rPr>
              <w:t>Závěr</w:t>
            </w:r>
          </w:p>
          <w:p w:rsidR="006442FB" w:rsidRPr="006D1AED" w:rsidRDefault="006D1AED" w:rsidP="006D1AED">
            <w:pPr>
              <w:ind w:hanging="142"/>
              <w:jc w:val="both"/>
              <w:rPr>
                <w:rFonts w:asciiTheme="minorHAnsi" w:hAnsiTheme="minorHAnsi" w:cstheme="minorHAnsi"/>
                <w:sz w:val="22"/>
                <w:szCs w:val="22"/>
              </w:rPr>
            </w:pPr>
            <w:r w:rsidRPr="006D1AED">
              <w:rPr>
                <w:rFonts w:asciiTheme="minorHAnsi" w:hAnsiTheme="minorHAnsi" w:cstheme="minorHAnsi"/>
                <w:sz w:val="22"/>
                <w:szCs w:val="22"/>
              </w:rPr>
              <w:t xml:space="preserve">  P</w:t>
            </w:r>
            <w:r w:rsidR="006442FB" w:rsidRPr="006D1AED">
              <w:rPr>
                <w:rFonts w:asciiTheme="minorHAnsi" w:hAnsiTheme="minorHAnsi" w:cstheme="minorHAnsi"/>
                <w:sz w:val="22"/>
                <w:szCs w:val="22"/>
              </w:rPr>
              <w:t>řílohy</w:t>
            </w:r>
          </w:p>
        </w:tc>
        <w:tc>
          <w:tcPr>
            <w:tcW w:w="3544" w:type="dxa"/>
          </w:tcPr>
          <w:p w:rsidR="006442FB" w:rsidRPr="006D1AED" w:rsidRDefault="006442FB" w:rsidP="006E6B3F">
            <w:pPr>
              <w:jc w:val="both"/>
              <w:rPr>
                <w:rFonts w:asciiTheme="minorHAnsi" w:hAnsiTheme="minorHAnsi" w:cstheme="minorHAnsi"/>
                <w:sz w:val="22"/>
                <w:szCs w:val="22"/>
              </w:rPr>
            </w:pPr>
            <w:r w:rsidRPr="006D1AED">
              <w:rPr>
                <w:rFonts w:asciiTheme="minorHAnsi" w:hAnsiTheme="minorHAnsi" w:cstheme="minorHAnsi"/>
                <w:sz w:val="22"/>
                <w:szCs w:val="22"/>
              </w:rPr>
              <w:t xml:space="preserve">Cílem Národního plánu rozvoje sítí nové generace je definovat strategický přístup ČR při výstavbě sítí nové generace a zejména prostřednictvím podpory realizovat rozvoj budování přístupových sítí nové generace. Tyto sítě svým významem a rozsahem v konečném důsledku podpoří hospodářský růst České republiky, přispějí ke zvýšení konkurenceschopnosti českých podnikatelských činností, kvantitativně a kvalitativně především s ohledem na vyšší přidanou hodnotu produkce posílí českou ekonomiku a v neposlední </w:t>
            </w:r>
            <w:r w:rsidRPr="006D1AED">
              <w:rPr>
                <w:rFonts w:asciiTheme="minorHAnsi" w:hAnsiTheme="minorHAnsi" w:cstheme="minorHAnsi"/>
                <w:sz w:val="22"/>
                <w:szCs w:val="22"/>
              </w:rPr>
              <w:lastRenderedPageBreak/>
              <w:t>řadě také zvýší efektivitu státní správy a místní samosprávy.</w:t>
            </w:r>
          </w:p>
        </w:tc>
        <w:tc>
          <w:tcPr>
            <w:tcW w:w="3582" w:type="dxa"/>
          </w:tcPr>
          <w:p w:rsidR="00935ABE" w:rsidRDefault="006442FB" w:rsidP="00935ABE">
            <w:pPr>
              <w:jc w:val="both"/>
              <w:rPr>
                <w:rFonts w:asciiTheme="minorHAnsi" w:hAnsiTheme="minorHAnsi" w:cstheme="minorHAnsi"/>
                <w:sz w:val="22"/>
                <w:szCs w:val="22"/>
              </w:rPr>
            </w:pPr>
            <w:r w:rsidRPr="006D1AED">
              <w:rPr>
                <w:rFonts w:asciiTheme="minorHAnsi" w:hAnsiTheme="minorHAnsi" w:cstheme="minorHAnsi"/>
                <w:sz w:val="22"/>
                <w:szCs w:val="22"/>
              </w:rPr>
              <w:lastRenderedPageBreak/>
              <w:t xml:space="preserve">Dne 30. záři 2014 MPO uspořádalo seminář, na kterém byla prezentována první pracovní verze Národního plánu rozvoje sítí nové generace. Tuto pracovní verzi obdrželi účastníci s týdenním předstihem. Na seminář byli pozvání zástupci relevantních státních institucí a zástupci asociací zastřešujících operátory elektronických komunikací. K dokumentu se vedla bohatá diskuze a padlo rozhodnutí, že s ohledem na komplexnost materie již tato verze bude předmětem připomínek. </w:t>
            </w:r>
          </w:p>
          <w:p w:rsidR="00935ABE" w:rsidRPr="007E1A86" w:rsidRDefault="00935ABE" w:rsidP="00935ABE">
            <w:pPr>
              <w:jc w:val="both"/>
              <w:rPr>
                <w:rFonts w:asciiTheme="minorHAnsi" w:hAnsiTheme="minorHAnsi" w:cstheme="minorHAnsi"/>
                <w:sz w:val="22"/>
                <w:szCs w:val="22"/>
              </w:rPr>
            </w:pPr>
            <w:r w:rsidRPr="007E1A86">
              <w:rPr>
                <w:rFonts w:asciiTheme="minorHAnsi" w:hAnsiTheme="minorHAnsi" w:cstheme="minorHAnsi"/>
                <w:sz w:val="22"/>
                <w:szCs w:val="22"/>
              </w:rPr>
              <w:t xml:space="preserve">V listopadu 2014 byla dokončena </w:t>
            </w:r>
            <w:r w:rsidRPr="007E1A86">
              <w:rPr>
                <w:rFonts w:asciiTheme="minorHAnsi" w:hAnsiTheme="minorHAnsi" w:cstheme="minorHAnsi"/>
                <w:sz w:val="22"/>
                <w:szCs w:val="22"/>
              </w:rPr>
              <w:lastRenderedPageBreak/>
              <w:t>ucelená pracovní verze Národního plánu rozvoje sítí nové generace a v období prosinec 2014 – leden 2015 proběhla k této verzi veřejná konzultace. Dokument byl rovněž neformálně zaslán Evropské komisi.</w:t>
            </w:r>
          </w:p>
          <w:p w:rsidR="00935ABE" w:rsidRPr="007E1A86" w:rsidRDefault="00935ABE" w:rsidP="00935ABE">
            <w:pPr>
              <w:jc w:val="both"/>
              <w:rPr>
                <w:rFonts w:asciiTheme="minorHAnsi" w:hAnsiTheme="minorHAnsi" w:cstheme="minorHAnsi"/>
                <w:sz w:val="22"/>
                <w:szCs w:val="22"/>
              </w:rPr>
            </w:pPr>
            <w:r w:rsidRPr="007E1A86">
              <w:rPr>
                <w:rFonts w:asciiTheme="minorHAnsi" w:hAnsiTheme="minorHAnsi" w:cstheme="minorHAnsi"/>
                <w:sz w:val="22"/>
                <w:szCs w:val="22"/>
              </w:rPr>
              <w:t xml:space="preserve">V únoru </w:t>
            </w:r>
            <w:r w:rsidR="007E1A86">
              <w:rPr>
                <w:rFonts w:asciiTheme="minorHAnsi" w:hAnsiTheme="minorHAnsi" w:cstheme="minorHAnsi"/>
                <w:sz w:val="22"/>
                <w:szCs w:val="22"/>
              </w:rPr>
              <w:t xml:space="preserve">a březnu </w:t>
            </w:r>
            <w:r w:rsidRPr="007E1A86">
              <w:rPr>
                <w:rFonts w:asciiTheme="minorHAnsi" w:hAnsiTheme="minorHAnsi" w:cstheme="minorHAnsi"/>
                <w:sz w:val="22"/>
                <w:szCs w:val="22"/>
              </w:rPr>
              <w:t xml:space="preserve">2015 proběhlo vyhodnocení veřejné konzultace. Připravuje se finální verze a dokument bude následně předložen do meziresortního připomínkového řízení. </w:t>
            </w:r>
          </w:p>
          <w:p w:rsidR="006442FB" w:rsidRPr="006D1AED" w:rsidRDefault="00935ABE" w:rsidP="006E6B3F">
            <w:pPr>
              <w:jc w:val="both"/>
              <w:rPr>
                <w:rFonts w:asciiTheme="minorHAnsi" w:hAnsiTheme="minorHAnsi" w:cstheme="minorHAnsi"/>
                <w:sz w:val="22"/>
                <w:szCs w:val="22"/>
              </w:rPr>
            </w:pPr>
            <w:r w:rsidRPr="007E1A86">
              <w:rPr>
                <w:rFonts w:asciiTheme="minorHAnsi" w:hAnsiTheme="minorHAnsi" w:cstheme="minorHAnsi"/>
                <w:sz w:val="22"/>
                <w:szCs w:val="22"/>
              </w:rPr>
              <w:t>V červnu 2015 bude Národní plán rozvoje sítí</w:t>
            </w:r>
            <w:r w:rsidR="00393768">
              <w:rPr>
                <w:rFonts w:asciiTheme="minorHAnsi" w:hAnsiTheme="minorHAnsi" w:cstheme="minorHAnsi"/>
                <w:sz w:val="22"/>
                <w:szCs w:val="22"/>
              </w:rPr>
              <w:t xml:space="preserve"> nové generace předložen vládě.</w:t>
            </w:r>
          </w:p>
        </w:tc>
      </w:tr>
    </w:tbl>
    <w:p w:rsidR="008B55C0" w:rsidRDefault="008B55C0" w:rsidP="006D1AED">
      <w:pPr>
        <w:overflowPunct/>
        <w:autoSpaceDE/>
        <w:autoSpaceDN/>
        <w:adjustRightInd/>
        <w:textAlignment w:val="auto"/>
        <w:rPr>
          <w:rFonts w:asciiTheme="minorHAnsi" w:hAnsiTheme="minorHAnsi" w:cstheme="minorHAnsi"/>
          <w:b/>
          <w:sz w:val="22"/>
          <w:szCs w:val="22"/>
          <w:u w:val="single"/>
        </w:rPr>
        <w:sectPr w:rsidR="008B55C0" w:rsidSect="008B55C0">
          <w:pgSz w:w="16838" w:h="11906" w:orient="landscape"/>
          <w:pgMar w:top="1418" w:right="1418" w:bottom="1418" w:left="1418" w:header="708" w:footer="708" w:gutter="0"/>
          <w:cols w:space="708"/>
          <w:docGrid w:linePitch="299"/>
        </w:sectPr>
      </w:pPr>
    </w:p>
    <w:p w:rsidR="008B55C0" w:rsidRDefault="008B55C0" w:rsidP="006D1AED">
      <w:pPr>
        <w:overflowPunct/>
        <w:autoSpaceDE/>
        <w:autoSpaceDN/>
        <w:adjustRightInd/>
        <w:textAlignment w:val="auto"/>
        <w:rPr>
          <w:rFonts w:asciiTheme="minorHAnsi" w:hAnsiTheme="minorHAnsi" w:cstheme="minorHAnsi"/>
          <w:b/>
          <w:sz w:val="22"/>
          <w:szCs w:val="22"/>
          <w:u w:val="single"/>
        </w:rPr>
        <w:sectPr w:rsidR="008B55C0" w:rsidSect="008B55C0">
          <w:type w:val="continuous"/>
          <w:pgSz w:w="16838" w:h="11906" w:orient="landscape"/>
          <w:pgMar w:top="1418" w:right="1418" w:bottom="1418" w:left="1418" w:header="708" w:footer="708" w:gutter="0"/>
          <w:cols w:space="708"/>
          <w:docGrid w:linePitch="299"/>
        </w:sectPr>
      </w:pPr>
    </w:p>
    <w:p w:rsidR="006D1AED" w:rsidRPr="00DA2EC7" w:rsidRDefault="006D1AED" w:rsidP="00DA2EC7">
      <w:pPr>
        <w:pStyle w:val="Odstavecseseznamem"/>
        <w:numPr>
          <w:ilvl w:val="0"/>
          <w:numId w:val="21"/>
        </w:numPr>
        <w:overflowPunct/>
        <w:autoSpaceDE/>
        <w:autoSpaceDN/>
        <w:adjustRightInd/>
        <w:textAlignment w:val="auto"/>
        <w:rPr>
          <w:rFonts w:cstheme="minorHAnsi"/>
          <w:b/>
          <w:szCs w:val="22"/>
          <w:u w:val="single"/>
        </w:rPr>
      </w:pPr>
      <w:r w:rsidRPr="00DA2EC7">
        <w:rPr>
          <w:rFonts w:cstheme="minorHAnsi"/>
          <w:b/>
          <w:szCs w:val="22"/>
          <w:u w:val="single"/>
        </w:rPr>
        <w:lastRenderedPageBreak/>
        <w:t>Inkluzivní podnikání v ČR – ústřední problémy a jeho důsledky</w:t>
      </w:r>
    </w:p>
    <w:p w:rsid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t>(doplňující informace k předběžné podmínce č. 8.2)</w:t>
      </w:r>
    </w:p>
    <w:p w:rsidR="00EE35EC" w:rsidRPr="006D1AED" w:rsidRDefault="00EE35EC" w:rsidP="006D1AED">
      <w:pPr>
        <w:rPr>
          <w:rFonts w:asciiTheme="minorHAnsi" w:hAnsiTheme="minorHAnsi" w:cstheme="minorHAnsi"/>
          <w:sz w:val="22"/>
          <w:szCs w:val="22"/>
        </w:rPr>
      </w:pPr>
    </w:p>
    <w:p w:rsidR="006D1AED" w:rsidRP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t>Výtah z evaluační studie “Evaluace podpory sociálního a inkluzivního podnikání v OP LZZ“</w:t>
      </w:r>
      <w:r w:rsidRPr="006D1AED">
        <w:rPr>
          <w:rStyle w:val="Znakapoznpodarou"/>
          <w:rFonts w:asciiTheme="minorHAnsi" w:hAnsiTheme="minorHAnsi" w:cstheme="minorHAnsi"/>
          <w:sz w:val="22"/>
          <w:szCs w:val="22"/>
        </w:rPr>
        <w:footnoteReference w:id="9"/>
      </w:r>
      <w:r w:rsidRPr="006D1AED">
        <w:rPr>
          <w:rFonts w:asciiTheme="minorHAnsi" w:hAnsiTheme="minorHAnsi" w:cstheme="minorHAnsi"/>
          <w:sz w:val="22"/>
          <w:szCs w:val="22"/>
        </w:rPr>
        <w:t xml:space="preserve"> </w:t>
      </w:r>
    </w:p>
    <w:p w:rsidR="006D1AED" w:rsidRP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t>Inkluzivní podnikání v ČR se potýká se dvěma vzájemně provázanými ústředními problémy:</w:t>
      </w:r>
    </w:p>
    <w:p w:rsidR="006D1AED" w:rsidRPr="006D1AED" w:rsidRDefault="006D1AED" w:rsidP="00E44916">
      <w:pPr>
        <w:pStyle w:val="Odstavecseseznamem"/>
        <w:numPr>
          <w:ilvl w:val="0"/>
          <w:numId w:val="17"/>
        </w:numPr>
        <w:overflowPunct/>
        <w:autoSpaceDE/>
        <w:autoSpaceDN/>
        <w:adjustRightInd/>
        <w:spacing w:after="200" w:line="276" w:lineRule="auto"/>
        <w:jc w:val="both"/>
        <w:textAlignment w:val="auto"/>
        <w:rPr>
          <w:rFonts w:cstheme="minorHAnsi"/>
          <w:szCs w:val="22"/>
        </w:rPr>
      </w:pPr>
      <w:r w:rsidRPr="006D1AED">
        <w:rPr>
          <w:rFonts w:cstheme="minorHAnsi"/>
          <w:szCs w:val="22"/>
        </w:rPr>
        <w:t xml:space="preserve">radikální pokles počtu i podílu nezaměstnaných zahajujících podnikání - vzhledem k tomu, že hospodářská situace nejen v ČR, ale i v ostatních zemích EU se v posledních letech výrazně zhoršila, tak se zároveň omezily možnosti pro podnikatelské aktivity, které přestávají v obecné plnit úlohu cesty k </w:t>
      </w:r>
      <w:proofErr w:type="spellStart"/>
      <w:r w:rsidRPr="006D1AED">
        <w:rPr>
          <w:rFonts w:cstheme="minorHAnsi"/>
          <w:szCs w:val="22"/>
        </w:rPr>
        <w:t>sebezaměstnání</w:t>
      </w:r>
      <w:proofErr w:type="spellEnd"/>
      <w:r w:rsidRPr="006D1AED">
        <w:rPr>
          <w:rFonts w:cstheme="minorHAnsi"/>
          <w:szCs w:val="22"/>
        </w:rPr>
        <w:t xml:space="preserve"> (tzv. únik do podnikání). Tímto se omezuje manévrovací prostor hospodářské politiky pouze na podpory v nezaměstnanosti a snižuje se celkový vliv v praxi trhu práce, čímž se dlouhodobě ohrožuje sociální stabilita a soudržnost ve společnosti;</w:t>
      </w:r>
    </w:p>
    <w:p w:rsidR="006D1AED" w:rsidRPr="006D1AED" w:rsidRDefault="006D1AED" w:rsidP="00E44916">
      <w:pPr>
        <w:pStyle w:val="Odstavecseseznamem"/>
        <w:numPr>
          <w:ilvl w:val="0"/>
          <w:numId w:val="17"/>
        </w:numPr>
        <w:overflowPunct/>
        <w:autoSpaceDE/>
        <w:autoSpaceDN/>
        <w:adjustRightInd/>
        <w:spacing w:after="200" w:line="276" w:lineRule="auto"/>
        <w:jc w:val="both"/>
        <w:textAlignment w:val="auto"/>
        <w:rPr>
          <w:rFonts w:cstheme="minorHAnsi"/>
          <w:szCs w:val="22"/>
        </w:rPr>
      </w:pPr>
      <w:r w:rsidRPr="006D1AED">
        <w:rPr>
          <w:rFonts w:cstheme="minorHAnsi"/>
          <w:szCs w:val="22"/>
        </w:rPr>
        <w:t>malý počet a podíl osob znevýhodněných (ohrožených) na trhu práce zahajujících podnikání a následně podnikajících, zejm. žen, osob s nízkou kvalifikací, starších osob a částečně mladých lidí – pokud se prohlubují problémy znevýhodněných osob na trhu práce dlouhodobě, tak se zvyšuje riziko zacyklení problémů a vzniku bludného kruhu znevýhodnění. Přitom možnosti využití podnikání pro tento okruh osob je jednou z významných možností, jak těmto problémům čelit.</w:t>
      </w:r>
    </w:p>
    <w:p w:rsidR="006D1AED" w:rsidRPr="006D1AED" w:rsidRDefault="006D1AED" w:rsidP="006D1AED">
      <w:pPr>
        <w:jc w:val="both"/>
        <w:rPr>
          <w:rFonts w:asciiTheme="minorHAnsi" w:hAnsiTheme="minorHAnsi" w:cstheme="minorHAnsi"/>
          <w:sz w:val="22"/>
          <w:szCs w:val="22"/>
        </w:rPr>
      </w:pPr>
      <w:r w:rsidRPr="006D1AED">
        <w:rPr>
          <w:rFonts w:asciiTheme="minorHAnsi" w:hAnsiTheme="minorHAnsi" w:cstheme="minorHAnsi"/>
          <w:sz w:val="22"/>
          <w:szCs w:val="22"/>
        </w:rPr>
        <w:t>Důsledkem výše uvedených ústředních problémů inkluzivního podnikání v ČR pak je přetrvávající zhoršená situace znevýhodněných skupin obyvatelstva na trhu práce, zejm. z hlediska specifické míry zaměstnanosti a nezaměstnanosti. V obecnějším pohledu je důsledkem nízká míra vzniku nových podnikatelských subjektů a snižující se míra podnikatelské aktivity obyvatel v ČR, která je v mezinárodním srovnání celkově na nízké úrovni (viz také GEM 2013).</w:t>
      </w:r>
    </w:p>
    <w:p w:rsidR="006D1AED" w:rsidRPr="006D1AED" w:rsidRDefault="006D1AED" w:rsidP="006D1AED">
      <w:pPr>
        <w:rPr>
          <w:rFonts w:asciiTheme="minorHAnsi" w:hAnsiTheme="minorHAnsi" w:cstheme="minorHAnsi"/>
          <w:b/>
          <w:sz w:val="22"/>
          <w:szCs w:val="22"/>
        </w:rPr>
      </w:pPr>
      <w:r w:rsidRPr="006D1AED">
        <w:rPr>
          <w:rFonts w:asciiTheme="minorHAnsi" w:hAnsiTheme="minorHAnsi" w:cstheme="minorHAnsi"/>
          <w:b/>
          <w:sz w:val="22"/>
          <w:szCs w:val="22"/>
        </w:rPr>
        <w:t>Příčiny ústředního problému inkluzivního podnikání</w:t>
      </w:r>
    </w:p>
    <w:p w:rsidR="006D1AED" w:rsidRPr="006D1AED" w:rsidRDefault="006D1AED" w:rsidP="006D1AED">
      <w:pPr>
        <w:jc w:val="both"/>
        <w:rPr>
          <w:rFonts w:asciiTheme="minorHAnsi" w:hAnsiTheme="minorHAnsi" w:cstheme="minorHAnsi"/>
          <w:sz w:val="22"/>
          <w:szCs w:val="22"/>
        </w:rPr>
      </w:pPr>
      <w:r w:rsidRPr="006D1AED">
        <w:rPr>
          <w:rFonts w:asciiTheme="minorHAnsi" w:hAnsiTheme="minorHAnsi" w:cstheme="minorHAnsi"/>
          <w:sz w:val="22"/>
          <w:szCs w:val="22"/>
        </w:rPr>
        <w:t>Hlavní příčiny ústředních problémů inkluzivního podnikání jsou poměrně složitě vzájemně podmíněné a nelze konstatovat, že by byla chyba pouze v jedné záležitosti. Naopak se jedná o určitý komplex příčin. Obecně však mají obyvatelé ČR v porovnání s ostatními zeměmi nízkou sebedůvěru, pokud jde o přesvědčení, že mají dovednosti, znalosti a zkušenosti potřebné pro zahájení nového podnikání. To může podvazovat podnikatelskou aktivitu v samém zárodku. Radikální pokles počtu i podílu nezaměstnaných zahajujících podnikání je zapříčiněn negativním makroekonomickým vývojem, který v minulých letech doprovázela reorganizace úřadů práce v ČR, které byly kapacitně přetížené. Příčiny pro malý počet a podíl osob znevýhodněných (ohrožených) na trhu práce zahajujících podnikání a následně podnikajících jsou stejné, jako jsou dále negativně zesíleny i dalšími příčinami, mezi které patří nedostatečná kvalifikace vůči požadavkům na trhu práce a nízké vzdělání a dovednosti znevýhodněných osob na trhu práce pro zahájení podnikání, a dále také nedostatek prostředků pro financování zahájení podnikání, averze k riziku podnikatelských aktivit spojená s nízkou podnikatelskou sebedůvěrou znevýhodněných osob.</w:t>
      </w:r>
    </w:p>
    <w:p w:rsidR="006D1AED" w:rsidRPr="006D1AED" w:rsidRDefault="006D1AED" w:rsidP="006D1AED">
      <w:pPr>
        <w:jc w:val="both"/>
        <w:rPr>
          <w:rFonts w:asciiTheme="minorHAnsi" w:hAnsiTheme="minorHAnsi" w:cstheme="minorHAnsi"/>
          <w:sz w:val="22"/>
          <w:szCs w:val="22"/>
        </w:rPr>
      </w:pPr>
      <w:r w:rsidRPr="006D1AED">
        <w:rPr>
          <w:rFonts w:asciiTheme="minorHAnsi" w:hAnsiTheme="minorHAnsi" w:cstheme="minorHAnsi"/>
          <w:sz w:val="22"/>
          <w:szCs w:val="22"/>
        </w:rPr>
        <w:t>Příčiny ústředních problémů byly identifikovány (na základě rešerší dokumentů) a rozděleny do několika skupin:</w:t>
      </w:r>
    </w:p>
    <w:p w:rsidR="006D1AED" w:rsidRPr="006D1AED" w:rsidRDefault="006D1AED" w:rsidP="00E44916">
      <w:pPr>
        <w:pStyle w:val="Odstavecseseznamem"/>
        <w:numPr>
          <w:ilvl w:val="0"/>
          <w:numId w:val="18"/>
        </w:numPr>
        <w:overflowPunct/>
        <w:autoSpaceDE/>
        <w:autoSpaceDN/>
        <w:adjustRightInd/>
        <w:spacing w:after="200" w:line="276" w:lineRule="auto"/>
        <w:jc w:val="both"/>
        <w:textAlignment w:val="auto"/>
        <w:rPr>
          <w:rFonts w:cstheme="minorHAnsi"/>
          <w:szCs w:val="22"/>
        </w:rPr>
      </w:pPr>
      <w:r w:rsidRPr="006D1AED">
        <w:rPr>
          <w:rFonts w:cstheme="minorHAnsi"/>
          <w:szCs w:val="22"/>
        </w:rPr>
        <w:t>Nedostatečná kvalifikace vůči požadavkům na trhu prác</w:t>
      </w:r>
      <w:r>
        <w:rPr>
          <w:rFonts w:cstheme="minorHAnsi"/>
          <w:szCs w:val="22"/>
        </w:rPr>
        <w:t>e a nízké vzdělání a dovednosti</w:t>
      </w:r>
      <w:r w:rsidRPr="006D1AED">
        <w:rPr>
          <w:rFonts w:cstheme="minorHAnsi"/>
          <w:szCs w:val="22"/>
        </w:rPr>
        <w:t xml:space="preserve"> znevýhodněných osob na trhu práce</w:t>
      </w:r>
    </w:p>
    <w:p w:rsidR="006D1AED" w:rsidRP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t>• úzký okruh činností pro zahájení podnikání</w:t>
      </w:r>
    </w:p>
    <w:p w:rsidR="006D1AED" w:rsidRP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t>• nedostatek schopností pro zahájení podnikání</w:t>
      </w:r>
    </w:p>
    <w:p w:rsidR="006D1AED" w:rsidRP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lastRenderedPageBreak/>
        <w:t>• preference zaměstnání s jednoduchou pracovní náplní spojená s malou flexibilitou žen po mateřské  a OZP</w:t>
      </w:r>
    </w:p>
    <w:p w:rsidR="006D1AED" w:rsidRPr="006D1AED" w:rsidRDefault="006D1AED" w:rsidP="006D1AED">
      <w:pPr>
        <w:rPr>
          <w:rFonts w:asciiTheme="minorHAnsi" w:hAnsiTheme="minorHAnsi" w:cstheme="minorHAnsi"/>
          <w:sz w:val="22"/>
          <w:szCs w:val="22"/>
        </w:rPr>
      </w:pPr>
    </w:p>
    <w:p w:rsidR="006D1AED" w:rsidRPr="006D1AED" w:rsidRDefault="006D1AED" w:rsidP="00E44916">
      <w:pPr>
        <w:pStyle w:val="Odstavecseseznamem"/>
        <w:numPr>
          <w:ilvl w:val="0"/>
          <w:numId w:val="18"/>
        </w:numPr>
        <w:overflowPunct/>
        <w:autoSpaceDE/>
        <w:autoSpaceDN/>
        <w:adjustRightInd/>
        <w:spacing w:after="200" w:line="276" w:lineRule="auto"/>
        <w:jc w:val="both"/>
        <w:textAlignment w:val="auto"/>
        <w:rPr>
          <w:rFonts w:cstheme="minorHAnsi"/>
          <w:szCs w:val="22"/>
        </w:rPr>
      </w:pPr>
      <w:r w:rsidRPr="006D1AED">
        <w:rPr>
          <w:rFonts w:cstheme="minorHAnsi"/>
          <w:szCs w:val="22"/>
        </w:rPr>
        <w:t>Nedostatek prostředků pro financování zahájení podnikání, averze k riziku podnikatelských aktivit spojená s nízkou podnikatelskou sebedůvěrou znevýhodněných osob</w:t>
      </w:r>
    </w:p>
    <w:p w:rsidR="006D1AED" w:rsidRP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t>• nízká ochota nést riziko podnikání</w:t>
      </w:r>
    </w:p>
    <w:p w:rsidR="006D1AED" w:rsidRP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t>• nízká podnikatelská sebedůvěra znevýhodněných osob</w:t>
      </w:r>
    </w:p>
    <w:p w:rsidR="006D1AED" w:rsidRPr="006D1AED" w:rsidRDefault="006D1AED" w:rsidP="006D1AED">
      <w:pPr>
        <w:rPr>
          <w:rFonts w:asciiTheme="minorHAnsi" w:hAnsiTheme="minorHAnsi" w:cstheme="minorHAnsi"/>
          <w:sz w:val="22"/>
          <w:szCs w:val="22"/>
        </w:rPr>
      </w:pPr>
    </w:p>
    <w:p w:rsidR="006D1AED" w:rsidRPr="006D1AED" w:rsidRDefault="006D1AED" w:rsidP="00E44916">
      <w:pPr>
        <w:pStyle w:val="Odstavecseseznamem"/>
        <w:numPr>
          <w:ilvl w:val="0"/>
          <w:numId w:val="18"/>
        </w:numPr>
        <w:overflowPunct/>
        <w:autoSpaceDE/>
        <w:autoSpaceDN/>
        <w:adjustRightInd/>
        <w:spacing w:after="200" w:line="276" w:lineRule="auto"/>
        <w:textAlignment w:val="auto"/>
        <w:rPr>
          <w:rFonts w:cstheme="minorHAnsi"/>
          <w:szCs w:val="22"/>
        </w:rPr>
      </w:pPr>
      <w:r w:rsidRPr="006D1AED">
        <w:rPr>
          <w:rFonts w:cstheme="minorHAnsi"/>
          <w:szCs w:val="22"/>
        </w:rPr>
        <w:t>Makroekonomický vývoj spojený s hospodářskou krizí, podnikatelské prostředí</w:t>
      </w:r>
    </w:p>
    <w:p w:rsidR="006D1AED" w:rsidRP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t>• nízký počet příležitostí ve strukturálně postižených regionech</w:t>
      </w:r>
    </w:p>
    <w:p w:rsidR="006D1AED" w:rsidRP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t>• slabé výsledky rekvalifikačních programů k podnikání oproti předkrizovému období</w:t>
      </w:r>
    </w:p>
    <w:p w:rsidR="006D1AED" w:rsidRPr="006D1AED" w:rsidRDefault="006D1AED" w:rsidP="006D1AED">
      <w:pPr>
        <w:rPr>
          <w:rFonts w:asciiTheme="minorHAnsi" w:hAnsiTheme="minorHAnsi" w:cstheme="minorHAnsi"/>
          <w:sz w:val="22"/>
          <w:szCs w:val="22"/>
        </w:rPr>
      </w:pPr>
    </w:p>
    <w:p w:rsidR="006D1AED" w:rsidRPr="006D1AED" w:rsidRDefault="006D1AED" w:rsidP="006D1AED">
      <w:pPr>
        <w:rPr>
          <w:rFonts w:asciiTheme="minorHAnsi" w:hAnsiTheme="minorHAnsi" w:cstheme="minorHAnsi"/>
          <w:b/>
          <w:sz w:val="22"/>
          <w:szCs w:val="22"/>
        </w:rPr>
      </w:pPr>
      <w:r w:rsidRPr="006D1AED">
        <w:rPr>
          <w:rFonts w:asciiTheme="minorHAnsi" w:hAnsiTheme="minorHAnsi" w:cstheme="minorHAnsi"/>
          <w:b/>
          <w:sz w:val="22"/>
          <w:szCs w:val="22"/>
        </w:rPr>
        <w:t>Způsoby a nástroje řešení příčin ústředního problému inkluzivního podnikání</w:t>
      </w:r>
    </w:p>
    <w:p w:rsidR="006D1AED" w:rsidRPr="006D1AED" w:rsidRDefault="006D1AED" w:rsidP="006D1AED">
      <w:pPr>
        <w:rPr>
          <w:rFonts w:asciiTheme="minorHAnsi" w:hAnsiTheme="minorHAnsi" w:cstheme="minorHAnsi"/>
          <w:sz w:val="22"/>
          <w:szCs w:val="22"/>
        </w:rPr>
      </w:pPr>
      <w:r w:rsidRPr="006D1AED">
        <w:rPr>
          <w:rFonts w:asciiTheme="minorHAnsi" w:hAnsiTheme="minorHAnsi" w:cstheme="minorHAnsi"/>
          <w:sz w:val="22"/>
          <w:szCs w:val="22"/>
        </w:rPr>
        <w:t>Prostřednictvím rešerše relevantních dokumentů byly identifikovány způsoby a nástroje, jak příčiny ústředních problémů inkluzivního podnikání v ČR odstranit nebo alespoň omezit:</w:t>
      </w:r>
    </w:p>
    <w:p w:rsidR="006D1AED" w:rsidRPr="006D1AED" w:rsidRDefault="006D1AED" w:rsidP="00E44916">
      <w:pPr>
        <w:pStyle w:val="Odstavecseseznamem"/>
        <w:numPr>
          <w:ilvl w:val="0"/>
          <w:numId w:val="19"/>
        </w:numPr>
        <w:overflowPunct/>
        <w:autoSpaceDE/>
        <w:autoSpaceDN/>
        <w:adjustRightInd/>
        <w:spacing w:after="200" w:line="276" w:lineRule="auto"/>
        <w:jc w:val="both"/>
        <w:textAlignment w:val="auto"/>
        <w:rPr>
          <w:rFonts w:cstheme="minorHAnsi"/>
          <w:szCs w:val="22"/>
        </w:rPr>
      </w:pPr>
      <w:r w:rsidRPr="006D1AED">
        <w:rPr>
          <w:rFonts w:cstheme="minorHAnsi"/>
          <w:szCs w:val="22"/>
        </w:rPr>
        <w:t>Nedostatečná kvalifikace vůči požadavkům na trhu práce a nízké vzdělání znevýhodněných osob na trhu práce zahajujících podnikání – intervence by měly být zaměřeny na zlepšení kvalifikačních podmínek znevýhodněných osob na trhu práce tak, aby se rozšířil možný okruh činností pro zahájení podnikání, zvýšily se schopnosti pro zahájení podnikání.</w:t>
      </w:r>
    </w:p>
    <w:p w:rsidR="006D1AED" w:rsidRPr="006D1AED" w:rsidRDefault="006D1AED" w:rsidP="00E44916">
      <w:pPr>
        <w:pStyle w:val="Odstavecseseznamem"/>
        <w:numPr>
          <w:ilvl w:val="0"/>
          <w:numId w:val="19"/>
        </w:numPr>
        <w:overflowPunct/>
        <w:autoSpaceDE/>
        <w:autoSpaceDN/>
        <w:adjustRightInd/>
        <w:spacing w:after="200" w:line="276" w:lineRule="auto"/>
        <w:jc w:val="both"/>
        <w:textAlignment w:val="auto"/>
        <w:rPr>
          <w:rFonts w:cstheme="minorHAnsi"/>
          <w:szCs w:val="22"/>
        </w:rPr>
      </w:pPr>
      <w:r w:rsidRPr="006D1AED">
        <w:rPr>
          <w:rFonts w:cstheme="minorHAnsi"/>
          <w:szCs w:val="22"/>
        </w:rPr>
        <w:t xml:space="preserve"> Nedostatek prostředků pro financování zahájení podnikání, averze k riziku podnikatelských aktivit spojená s nízkou podnikatelskou sebedůvěrou znevýhodněných osob – intervence by měly zlepšit přístup k finančním prostředkům pro začínající znevýhodněné podnikatele.</w:t>
      </w:r>
    </w:p>
    <w:p w:rsidR="008B55C0" w:rsidRPr="00705A45" w:rsidRDefault="006D1AED" w:rsidP="00E44916">
      <w:pPr>
        <w:pStyle w:val="Odstavecseseznamem"/>
        <w:numPr>
          <w:ilvl w:val="0"/>
          <w:numId w:val="19"/>
        </w:numPr>
        <w:overflowPunct/>
        <w:autoSpaceDE/>
        <w:autoSpaceDN/>
        <w:adjustRightInd/>
        <w:spacing w:after="200" w:line="276" w:lineRule="auto"/>
        <w:jc w:val="both"/>
        <w:textAlignment w:val="auto"/>
        <w:rPr>
          <w:rFonts w:cstheme="minorHAnsi"/>
          <w:szCs w:val="22"/>
        </w:rPr>
        <w:sectPr w:rsidR="008B55C0" w:rsidRPr="00705A45" w:rsidSect="008B55C0">
          <w:pgSz w:w="11906" w:h="16838"/>
          <w:pgMar w:top="1418" w:right="1418" w:bottom="1418" w:left="1418" w:header="708" w:footer="708" w:gutter="0"/>
          <w:cols w:space="708"/>
          <w:docGrid w:linePitch="299"/>
        </w:sectPr>
      </w:pPr>
      <w:r w:rsidRPr="006D1AED">
        <w:rPr>
          <w:rFonts w:cstheme="minorHAnsi"/>
          <w:szCs w:val="22"/>
        </w:rPr>
        <w:t>Makroekonomický vývoj spojený s hospodářskou krizí – jedná se o komplexní příčinu problému inkluzivního podnikání, a proto by intervence měly především zmírnit negativní důsledky hospodářské krize prostřednictvím cílené podpory znevýhodněných osob.</w:t>
      </w:r>
    </w:p>
    <w:p w:rsidR="00705A45" w:rsidRPr="00DA2EC7" w:rsidRDefault="00705A45" w:rsidP="00DA2EC7">
      <w:pPr>
        <w:pStyle w:val="Odstavecseseznamem"/>
        <w:numPr>
          <w:ilvl w:val="0"/>
          <w:numId w:val="21"/>
        </w:numPr>
        <w:overflowPunct/>
        <w:autoSpaceDE/>
        <w:autoSpaceDN/>
        <w:adjustRightInd/>
        <w:ind w:left="0" w:hanging="1004"/>
        <w:textAlignment w:val="auto"/>
        <w:rPr>
          <w:b/>
          <w:szCs w:val="22"/>
          <w:u w:val="single"/>
        </w:rPr>
      </w:pPr>
      <w:r w:rsidRPr="00DA2EC7">
        <w:rPr>
          <w:b/>
          <w:bCs/>
          <w:szCs w:val="22"/>
          <w:u w:val="single"/>
        </w:rPr>
        <w:lastRenderedPageBreak/>
        <w:t>Přehled naplňování obecných předběžných podmínek na národní úrovni v rámci Dohody o partnerství</w:t>
      </w:r>
      <w:r w:rsidR="0069648F" w:rsidRPr="00DA2EC7">
        <w:rPr>
          <w:b/>
          <w:bCs/>
          <w:szCs w:val="22"/>
          <w:u w:val="single"/>
        </w:rPr>
        <w:t xml:space="preserve"> </w:t>
      </w:r>
    </w:p>
    <w:p w:rsidR="0069648F" w:rsidRDefault="0069648F" w:rsidP="0069648F">
      <w:pPr>
        <w:pStyle w:val="Odstavecseseznamem"/>
        <w:overflowPunct/>
        <w:autoSpaceDE/>
        <w:autoSpaceDN/>
        <w:adjustRightInd/>
        <w:ind w:left="-284"/>
        <w:textAlignment w:val="auto"/>
        <w:rPr>
          <w:bCs/>
          <w:szCs w:val="22"/>
        </w:rPr>
      </w:pPr>
      <w:r>
        <w:rPr>
          <w:bCs/>
          <w:szCs w:val="22"/>
        </w:rPr>
        <w:t>(k</w:t>
      </w:r>
      <w:r w:rsidR="005A36BF">
        <w:rPr>
          <w:bCs/>
          <w:szCs w:val="22"/>
        </w:rPr>
        <w:t xml:space="preserve"> </w:t>
      </w:r>
      <w:r w:rsidR="00D3733C">
        <w:rPr>
          <w:bCs/>
          <w:szCs w:val="22"/>
        </w:rPr>
        <w:t>2</w:t>
      </w:r>
      <w:r w:rsidR="005A36BF">
        <w:rPr>
          <w:bCs/>
          <w:szCs w:val="22"/>
        </w:rPr>
        <w:t>.4.2015</w:t>
      </w:r>
      <w:r>
        <w:rPr>
          <w:bCs/>
          <w:szCs w:val="22"/>
        </w:rPr>
        <w:t>)</w:t>
      </w:r>
    </w:p>
    <w:p w:rsidR="0083711E" w:rsidRPr="00FE21ED" w:rsidRDefault="0083711E" w:rsidP="0083711E">
      <w:pPr>
        <w:pStyle w:val="DAVA"/>
        <w:spacing w:before="240" w:after="120"/>
        <w:ind w:left="-567"/>
        <w:rPr>
          <w:b/>
          <w:sz w:val="18"/>
          <w:szCs w:val="18"/>
        </w:rPr>
      </w:pPr>
      <w:r w:rsidRPr="00FE21ED">
        <w:rPr>
          <w:b/>
          <w:sz w:val="18"/>
          <w:szCs w:val="18"/>
        </w:rPr>
        <w:t>I</w:t>
      </w:r>
      <w:r>
        <w:rPr>
          <w:b/>
          <w:sz w:val="18"/>
          <w:szCs w:val="18"/>
          <w:lang w:val="cs-CZ"/>
        </w:rPr>
        <w:t>B</w:t>
      </w:r>
      <w:r w:rsidRPr="00FE21ED">
        <w:rPr>
          <w:b/>
          <w:sz w:val="18"/>
          <w:szCs w:val="18"/>
        </w:rPr>
        <w:t>/ Vymezení aplikovatelných OBECNÝCH předběžných podmínek a jejich plnění na národní úrovni</w:t>
      </w:r>
    </w:p>
    <w:tbl>
      <w:tblPr>
        <w:tblW w:w="15168"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1134"/>
        <w:gridCol w:w="1134"/>
        <w:gridCol w:w="1985"/>
        <w:gridCol w:w="850"/>
        <w:gridCol w:w="1701"/>
        <w:gridCol w:w="7230"/>
      </w:tblGrid>
      <w:tr w:rsidR="0083711E" w:rsidRPr="00A76D60" w:rsidTr="00C36EE6">
        <w:trPr>
          <w:trHeight w:val="431"/>
          <w:tblHeader/>
        </w:trPr>
        <w:tc>
          <w:tcPr>
            <w:tcW w:w="1134" w:type="dxa"/>
            <w:shd w:val="clear" w:color="auto" w:fill="E5B8B7"/>
            <w:tcMar>
              <w:top w:w="0" w:type="dxa"/>
              <w:left w:w="28" w:type="dxa"/>
              <w:bottom w:w="0" w:type="dxa"/>
              <w:right w:w="28" w:type="dxa"/>
            </w:tcMar>
            <w:vAlign w:val="center"/>
          </w:tcPr>
          <w:p w:rsidR="0083711E" w:rsidRPr="00A76D60" w:rsidRDefault="0083711E" w:rsidP="00C36EE6">
            <w:pPr>
              <w:pStyle w:val="Default"/>
              <w:spacing w:before="80" w:after="80"/>
              <w:jc w:val="center"/>
              <w:rPr>
                <w:rFonts w:ascii="Arial" w:hAnsi="Arial" w:cs="Arial"/>
                <w:sz w:val="18"/>
                <w:szCs w:val="18"/>
                <w:lang w:eastAsia="cs-CZ"/>
              </w:rPr>
            </w:pPr>
            <w:r w:rsidRPr="00A76D60">
              <w:rPr>
                <w:rFonts w:ascii="Arial" w:hAnsi="Arial" w:cs="Arial"/>
                <w:b/>
                <w:bCs/>
                <w:sz w:val="18"/>
                <w:szCs w:val="18"/>
                <w:lang w:eastAsia="cs-CZ"/>
              </w:rPr>
              <w:t>Použitelná předběžná podmínka na národní úrovni</w:t>
            </w:r>
          </w:p>
        </w:tc>
        <w:tc>
          <w:tcPr>
            <w:tcW w:w="1134" w:type="dxa"/>
            <w:shd w:val="clear" w:color="auto" w:fill="E5B8B7"/>
            <w:tcMar>
              <w:top w:w="0" w:type="dxa"/>
              <w:left w:w="28" w:type="dxa"/>
              <w:bottom w:w="0" w:type="dxa"/>
              <w:right w:w="28" w:type="dxa"/>
            </w:tcMar>
            <w:vAlign w:val="center"/>
          </w:tcPr>
          <w:p w:rsidR="0083711E" w:rsidRPr="00A76D60" w:rsidRDefault="0083711E" w:rsidP="00C36EE6">
            <w:pPr>
              <w:pStyle w:val="Default"/>
              <w:spacing w:before="80" w:after="80"/>
              <w:jc w:val="center"/>
              <w:rPr>
                <w:rFonts w:ascii="Arial" w:hAnsi="Arial" w:cs="Arial"/>
                <w:b/>
                <w:bCs/>
                <w:sz w:val="18"/>
                <w:szCs w:val="18"/>
                <w:lang w:eastAsia="cs-CZ"/>
              </w:rPr>
            </w:pPr>
            <w:r w:rsidRPr="00A76D60">
              <w:rPr>
                <w:rFonts w:ascii="Arial" w:hAnsi="Arial" w:cs="Arial"/>
                <w:b/>
                <w:bCs/>
                <w:sz w:val="18"/>
                <w:szCs w:val="18"/>
                <w:lang w:eastAsia="cs-CZ"/>
              </w:rPr>
              <w:t>Prioritní osa nebo osy, ke kterým se podmínka vztahuje</w:t>
            </w:r>
          </w:p>
        </w:tc>
        <w:tc>
          <w:tcPr>
            <w:tcW w:w="1134" w:type="dxa"/>
            <w:shd w:val="clear" w:color="auto" w:fill="E5B8B7"/>
            <w:tcMar>
              <w:top w:w="0" w:type="dxa"/>
              <w:left w:w="28" w:type="dxa"/>
              <w:bottom w:w="0" w:type="dxa"/>
              <w:right w:w="28" w:type="dxa"/>
            </w:tcMar>
            <w:vAlign w:val="center"/>
          </w:tcPr>
          <w:p w:rsidR="0083711E" w:rsidRPr="00A76D60" w:rsidRDefault="0083711E" w:rsidP="00C36EE6">
            <w:pPr>
              <w:pStyle w:val="Default"/>
              <w:spacing w:before="80" w:after="80"/>
              <w:jc w:val="center"/>
              <w:rPr>
                <w:rFonts w:ascii="Arial" w:hAnsi="Arial" w:cs="Arial"/>
                <w:sz w:val="18"/>
                <w:szCs w:val="18"/>
                <w:lang w:eastAsia="cs-CZ"/>
              </w:rPr>
            </w:pPr>
            <w:r w:rsidRPr="00A76D60">
              <w:rPr>
                <w:rFonts w:ascii="Arial" w:hAnsi="Arial" w:cs="Arial"/>
                <w:b/>
                <w:bCs/>
                <w:sz w:val="18"/>
                <w:szCs w:val="18"/>
                <w:lang w:eastAsia="cs-CZ"/>
              </w:rPr>
              <w:t>Splnění předběžné podmínky (ano/ne /částečně)</w:t>
            </w:r>
          </w:p>
        </w:tc>
        <w:tc>
          <w:tcPr>
            <w:tcW w:w="1985" w:type="dxa"/>
            <w:shd w:val="clear" w:color="auto" w:fill="E5B8B7"/>
            <w:tcMar>
              <w:top w:w="0" w:type="dxa"/>
              <w:left w:w="28" w:type="dxa"/>
              <w:bottom w:w="0" w:type="dxa"/>
              <w:right w:w="28" w:type="dxa"/>
            </w:tcMar>
            <w:vAlign w:val="center"/>
          </w:tcPr>
          <w:p w:rsidR="0083711E" w:rsidRPr="00A76D60" w:rsidRDefault="0083711E" w:rsidP="00C36EE6">
            <w:pPr>
              <w:pStyle w:val="Default"/>
              <w:spacing w:before="80" w:after="80"/>
              <w:jc w:val="center"/>
              <w:rPr>
                <w:rFonts w:ascii="Arial" w:hAnsi="Arial" w:cs="Arial"/>
                <w:sz w:val="18"/>
                <w:szCs w:val="18"/>
                <w:lang w:eastAsia="cs-CZ"/>
              </w:rPr>
            </w:pPr>
            <w:r w:rsidRPr="00A76D60">
              <w:rPr>
                <w:rFonts w:ascii="Arial" w:hAnsi="Arial" w:cs="Arial"/>
                <w:b/>
                <w:bCs/>
                <w:sz w:val="18"/>
                <w:szCs w:val="18"/>
                <w:lang w:eastAsia="cs-CZ"/>
              </w:rPr>
              <w:t>Kritéria splnění</w:t>
            </w:r>
          </w:p>
        </w:tc>
        <w:tc>
          <w:tcPr>
            <w:tcW w:w="850" w:type="dxa"/>
            <w:shd w:val="clear" w:color="auto" w:fill="E5B8B7"/>
            <w:tcMar>
              <w:top w:w="0" w:type="dxa"/>
              <w:left w:w="28" w:type="dxa"/>
              <w:bottom w:w="0" w:type="dxa"/>
              <w:right w:w="28" w:type="dxa"/>
            </w:tcMar>
            <w:vAlign w:val="center"/>
          </w:tcPr>
          <w:p w:rsidR="0083711E" w:rsidRPr="00A76D60" w:rsidRDefault="0083711E" w:rsidP="00C36EE6">
            <w:pPr>
              <w:pStyle w:val="DAVA"/>
              <w:spacing w:before="80" w:after="80"/>
              <w:jc w:val="center"/>
              <w:rPr>
                <w:rFonts w:cs="Arial"/>
                <w:sz w:val="18"/>
                <w:szCs w:val="18"/>
                <w:lang w:val="cs-CZ" w:eastAsia="cs-CZ"/>
              </w:rPr>
            </w:pPr>
            <w:r w:rsidRPr="00A76D60">
              <w:rPr>
                <w:rFonts w:cs="Arial"/>
                <w:b/>
                <w:bCs/>
                <w:sz w:val="18"/>
                <w:szCs w:val="18"/>
                <w:lang w:val="cs-CZ" w:eastAsia="cs-CZ"/>
              </w:rPr>
              <w:t>Splnění kritéria (ano / ne/částečně)</w:t>
            </w:r>
          </w:p>
        </w:tc>
        <w:tc>
          <w:tcPr>
            <w:tcW w:w="1701" w:type="dxa"/>
            <w:shd w:val="clear" w:color="auto" w:fill="E5B8B7"/>
            <w:tcMar>
              <w:top w:w="0" w:type="dxa"/>
              <w:left w:w="28" w:type="dxa"/>
              <w:bottom w:w="0" w:type="dxa"/>
              <w:right w:w="28" w:type="dxa"/>
            </w:tcMar>
            <w:vAlign w:val="center"/>
          </w:tcPr>
          <w:p w:rsidR="0083711E" w:rsidRPr="00A76D60" w:rsidRDefault="0083711E" w:rsidP="00C36EE6">
            <w:pPr>
              <w:pStyle w:val="Default"/>
              <w:spacing w:before="80" w:after="80"/>
              <w:jc w:val="center"/>
              <w:rPr>
                <w:rFonts w:ascii="Arial" w:hAnsi="Arial" w:cs="Arial"/>
                <w:sz w:val="18"/>
                <w:szCs w:val="18"/>
                <w:lang w:eastAsia="cs-CZ"/>
              </w:rPr>
            </w:pPr>
            <w:r w:rsidRPr="00A76D60">
              <w:rPr>
                <w:rFonts w:ascii="Arial" w:hAnsi="Arial" w:cs="Arial"/>
                <w:b/>
                <w:bCs/>
                <w:sz w:val="18"/>
                <w:szCs w:val="18"/>
                <w:lang w:eastAsia="cs-CZ"/>
              </w:rPr>
              <w:t>Odkazy (u splněných podmínek)</w:t>
            </w:r>
          </w:p>
        </w:tc>
        <w:tc>
          <w:tcPr>
            <w:tcW w:w="7230" w:type="dxa"/>
            <w:shd w:val="clear" w:color="auto" w:fill="E5B8B7"/>
            <w:tcMar>
              <w:top w:w="0" w:type="dxa"/>
              <w:left w:w="28" w:type="dxa"/>
              <w:bottom w:w="0" w:type="dxa"/>
              <w:right w:w="28" w:type="dxa"/>
            </w:tcMar>
            <w:vAlign w:val="center"/>
          </w:tcPr>
          <w:p w:rsidR="0083711E" w:rsidRPr="00A76D60" w:rsidRDefault="0083711E" w:rsidP="00C36EE6">
            <w:pPr>
              <w:pStyle w:val="Default"/>
              <w:spacing w:before="80" w:after="80"/>
              <w:jc w:val="center"/>
              <w:rPr>
                <w:rFonts w:ascii="Arial" w:hAnsi="Arial" w:cs="Arial"/>
                <w:sz w:val="18"/>
                <w:szCs w:val="18"/>
                <w:lang w:eastAsia="cs-CZ"/>
              </w:rPr>
            </w:pPr>
            <w:r w:rsidRPr="00A76D60">
              <w:rPr>
                <w:rFonts w:ascii="Arial" w:hAnsi="Arial" w:cs="Arial"/>
                <w:b/>
                <w:bCs/>
                <w:sz w:val="18"/>
                <w:szCs w:val="18"/>
                <w:lang w:eastAsia="cs-CZ"/>
              </w:rPr>
              <w:t>Vysvětlení (tam, kde je to vhodné)</w:t>
            </w:r>
          </w:p>
        </w:tc>
      </w:tr>
      <w:tr w:rsidR="0083711E" w:rsidRPr="00A76D60" w:rsidTr="00C36EE6">
        <w:trPr>
          <w:trHeight w:val="868"/>
        </w:trPr>
        <w:tc>
          <w:tcPr>
            <w:tcW w:w="1134" w:type="dxa"/>
            <w:vMerge w:val="restart"/>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b/>
                <w:color w:val="000000"/>
                <w:sz w:val="18"/>
                <w:szCs w:val="18"/>
                <w:lang w:val="cs-CZ" w:eastAsia="cs-CZ"/>
              </w:rPr>
            </w:pPr>
            <w:r w:rsidRPr="00A76D60">
              <w:rPr>
                <w:rFonts w:cs="Arial"/>
                <w:b/>
                <w:color w:val="000000"/>
                <w:sz w:val="18"/>
                <w:szCs w:val="18"/>
                <w:lang w:val="cs-CZ" w:eastAsia="cs-CZ"/>
              </w:rPr>
              <w:t xml:space="preserve">1. </w:t>
            </w:r>
          </w:p>
          <w:p w:rsidR="0083711E" w:rsidRPr="00A76D60" w:rsidRDefault="0083711E" w:rsidP="00C36EE6">
            <w:pPr>
              <w:pStyle w:val="DAVA"/>
              <w:spacing w:before="80" w:after="80"/>
              <w:rPr>
                <w:rFonts w:cs="Arial"/>
                <w:b/>
                <w:sz w:val="18"/>
                <w:szCs w:val="18"/>
                <w:lang w:val="cs-CZ" w:eastAsia="cs-CZ"/>
              </w:rPr>
            </w:pPr>
            <w:r w:rsidRPr="00A76D60">
              <w:rPr>
                <w:rFonts w:cs="Arial"/>
                <w:b/>
                <w:color w:val="000000"/>
                <w:sz w:val="18"/>
                <w:szCs w:val="18"/>
                <w:lang w:eastAsia="cs-CZ"/>
              </w:rPr>
              <w:t>Existence administrativní kapacity pro provádění a uplatňování právních předpisů a politiky Unie v oblasti boje pro</w:t>
            </w:r>
            <w:r w:rsidRPr="00A76D60">
              <w:rPr>
                <w:rFonts w:cs="Arial"/>
                <w:b/>
                <w:color w:val="000000"/>
                <w:sz w:val="18"/>
                <w:szCs w:val="18"/>
                <w:lang w:val="cs-CZ" w:eastAsia="cs-CZ"/>
              </w:rPr>
              <w:t>ti</w:t>
            </w:r>
            <w:r w:rsidRPr="00A76D60">
              <w:rPr>
                <w:rFonts w:cs="Arial"/>
                <w:b/>
                <w:color w:val="000000"/>
                <w:sz w:val="18"/>
                <w:szCs w:val="18"/>
                <w:lang w:eastAsia="cs-CZ"/>
              </w:rPr>
              <w:t xml:space="preserve"> diskriminaci v případě fondů ESI</w:t>
            </w:r>
          </w:p>
        </w:tc>
        <w:tc>
          <w:tcPr>
            <w:tcW w:w="1134" w:type="dxa"/>
            <w:vMerge w:val="restart"/>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Uplatnitelnost bude dokladována v relevantních programech</w:t>
            </w:r>
          </w:p>
        </w:tc>
        <w:tc>
          <w:tcPr>
            <w:tcW w:w="1134" w:type="dxa"/>
            <w:vMerge w:val="restart"/>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 xml:space="preserve">Ano. </w:t>
            </w:r>
          </w:p>
          <w:p w:rsidR="0083711E" w:rsidRPr="00A76D60" w:rsidRDefault="0083711E" w:rsidP="00C36EE6">
            <w:pPr>
              <w:pStyle w:val="DAVA"/>
              <w:spacing w:before="80" w:after="80"/>
              <w:rPr>
                <w:rFonts w:cs="Arial"/>
                <w:sz w:val="18"/>
                <w:szCs w:val="18"/>
                <w:lang w:val="cs-CZ" w:eastAsia="cs-CZ"/>
              </w:rPr>
            </w:pPr>
          </w:p>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(plnění probíhá průběžně a bude probíhat po celé programové období 2014-2020)</w:t>
            </w:r>
          </w:p>
        </w:tc>
        <w:tc>
          <w:tcPr>
            <w:tcW w:w="1985" w:type="dxa"/>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eastAsia="cs-CZ"/>
              </w:rPr>
              <w:t>Ustanovení v souladu s institucionálním a právním rámcem členských h států za účelem zapojení subjektů odpovědných za prosazování rovného zacházení se všemi osobami v rámci přípravy a provádění programů, včetně poskytování poradenství v otázkách rovnosti v rámci činností týkajících se fondů ESI;</w:t>
            </w:r>
          </w:p>
        </w:tc>
        <w:tc>
          <w:tcPr>
            <w:tcW w:w="850" w:type="dxa"/>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ano</w:t>
            </w:r>
          </w:p>
        </w:tc>
        <w:tc>
          <w:tcPr>
            <w:tcW w:w="1701" w:type="dxa"/>
            <w:shd w:val="clear" w:color="auto" w:fill="FFFFFF"/>
            <w:tcMar>
              <w:top w:w="0" w:type="dxa"/>
              <w:left w:w="28" w:type="dxa"/>
              <w:bottom w:w="0" w:type="dxa"/>
              <w:right w:w="28" w:type="dxa"/>
            </w:tcMar>
          </w:tcPr>
          <w:p w:rsidR="0083711E" w:rsidRPr="00A76D60" w:rsidRDefault="00400236" w:rsidP="00C36EE6">
            <w:pPr>
              <w:pStyle w:val="DAVA"/>
              <w:spacing w:before="80" w:after="80"/>
              <w:rPr>
                <w:rFonts w:cs="Arial"/>
                <w:sz w:val="18"/>
                <w:szCs w:val="18"/>
                <w:lang w:val="cs-CZ" w:eastAsia="cs-CZ"/>
              </w:rPr>
            </w:pPr>
            <w:hyperlink r:id="rId67" w:history="1">
              <w:r w:rsidR="0083711E" w:rsidRPr="00A76D60">
                <w:rPr>
                  <w:rStyle w:val="Hypertextovodkaz"/>
                  <w:rFonts w:cs="Arial"/>
                  <w:sz w:val="18"/>
                  <w:szCs w:val="18"/>
                  <w:lang w:val="cs-CZ" w:eastAsia="cs-CZ"/>
                </w:rPr>
                <w:t>http://www.ochrance.cz/en/discrimination/</w:t>
              </w:r>
            </w:hyperlink>
          </w:p>
          <w:p w:rsidR="0083711E" w:rsidRPr="00A76D60" w:rsidRDefault="0083711E" w:rsidP="00C36EE6">
            <w:pPr>
              <w:pStyle w:val="DAVA"/>
              <w:spacing w:before="80" w:after="80"/>
              <w:rPr>
                <w:rFonts w:cs="Arial"/>
                <w:sz w:val="18"/>
                <w:szCs w:val="18"/>
                <w:lang w:val="cs-CZ" w:eastAsia="cs-CZ"/>
              </w:rPr>
            </w:pPr>
          </w:p>
          <w:p w:rsidR="0083711E" w:rsidRPr="00A76D60" w:rsidRDefault="00400236" w:rsidP="00C36EE6">
            <w:pPr>
              <w:pStyle w:val="DAVA"/>
              <w:spacing w:before="80" w:after="80"/>
              <w:rPr>
                <w:rFonts w:cs="Arial"/>
                <w:sz w:val="18"/>
                <w:szCs w:val="18"/>
                <w:lang w:val="cs-CZ" w:eastAsia="cs-CZ"/>
              </w:rPr>
            </w:pPr>
            <w:hyperlink r:id="rId68" w:history="1">
              <w:r w:rsidR="0083711E" w:rsidRPr="00A76D60">
                <w:rPr>
                  <w:rStyle w:val="Hypertextovodkaz"/>
                  <w:rFonts w:cs="Arial"/>
                  <w:sz w:val="18"/>
                  <w:szCs w:val="18"/>
                </w:rPr>
                <w:t>http://www.vlada.cz/cz/ppov/zmocnenec-vlady-pro-lidska-prava/organizace-sekce-lp/organizace-sekce-lidskych-prav-107606/</w:t>
              </w:r>
            </w:hyperlink>
          </w:p>
        </w:tc>
        <w:tc>
          <w:tcPr>
            <w:tcW w:w="7230" w:type="dxa"/>
            <w:shd w:val="clear" w:color="auto" w:fill="FFFFFF"/>
            <w:tcMar>
              <w:top w:w="0" w:type="dxa"/>
              <w:left w:w="28" w:type="dxa"/>
              <w:bottom w:w="0" w:type="dxa"/>
              <w:right w:w="28" w:type="dxa"/>
            </w:tcMar>
          </w:tcPr>
          <w:p w:rsidR="0083711E" w:rsidRPr="00A76D60" w:rsidRDefault="0083711E" w:rsidP="00C36EE6">
            <w:pPr>
              <w:spacing w:before="80" w:after="80"/>
              <w:rPr>
                <w:rFonts w:ascii="Arial" w:hAnsi="Arial" w:cs="Arial"/>
                <w:sz w:val="18"/>
                <w:szCs w:val="18"/>
              </w:rPr>
            </w:pPr>
            <w:r w:rsidRPr="00A76D60">
              <w:rPr>
                <w:rFonts w:ascii="Arial" w:hAnsi="Arial" w:cs="Arial"/>
                <w:sz w:val="18"/>
                <w:szCs w:val="18"/>
              </w:rPr>
              <w:t>Veřejný ochránce práv byl na základě antidiskriminačního zákona pověřen rolí národního tělesa pro rovné zacházení a ochrany před diskriminací v souladu s unijním právem. Ochránce přispívá k prosazování práva na rovné zacházení se všemi osobami bez ohledu na jejich rasu nebo etnický původ, národnost, pohlaví, sexuální orientaci, věk, zdravotní postižení, náboženské vyznání, víru nebo světový názor a za tím účelem poskytuje metodickou pomoc obětem diskriminace při podávání návrhů na zahájení řízení z důvodů diskriminace, provádí výzkum, zveřejňuje zprávy a vydává doporučení k otázkám souvisejícím s diskriminací, zajišťuje výměnu dostupných informací s příslušnými evropskými subjekty.</w:t>
            </w:r>
          </w:p>
          <w:p w:rsidR="0083711E" w:rsidRPr="00A76D60" w:rsidRDefault="0083711E" w:rsidP="00C36EE6">
            <w:pPr>
              <w:spacing w:before="80" w:after="80"/>
              <w:rPr>
                <w:rFonts w:ascii="Arial" w:hAnsi="Arial" w:cs="Arial"/>
                <w:sz w:val="18"/>
                <w:szCs w:val="18"/>
              </w:rPr>
            </w:pPr>
            <w:r w:rsidRPr="00A76D60">
              <w:rPr>
                <w:rFonts w:ascii="Arial" w:hAnsi="Arial" w:cs="Arial"/>
                <w:sz w:val="18"/>
                <w:szCs w:val="18"/>
              </w:rPr>
              <w:t xml:space="preserve">Platné a účinné právní předpisy však ochránci neukládají povinnost plnit roli konzultačního či vzdělávacího orgánu pro řídící orgány státní správy v oblasti nediskriminace. Ochránce je na moci výkonné zcela nezávislý a z výkonu své funkce odpovědný pouze Poslanecké sněmovně Parlamentu ČR. </w:t>
            </w:r>
          </w:p>
          <w:p w:rsidR="0083711E" w:rsidRPr="00A76D60" w:rsidRDefault="0083711E" w:rsidP="00C36EE6">
            <w:pPr>
              <w:spacing w:before="80" w:after="80"/>
              <w:rPr>
                <w:rFonts w:ascii="Arial" w:hAnsi="Arial" w:cs="Arial"/>
                <w:sz w:val="18"/>
                <w:szCs w:val="18"/>
              </w:rPr>
            </w:pPr>
            <w:r w:rsidRPr="00A76D60">
              <w:rPr>
                <w:rFonts w:ascii="Arial" w:hAnsi="Arial" w:cs="Arial"/>
                <w:sz w:val="18"/>
                <w:szCs w:val="18"/>
              </w:rPr>
              <w:t>S ohledem na tuto skutečnost převážnou část úkolů vztahujících se k použitelné předběžné podmínce „Existence administrativní kapacity pro implementaci a aplikaci evropského antidiskriminačního práva a politiky v oblasti ESI fondů zajišťuje Úřad vlády – Sekce pro lidská práva, podřízená ministrovi pro lidská práva, rovné příležitosti a legislativu a to též v součinnosti s y ŘO jednotlivých programů..</w:t>
            </w:r>
          </w:p>
          <w:p w:rsidR="0083711E" w:rsidRPr="00A76D60" w:rsidRDefault="0083711E" w:rsidP="00C36EE6">
            <w:pPr>
              <w:spacing w:before="80" w:after="80"/>
              <w:rPr>
                <w:rFonts w:ascii="Arial" w:hAnsi="Arial" w:cs="Arial"/>
                <w:sz w:val="18"/>
                <w:szCs w:val="18"/>
              </w:rPr>
            </w:pPr>
            <w:r w:rsidRPr="00A76D60">
              <w:rPr>
                <w:rFonts w:ascii="Arial" w:hAnsi="Arial" w:cs="Arial"/>
                <w:sz w:val="18"/>
                <w:szCs w:val="18"/>
              </w:rPr>
              <w:t>Veřejný ochránce práv s Úřadem vlády úzce spolupracuje na výměně potřebných informací a dostupných poznatků při posuzování aktivit vztahujících se k ESI fondům nejen za účelem předcházení diskriminaci, ale i podpory rovného zacházení s dotčenými subjekty a vyrovnání šancí znevýhodněných skupin. Je zároveň připraven spolupracovat i s relevantními zástupci veřejné správy, odborníky z akademické obce, advokacie a občanské společnosti.</w:t>
            </w:r>
          </w:p>
          <w:p w:rsidR="0083711E" w:rsidRPr="00A76D60" w:rsidRDefault="0083711E" w:rsidP="00C36EE6">
            <w:pPr>
              <w:spacing w:before="80" w:after="80"/>
              <w:rPr>
                <w:rFonts w:ascii="Arial" w:hAnsi="Arial" w:cs="Arial"/>
                <w:sz w:val="18"/>
                <w:szCs w:val="18"/>
              </w:rPr>
            </w:pPr>
            <w:r w:rsidRPr="00A76D60">
              <w:rPr>
                <w:rFonts w:ascii="Arial" w:hAnsi="Arial" w:cs="Arial"/>
                <w:sz w:val="18"/>
                <w:szCs w:val="18"/>
              </w:rPr>
              <w:t>Pro systematické zajištění a posílení administrativní kapacity pro efektivní aplikaci a implementaci antidiskriminačního práva a politiky v oblasti ESI fondů je každý ŘO povinen určit konkrétní kontaktní osobu</w:t>
            </w:r>
            <w:r w:rsidRPr="00A76D60">
              <w:rPr>
                <w:rFonts w:ascii="Arial" w:hAnsi="Arial" w:cs="Arial"/>
                <w:b/>
                <w:sz w:val="18"/>
                <w:szCs w:val="18"/>
              </w:rPr>
              <w:t>,</w:t>
            </w:r>
            <w:r w:rsidRPr="00A76D60">
              <w:rPr>
                <w:rFonts w:ascii="Arial" w:hAnsi="Arial" w:cs="Arial"/>
                <w:sz w:val="18"/>
                <w:szCs w:val="18"/>
              </w:rPr>
              <w:t xml:space="preserve"> která se systematicky zabývá implementací a aplikací antidiskriminačního práva a problematiky rovnosti žen a mužů a zdravotně postižených, je </w:t>
            </w:r>
            <w:r w:rsidRPr="00A76D60">
              <w:rPr>
                <w:rFonts w:ascii="Arial" w:hAnsi="Arial" w:cs="Arial"/>
                <w:sz w:val="18"/>
                <w:szCs w:val="18"/>
              </w:rPr>
              <w:lastRenderedPageBreak/>
              <w:t>odpovědná za koordinaci aktivit v této oblasti v rámci jednotlivých programů a úzce spolupracuje s Úřadem vlády – Sekcí pro lidská práva a MPSV , kterým v případě nutnosti poskytuje konzultační a metodickou činnost na dožádání VOP.</w:t>
            </w:r>
          </w:p>
          <w:p w:rsidR="0083711E" w:rsidRPr="00A76D60" w:rsidRDefault="0083711E" w:rsidP="00C36EE6">
            <w:pPr>
              <w:spacing w:before="80" w:after="80"/>
              <w:rPr>
                <w:rFonts w:ascii="Arial" w:hAnsi="Arial" w:cs="Arial"/>
                <w:sz w:val="18"/>
                <w:szCs w:val="18"/>
              </w:rPr>
            </w:pPr>
            <w:r w:rsidRPr="00A76D60">
              <w:rPr>
                <w:rFonts w:ascii="Arial" w:hAnsi="Arial" w:cs="Arial"/>
                <w:sz w:val="18"/>
                <w:szCs w:val="18"/>
              </w:rPr>
              <w:t>Zástupce ÚV – Sekce pro lidská práva je zván na platformy programů a následně po schválení programů bude rovněž zván na Monitorovací výbory jednotlivých programů. Zároveň je ministr pro lidská práva, rovné příležitosti a legislativu členem Rady pro ESI fondy. Zástupce Úřadu vlády - Sekce pro lidská práva je rovněž zván na jednání Pracovní skupiny pro přípravu Dohody o partnerství. Zároveň se bude zástupce VOP účastnit monitorovacích výborů k jednotlivým programům a je rovněž stálým hostem Rady pro fondy.“</w:t>
            </w:r>
          </w:p>
          <w:p w:rsidR="0083711E" w:rsidRPr="00ED17BC" w:rsidRDefault="00ED17BC" w:rsidP="00C36EE6">
            <w:pPr>
              <w:pStyle w:val="DAVA"/>
              <w:spacing w:before="80" w:after="80"/>
              <w:rPr>
                <w:rFonts w:cs="Arial"/>
                <w:sz w:val="18"/>
                <w:szCs w:val="18"/>
                <w:lang w:val="cs-CZ" w:eastAsia="cs-CZ"/>
              </w:rPr>
            </w:pPr>
            <w:r w:rsidRPr="00ED17BC">
              <w:rPr>
                <w:rFonts w:cs="Arial"/>
                <w:sz w:val="18"/>
                <w:szCs w:val="18"/>
                <w:lang w:val="cs-CZ" w:eastAsia="cs-CZ"/>
              </w:rPr>
              <w:t xml:space="preserve">ŘO OP PIK: </w:t>
            </w:r>
          </w:p>
          <w:p w:rsidR="00ED17BC" w:rsidRPr="00ED17BC" w:rsidRDefault="00ED17BC" w:rsidP="00ED17BC">
            <w:pPr>
              <w:pStyle w:val="Tabulka"/>
              <w:rPr>
                <w:rFonts w:ascii="Arial" w:hAnsi="Arial" w:cs="Arial"/>
                <w:b w:val="0"/>
                <w:color w:val="auto"/>
              </w:rPr>
            </w:pPr>
            <w:r w:rsidRPr="00ED17BC">
              <w:rPr>
                <w:rFonts w:ascii="Arial" w:hAnsi="Arial" w:cs="Arial"/>
                <w:b w:val="0"/>
                <w:color w:val="auto"/>
              </w:rPr>
              <w:t xml:space="preserve">V rámci agendy nediskriminace je kontaktní osobou, zabývající se implementací a aplikací antidiskriminačního práva, která je zároveň odpovědná za koordinací aktivit a spolupráci s Úřadem vlády a MPSV, komunikační úředník OP PIK. Ve fázi implementace operačního programu bude také zajištěna účast zástupce gestora (ÚV ČR – Sekce pro lidská práva) v Monitorovacím výboru OP PIK. </w:t>
            </w:r>
          </w:p>
          <w:p w:rsidR="00ED17BC" w:rsidRPr="00ED17BC" w:rsidRDefault="00ED17BC" w:rsidP="00ED17BC">
            <w:pPr>
              <w:rPr>
                <w:rFonts w:ascii="Arial" w:hAnsi="Arial" w:cs="Arial"/>
                <w:sz w:val="22"/>
                <w:szCs w:val="22"/>
              </w:rPr>
            </w:pPr>
          </w:p>
          <w:p w:rsidR="00ED17BC" w:rsidRPr="00A76D60" w:rsidRDefault="00ED17BC" w:rsidP="00C36EE6">
            <w:pPr>
              <w:pStyle w:val="DAVA"/>
              <w:spacing w:before="80" w:after="80"/>
              <w:rPr>
                <w:rFonts w:cs="Arial"/>
                <w:b/>
                <w:sz w:val="18"/>
                <w:szCs w:val="18"/>
                <w:lang w:val="cs-CZ" w:eastAsia="cs-CZ"/>
              </w:rPr>
            </w:pPr>
          </w:p>
        </w:tc>
      </w:tr>
      <w:tr w:rsidR="0083711E" w:rsidRPr="00A76D60" w:rsidTr="00C36EE6">
        <w:trPr>
          <w:trHeight w:val="397"/>
        </w:trPr>
        <w:tc>
          <w:tcPr>
            <w:tcW w:w="1134" w:type="dxa"/>
            <w:vMerge/>
            <w:tcBorders>
              <w:bottom w:val="single" w:sz="8"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bottom w:val="single" w:sz="8" w:space="0" w:color="auto"/>
            </w:tcBorders>
            <w:shd w:val="clear" w:color="auto" w:fill="FFFFFF"/>
          </w:tcPr>
          <w:p w:rsidR="0083711E" w:rsidRPr="00A76D60" w:rsidRDefault="0083711E" w:rsidP="00C36EE6">
            <w:pPr>
              <w:spacing w:before="80" w:after="80"/>
              <w:rPr>
                <w:rFonts w:ascii="Arial" w:hAnsi="Arial" w:cs="Arial"/>
                <w:sz w:val="18"/>
                <w:szCs w:val="18"/>
              </w:rPr>
            </w:pPr>
          </w:p>
        </w:tc>
        <w:tc>
          <w:tcPr>
            <w:tcW w:w="1134" w:type="dxa"/>
            <w:vMerge/>
            <w:tcBorders>
              <w:bottom w:val="single" w:sz="8" w:space="0" w:color="auto"/>
            </w:tcBorders>
            <w:shd w:val="clear" w:color="auto" w:fill="FFFFFF"/>
          </w:tcPr>
          <w:p w:rsidR="0083711E" w:rsidRPr="00A76D60" w:rsidRDefault="0083711E" w:rsidP="00C36EE6">
            <w:pPr>
              <w:spacing w:before="80" w:after="80"/>
              <w:rPr>
                <w:rFonts w:ascii="Arial" w:hAnsi="Arial" w:cs="Arial"/>
                <w:sz w:val="18"/>
                <w:szCs w:val="18"/>
              </w:rPr>
            </w:pPr>
          </w:p>
        </w:tc>
        <w:tc>
          <w:tcPr>
            <w:tcW w:w="1985" w:type="dxa"/>
            <w:tcBorders>
              <w:bottom w:val="single" w:sz="8"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eastAsia="cs-CZ"/>
              </w:rPr>
              <w:t>Opatření za účelem vzdělávání zaměstnanců orgánů zapojených do řízení a kontroly fondů ESI v oblasti právních předpisů a politiky Unie proti diskriminaci</w:t>
            </w:r>
            <w:r w:rsidRPr="00A76D60">
              <w:rPr>
                <w:rFonts w:cs="Arial"/>
                <w:color w:val="000000"/>
                <w:sz w:val="18"/>
                <w:szCs w:val="18"/>
                <w:lang w:val="cs-CZ" w:eastAsia="cs-CZ"/>
              </w:rPr>
              <w:t>.</w:t>
            </w:r>
          </w:p>
        </w:tc>
        <w:tc>
          <w:tcPr>
            <w:tcW w:w="850" w:type="dxa"/>
            <w:tcBorders>
              <w:bottom w:val="single" w:sz="8"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ano</w:t>
            </w:r>
          </w:p>
        </w:tc>
        <w:tc>
          <w:tcPr>
            <w:tcW w:w="1701" w:type="dxa"/>
            <w:tcBorders>
              <w:bottom w:val="single" w:sz="8" w:space="0" w:color="auto"/>
            </w:tcBorders>
            <w:shd w:val="clear" w:color="auto" w:fill="FFFFFF"/>
            <w:tcMar>
              <w:top w:w="0" w:type="dxa"/>
              <w:left w:w="28" w:type="dxa"/>
              <w:bottom w:w="0" w:type="dxa"/>
              <w:right w:w="28" w:type="dxa"/>
            </w:tcMar>
          </w:tcPr>
          <w:p w:rsidR="0083711E" w:rsidRPr="00A76D60" w:rsidRDefault="00400236" w:rsidP="00C36EE6">
            <w:pPr>
              <w:rPr>
                <w:rFonts w:ascii="Arial" w:hAnsi="Arial" w:cs="Arial"/>
                <w:sz w:val="18"/>
                <w:szCs w:val="18"/>
              </w:rPr>
            </w:pPr>
            <w:hyperlink r:id="rId69" w:history="1">
              <w:r w:rsidR="0083711E" w:rsidRPr="00A76D60">
                <w:rPr>
                  <w:rStyle w:val="Hypertextovodkaz"/>
                  <w:rFonts w:ascii="Arial" w:hAnsi="Arial" w:cs="Arial"/>
                  <w:sz w:val="18"/>
                  <w:szCs w:val="18"/>
                </w:rPr>
                <w:t>http://www.strukturalni-fondy.cz/cs/Fondy-EU/2014-2020/Metodicke-pokyny/Metodika-rozvoje-lidskych-zdroju</w:t>
              </w:r>
            </w:hyperlink>
          </w:p>
          <w:p w:rsidR="0083711E" w:rsidRPr="00A76D60" w:rsidRDefault="0083711E" w:rsidP="00C36EE6">
            <w:pPr>
              <w:pStyle w:val="DAVA"/>
              <w:spacing w:before="80" w:after="80"/>
              <w:rPr>
                <w:rFonts w:cs="Arial"/>
                <w:b/>
                <w:sz w:val="18"/>
                <w:szCs w:val="18"/>
                <w:lang w:val="cs-CZ" w:eastAsia="cs-CZ"/>
              </w:rPr>
            </w:pPr>
          </w:p>
        </w:tc>
        <w:tc>
          <w:tcPr>
            <w:tcW w:w="7230" w:type="dxa"/>
            <w:tcBorders>
              <w:bottom w:val="single" w:sz="8"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Ve spolupráci Úřadu vlády – Sekce pro lidská práva a veřejného ochránce práv byly připraveny programy školení všech relevantních zaměstnanců k tématu rovného zacházení a zákazu diskriminace. Plnění tohoto kritéria již probíhá a bude probíhat průběžně po celou dobu programového období.  Na počátku programového období probíhají školení intenzivně a pak průběžně podle potřeby v souvislosti s příchodem nových zaměstnanců a realizací programů. Školitelé jsou odborníci se zkušenostmi s tématem rovného zacházení a boje proti diskriminaci. V rámci náplně školení je věnována zvláštní pozornost romské menšině. Určení kontaktní pracovníci ŘO jsou povinni spolupracovat s veřejným ochráncem práv a Úřadem vlády – Sekcí pro lidská práva při určení vhodného rozsahu a obsahu školení.</w:t>
            </w:r>
          </w:p>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val="cs-CZ" w:eastAsia="cs-CZ"/>
              </w:rPr>
              <w:t>MMR-NOK zajišťuje na horizontální úrovni proškolení zaměstnanců implementujících fondy EU v rámci Systému vzdělávání, Sekce pro lidská práva ÚV zajišťuje obsahovou náplň vzdělávání a lektorské zajištění.</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Oblast vzdělávání je součástí Metodického pokynu k rozvoji lidských zdrojů v </w:t>
            </w:r>
            <w:r w:rsidRPr="00A76D60">
              <w:rPr>
                <w:rFonts w:ascii="Arial" w:hAnsi="Arial" w:cs="Arial"/>
                <w:sz w:val="18"/>
                <w:szCs w:val="18"/>
                <w:lang w:val="cs-CZ" w:eastAsia="cs-CZ"/>
              </w:rPr>
              <w:lastRenderedPageBreak/>
              <w:t xml:space="preserve">programovém období 2014-2020 a v programovém období 2007-2013 (Usnesení vlády  ČR ze dne 16. června 2014 č. 444).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Obecným cílem Metodického pokynu je nastavení jednotných požadavků na zajištění kvalitní administrativní kapacity podílející se na realizaci cílů Dohody o partnerství a jednotlivých činností při implementaci programů a jedním ze specifických cílů Metodického pokynu je vytvoření systému vzdělávání zaměstnanců, kteří se podílejí na implementaci fondů EU tak, aby odpovídal jejich potřebám na pracovních pozicích, popsaných v řídicích dokumentech programů, řízení a koordinace </w:t>
            </w:r>
            <w:proofErr w:type="spellStart"/>
            <w:r w:rsidRPr="00A76D60">
              <w:rPr>
                <w:rFonts w:ascii="Arial" w:hAnsi="Arial" w:cs="Arial"/>
                <w:sz w:val="18"/>
                <w:szCs w:val="18"/>
                <w:lang w:val="cs-CZ" w:eastAsia="cs-CZ"/>
              </w:rPr>
              <w:t>DoP</w:t>
            </w:r>
            <w:proofErr w:type="spellEnd"/>
            <w:r w:rsidRPr="00A76D60">
              <w:rPr>
                <w:rFonts w:ascii="Arial" w:hAnsi="Arial" w:cs="Arial"/>
                <w:sz w:val="18"/>
                <w:szCs w:val="18"/>
                <w:lang w:val="cs-CZ" w:eastAsia="cs-CZ"/>
              </w:rPr>
              <w:t>, a zajistil podmínky pro prosazování principu transparentnosti a protikorupčního jednání.</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Vzdělávání zajišťuje podmínky pro stabilizaci a motivaci zaměstnanců implementační struktury v návaznosti na potřeby jejich odborného růstu a zvyšování znalostí a dovedností.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Nabídka vzdělávacích aktivit se odvíjí od cílů jednotlivých programů a individuálních vzdělávacích plánů vytvářených při hodnocení zaměstnanců.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Termíny vzdělávacích akcí jsou zveřejněny na webových stránkách Systému vzdělávání.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Vzdělávací akce jsou průběžně vyhodnocovány na základě zpětné vazby účastníků získávané prostřednictvím hodnotících dotazníků (s cílem optimalizovat efektivitu). Prezentace ze vzdělávacích akcí jsou účastníkům dále k dispozici v e-knihovně na webových stránkách Systému vzdělávání.</w:t>
            </w:r>
          </w:p>
          <w:p w:rsidR="0083711E" w:rsidRDefault="0083711E" w:rsidP="00C36EE6">
            <w:pPr>
              <w:pStyle w:val="DAVA"/>
              <w:spacing w:before="80" w:after="80"/>
              <w:rPr>
                <w:rFonts w:cs="Arial"/>
                <w:sz w:val="18"/>
                <w:szCs w:val="18"/>
                <w:lang w:val="cs-CZ" w:eastAsia="cs-CZ"/>
              </w:rPr>
            </w:pPr>
            <w:r w:rsidRPr="00A76D60">
              <w:rPr>
                <w:rFonts w:cs="Arial"/>
                <w:sz w:val="18"/>
                <w:szCs w:val="18"/>
                <w:lang w:val="cs-CZ" w:eastAsia="cs-CZ"/>
              </w:rPr>
              <w:t>Realizace Systému vzdělávání probíhá na základě spolupráce MMR-NOK se zástupci (koordinátory vzdělávání) jednotlivých subjektů implementace, kteří 2x ročně zasílají MMR-NOK své požadavky na zajištění vzdělávacích akcí v rámci Systému vzdělávání a veškeré záležitosti Systému vzdělávání pro programové období 2014-2020 budou projednávány na Pracovní skupině Administrativní kapacita (pro programové období 2007-2013 to byla PS Vzdělávání pro NSRR).</w:t>
            </w:r>
          </w:p>
          <w:p w:rsidR="00ED17BC" w:rsidRDefault="00ED17BC" w:rsidP="00C36EE6">
            <w:pPr>
              <w:pStyle w:val="DAVA"/>
              <w:spacing w:before="80" w:after="80"/>
              <w:rPr>
                <w:rFonts w:cs="Arial"/>
                <w:sz w:val="18"/>
                <w:szCs w:val="18"/>
                <w:lang w:val="cs-CZ" w:eastAsia="cs-CZ"/>
              </w:rPr>
            </w:pPr>
            <w:r>
              <w:rPr>
                <w:rFonts w:cs="Arial"/>
                <w:sz w:val="18"/>
                <w:szCs w:val="18"/>
                <w:lang w:val="cs-CZ" w:eastAsia="cs-CZ"/>
              </w:rPr>
              <w:t xml:space="preserve">ŘO OP PIK: </w:t>
            </w:r>
          </w:p>
          <w:p w:rsidR="00ED17BC" w:rsidRPr="00ED17BC" w:rsidRDefault="00ED17BC" w:rsidP="00ED17BC">
            <w:pPr>
              <w:pStyle w:val="Tabulka"/>
              <w:rPr>
                <w:rFonts w:ascii="Arial" w:hAnsi="Arial" w:cs="Arial"/>
                <w:b w:val="0"/>
                <w:color w:val="auto"/>
              </w:rPr>
            </w:pPr>
            <w:r w:rsidRPr="00ED17BC">
              <w:rPr>
                <w:rFonts w:ascii="Arial" w:hAnsi="Arial" w:cs="Arial"/>
                <w:b w:val="0"/>
                <w:color w:val="auto"/>
              </w:rPr>
              <w:t>Zaměstnanci ŘO OP PIK jsou zapojeni do Systému vzdělávání a účastní se průběžně a dle potřeby příslušných školení s problematikou nediskriminace a rovného zacházení.</w:t>
            </w:r>
          </w:p>
          <w:p w:rsidR="00ED17BC" w:rsidRPr="00A76D60" w:rsidRDefault="00ED17BC" w:rsidP="00C36EE6">
            <w:pPr>
              <w:pStyle w:val="DAVA"/>
              <w:spacing w:before="80" w:after="80"/>
              <w:rPr>
                <w:rFonts w:cs="Arial"/>
                <w:sz w:val="18"/>
                <w:szCs w:val="18"/>
                <w:lang w:val="cs-CZ" w:eastAsia="cs-CZ"/>
              </w:rPr>
            </w:pP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top w:val="single" w:sz="8" w:space="0" w:color="auto"/>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b/>
                <w:sz w:val="18"/>
                <w:szCs w:val="18"/>
                <w:lang w:val="cs-CZ" w:eastAsia="cs-CZ"/>
              </w:rPr>
            </w:pPr>
            <w:r w:rsidRPr="00A76D60">
              <w:rPr>
                <w:rFonts w:cs="Arial"/>
                <w:b/>
                <w:color w:val="000000"/>
                <w:sz w:val="18"/>
                <w:szCs w:val="18"/>
                <w:lang w:val="cs-CZ" w:eastAsia="cs-CZ"/>
              </w:rPr>
              <w:lastRenderedPageBreak/>
              <w:t xml:space="preserve">2. </w:t>
            </w:r>
            <w:r w:rsidRPr="00A76D60">
              <w:rPr>
                <w:rFonts w:cs="Arial"/>
                <w:b/>
                <w:color w:val="000000"/>
                <w:sz w:val="18"/>
                <w:szCs w:val="18"/>
                <w:lang w:eastAsia="cs-CZ"/>
              </w:rPr>
              <w:t xml:space="preserve">Existence </w:t>
            </w:r>
            <w:r w:rsidRPr="00A76D60">
              <w:rPr>
                <w:rFonts w:cs="Arial"/>
                <w:b/>
                <w:color w:val="000000"/>
                <w:sz w:val="18"/>
                <w:szCs w:val="18"/>
                <w:lang w:eastAsia="cs-CZ"/>
              </w:rPr>
              <w:lastRenderedPageBreak/>
              <w:t>administrativní kapacity pro provádění a uplatňování právních předpisů a politiky Unie v oblasti rovnosti mezi ženami a muži v případě fondů ESI</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lastRenderedPageBreak/>
              <w:t xml:space="preserve">Uplatnitelnost bude </w:t>
            </w:r>
            <w:r w:rsidRPr="00A76D60">
              <w:rPr>
                <w:rFonts w:cs="Arial"/>
                <w:sz w:val="18"/>
                <w:szCs w:val="18"/>
                <w:lang w:val="cs-CZ" w:eastAsia="cs-CZ"/>
              </w:rPr>
              <w:lastRenderedPageBreak/>
              <w:t>dokladována v relevantních programech</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lastRenderedPageBreak/>
              <w:t xml:space="preserve">Ano (plnění </w:t>
            </w:r>
            <w:r w:rsidRPr="00A76D60">
              <w:rPr>
                <w:rFonts w:cs="Arial"/>
                <w:sz w:val="18"/>
                <w:szCs w:val="18"/>
                <w:lang w:val="cs-CZ" w:eastAsia="cs-CZ"/>
              </w:rPr>
              <w:lastRenderedPageBreak/>
              <w:t>probíhá průběžně a bude probíhat po celé programové období 2014-2020)</w:t>
            </w:r>
          </w:p>
        </w:tc>
        <w:tc>
          <w:tcPr>
            <w:tcW w:w="1985" w:type="dxa"/>
            <w:tcBorders>
              <w:top w:val="single" w:sz="8"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eastAsia="cs-CZ"/>
              </w:rPr>
              <w:lastRenderedPageBreak/>
              <w:t xml:space="preserve">Ustanovení v souladu s institucionálním a </w:t>
            </w:r>
            <w:r w:rsidRPr="00A76D60">
              <w:rPr>
                <w:rFonts w:cs="Arial"/>
                <w:color w:val="000000"/>
                <w:sz w:val="18"/>
                <w:szCs w:val="18"/>
                <w:lang w:eastAsia="cs-CZ"/>
              </w:rPr>
              <w:lastRenderedPageBreak/>
              <w:t>právním rámcem členských států za účelem zapojení subjektů odpovědných za rovnost mezi ženami a muži v rámci přípravy a provádění programů, včetně poskytování poradenství v otázkách rovnosti mezi ženami a muži v rámci činností týkajících se fondů ESI;</w:t>
            </w:r>
          </w:p>
        </w:tc>
        <w:tc>
          <w:tcPr>
            <w:tcW w:w="850" w:type="dxa"/>
            <w:tcBorders>
              <w:top w:val="single" w:sz="8"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lastRenderedPageBreak/>
              <w:t>ano</w:t>
            </w:r>
          </w:p>
        </w:tc>
        <w:tc>
          <w:tcPr>
            <w:tcW w:w="1701" w:type="dxa"/>
            <w:tcBorders>
              <w:top w:val="single" w:sz="8"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400236" w:rsidP="00C36EE6">
            <w:pPr>
              <w:pStyle w:val="DAVA"/>
              <w:spacing w:before="80" w:after="80"/>
              <w:rPr>
                <w:rStyle w:val="Hypertextovodkaz"/>
                <w:rFonts w:cs="Arial"/>
                <w:sz w:val="18"/>
                <w:szCs w:val="18"/>
                <w:lang w:val="cs-CZ" w:eastAsia="cs-CZ"/>
              </w:rPr>
            </w:pPr>
            <w:hyperlink r:id="rId70" w:history="1">
              <w:r w:rsidR="0083711E" w:rsidRPr="00A76D60">
                <w:rPr>
                  <w:rStyle w:val="Hypertextovodkaz"/>
                  <w:rFonts w:cs="Arial"/>
                  <w:sz w:val="18"/>
                  <w:szCs w:val="18"/>
                  <w:lang w:val="cs-CZ" w:eastAsia="cs-CZ"/>
                </w:rPr>
                <w:t>http://www.ochrance.cz/en/discrimination</w:t>
              </w:r>
              <w:r w:rsidR="0083711E" w:rsidRPr="00A76D60">
                <w:rPr>
                  <w:rStyle w:val="Hypertextovodkaz"/>
                  <w:rFonts w:cs="Arial"/>
                  <w:sz w:val="18"/>
                  <w:szCs w:val="18"/>
                  <w:lang w:val="cs-CZ" w:eastAsia="cs-CZ"/>
                </w:rPr>
                <w:lastRenderedPageBreak/>
                <w:t>/</w:t>
              </w:r>
            </w:hyperlink>
          </w:p>
          <w:p w:rsidR="0083711E" w:rsidRPr="00A76D60" w:rsidRDefault="0083711E" w:rsidP="00C36EE6">
            <w:pPr>
              <w:pStyle w:val="DAVA"/>
              <w:spacing w:before="80" w:after="80"/>
              <w:rPr>
                <w:rStyle w:val="Hypertextovodkaz"/>
                <w:rFonts w:cs="Arial"/>
                <w:sz w:val="18"/>
                <w:szCs w:val="18"/>
                <w:lang w:val="cs-CZ" w:eastAsia="cs-CZ"/>
              </w:rPr>
            </w:pPr>
          </w:p>
          <w:p w:rsidR="0083711E" w:rsidRPr="00A76D60" w:rsidRDefault="00400236" w:rsidP="00C36EE6">
            <w:pPr>
              <w:pStyle w:val="DAVA"/>
              <w:spacing w:before="80" w:after="80"/>
              <w:rPr>
                <w:rFonts w:cs="Arial"/>
                <w:sz w:val="18"/>
                <w:szCs w:val="18"/>
                <w:lang w:val="cs-CZ" w:eastAsia="cs-CZ"/>
              </w:rPr>
            </w:pPr>
            <w:hyperlink r:id="rId71" w:history="1">
              <w:r w:rsidR="0083711E" w:rsidRPr="00A76D60">
                <w:rPr>
                  <w:rStyle w:val="Hypertextovodkaz"/>
                  <w:rFonts w:cs="Arial"/>
                  <w:sz w:val="18"/>
                  <w:szCs w:val="18"/>
                  <w:lang w:val="cs-CZ" w:eastAsia="cs-CZ"/>
                </w:rPr>
                <w:t>http://www.mpsv.cz/cs/12152</w:t>
              </w:r>
            </w:hyperlink>
          </w:p>
        </w:tc>
        <w:tc>
          <w:tcPr>
            <w:tcW w:w="7230" w:type="dxa"/>
            <w:tcBorders>
              <w:top w:val="single" w:sz="8"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lastRenderedPageBreak/>
              <w:t xml:space="preserve">Veřejný ochránce práv byl na základě antidiskriminačního zákona pověřen rolí národního tělesa pro rovné zacházení a ochrany před diskriminací v souladu s unijním právem. </w:t>
            </w:r>
            <w:r w:rsidRPr="00A76D60">
              <w:rPr>
                <w:rFonts w:cs="Arial"/>
                <w:color w:val="000000"/>
                <w:sz w:val="18"/>
                <w:szCs w:val="18"/>
                <w:lang w:val="cs-CZ" w:eastAsia="cs-CZ"/>
              </w:rPr>
              <w:lastRenderedPageBreak/>
              <w:t>Ochránce přispívá k prosazování práva na rovné zacházení se všemi osobami bez ohledu na jejich rasu nebo etnický původ, národnost, pohlaví, sexuální orientaci, věk, zdravotní postižení, náboženské vyznání, víru nebo světový názor a za tím účelem poskytuje metodickou pomoc obětem diskriminace při podávání návrhů na zahájení řízení z důvodů diskriminace, provádí výzkum, zveřejňuje zprávy a vydává doporučení k otázkám souvisejícím s diskriminací, zajišťuje výměnu dostupných informací s příslušnými evropskými subjekty.</w:t>
            </w:r>
          </w:p>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 xml:space="preserve">Platné a účinné právní předpisy však ochránci neukládají povinnost plnit roli konzultačního či vzdělávacího orgánu pro řídící orgány státní správy v oblasti nediskriminace. Ochránce je na moci výkonné zcela nezávislý a z výkonu své funkce odpovědný pouze Poslanecké sněmovně Parlamentu ČR. </w:t>
            </w:r>
          </w:p>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 xml:space="preserve">S ohledem na tuto skutečnost převážnou část úkolů vztahujících se k použitelné předběžné podmínce zajištuje </w:t>
            </w:r>
            <w:r>
              <w:t xml:space="preserve"> </w:t>
            </w:r>
            <w:r w:rsidRPr="00A01EBE">
              <w:rPr>
                <w:rFonts w:cs="Arial"/>
                <w:color w:val="000000"/>
                <w:sz w:val="18"/>
                <w:szCs w:val="18"/>
                <w:lang w:val="cs-CZ" w:eastAsia="cs-CZ"/>
              </w:rPr>
              <w:t>Úřad</w:t>
            </w:r>
            <w:r>
              <w:rPr>
                <w:rFonts w:cs="Arial"/>
                <w:color w:val="000000"/>
                <w:sz w:val="18"/>
                <w:szCs w:val="18"/>
                <w:lang w:val="cs-CZ" w:eastAsia="cs-CZ"/>
              </w:rPr>
              <w:t xml:space="preserve"> vlády – Sekce pro lidská práva</w:t>
            </w:r>
            <w:r w:rsidRPr="00A76D60">
              <w:rPr>
                <w:rFonts w:cs="Arial"/>
                <w:color w:val="000000"/>
                <w:sz w:val="18"/>
                <w:szCs w:val="18"/>
                <w:lang w:val="cs-CZ" w:eastAsia="cs-CZ"/>
              </w:rPr>
              <w:t xml:space="preserve"> jakožto vnitrostátní koordinátor agendy rovných příležitostí žen a mužů, spolu s určenými kontaktními pracovníky ŘO jednotlivých ESI fondů.</w:t>
            </w:r>
          </w:p>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Veřejný ochránce práv s</w:t>
            </w:r>
            <w:r>
              <w:rPr>
                <w:rFonts w:cs="Arial"/>
                <w:color w:val="000000"/>
                <w:sz w:val="18"/>
                <w:szCs w:val="18"/>
                <w:lang w:val="cs-CZ" w:eastAsia="cs-CZ"/>
              </w:rPr>
              <w:t xml:space="preserve">  </w:t>
            </w:r>
            <w:r w:rsidRPr="00A76D60">
              <w:rPr>
                <w:rFonts w:cs="Arial"/>
                <w:color w:val="000000"/>
                <w:sz w:val="18"/>
                <w:szCs w:val="18"/>
                <w:lang w:val="cs-CZ" w:eastAsia="cs-CZ"/>
              </w:rPr>
              <w:t xml:space="preserve"> </w:t>
            </w:r>
            <w:r w:rsidRPr="00A01EBE">
              <w:rPr>
                <w:rFonts w:cs="Arial"/>
                <w:color w:val="000000"/>
                <w:sz w:val="18"/>
                <w:szCs w:val="18"/>
                <w:lang w:val="cs-CZ" w:eastAsia="cs-CZ"/>
              </w:rPr>
              <w:t>Úřadem vlády – Sekcí pro lidská práva</w:t>
            </w:r>
            <w:r>
              <w:rPr>
                <w:rFonts w:cs="Arial"/>
                <w:color w:val="000000"/>
                <w:sz w:val="18"/>
                <w:szCs w:val="18"/>
                <w:lang w:val="cs-CZ" w:eastAsia="cs-CZ"/>
              </w:rPr>
              <w:t xml:space="preserve"> </w:t>
            </w:r>
            <w:r w:rsidRPr="00A76D60">
              <w:rPr>
                <w:rFonts w:cs="Arial"/>
                <w:color w:val="000000"/>
                <w:sz w:val="18"/>
                <w:szCs w:val="18"/>
                <w:lang w:val="cs-CZ" w:eastAsia="cs-CZ"/>
              </w:rPr>
              <w:t>úzce spolupracuje za účelem výměny potřebných informací a dostupných poznatků při posuzování aktivit vztahujících se k ESI fondům, nejen za účelem předcházení diskriminaci žen či mužů, ale i podpory rovného zacházení z hlediska pohlaví s dotčenými subjekty a vyrovnání šancí znevýhodněných skupin. Je zároveň připraven spolupracovat i s relevantními zástupci/zástupkyněmi veřejné správy, odborníky z akademické obce, advokacie a občanské společnosti.</w:t>
            </w:r>
          </w:p>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Pro systematické zajištění a posílení administrativní kapacity pro efektivní aplikaci a implementaci rovnosti žen a mužů a politiky v oblasti ESI fondů je ŘO povinen určit konkrétní kontaktní osobu v rámci jednotlivých ŘO, která má povinnost systematicky se zabývat implementací a aplikací práva rovnosti žen a mužů, a odpovědnost za koordinaci aktivit v této oblasti a úzce spolupracuje s </w:t>
            </w:r>
            <w:r>
              <w:t xml:space="preserve"> </w:t>
            </w:r>
            <w:r w:rsidRPr="00A01EBE">
              <w:rPr>
                <w:rFonts w:cs="Arial"/>
                <w:color w:val="000000"/>
                <w:sz w:val="18"/>
                <w:szCs w:val="18"/>
                <w:lang w:val="cs-CZ" w:eastAsia="cs-CZ"/>
              </w:rPr>
              <w:t>Úřadem vlády – Sekcí pro lidská práva.</w:t>
            </w:r>
            <w:r w:rsidRPr="00A76D60">
              <w:rPr>
                <w:rFonts w:cs="Arial"/>
                <w:color w:val="000000"/>
                <w:sz w:val="18"/>
                <w:szCs w:val="18"/>
                <w:lang w:val="cs-CZ" w:eastAsia="cs-CZ"/>
              </w:rPr>
              <w:t>.</w:t>
            </w:r>
          </w:p>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 xml:space="preserve">Zástupce/zástupkyně </w:t>
            </w:r>
            <w:r>
              <w:rPr>
                <w:rFonts w:cs="Arial"/>
                <w:color w:val="000000"/>
                <w:sz w:val="18"/>
                <w:szCs w:val="18"/>
                <w:lang w:val="cs-CZ" w:eastAsia="cs-CZ"/>
              </w:rPr>
              <w:t xml:space="preserve"> Úřadu vlády – Sekce pro lidská práva</w:t>
            </w:r>
            <w:r w:rsidRPr="00A76D60">
              <w:rPr>
                <w:rFonts w:cs="Arial"/>
                <w:color w:val="000000"/>
                <w:sz w:val="18"/>
                <w:szCs w:val="18"/>
                <w:lang w:val="cs-CZ" w:eastAsia="cs-CZ"/>
              </w:rPr>
              <w:t xml:space="preserve"> je zván na platformy programů, jakožto vnitrostátní koordinátor agendy rovných příležitostí žen a mužů, a následně po schválení programů bude rovněž zván na Monitorovací výbory jednotlivých programů. Zástupce/zástupkyně VOP se rovněž bude účastnit monitorovacích výborů a je stálým hostem Rady pro fondy.</w:t>
            </w:r>
          </w:p>
          <w:p w:rsidR="00825D2B" w:rsidRDefault="00ED17BC" w:rsidP="00825D2B">
            <w:pPr>
              <w:pStyle w:val="DAVA"/>
              <w:spacing w:before="80" w:after="80"/>
              <w:rPr>
                <w:rFonts w:cs="Arial"/>
                <w:color w:val="000000"/>
                <w:sz w:val="18"/>
                <w:szCs w:val="18"/>
                <w:lang w:val="cs-CZ" w:eastAsia="cs-CZ"/>
              </w:rPr>
            </w:pPr>
            <w:r w:rsidRPr="00ED17BC">
              <w:rPr>
                <w:rFonts w:cs="Arial"/>
                <w:color w:val="000000"/>
                <w:sz w:val="18"/>
                <w:szCs w:val="18"/>
                <w:lang w:val="cs-CZ" w:eastAsia="cs-CZ"/>
              </w:rPr>
              <w:t xml:space="preserve">ŘO OP PIK: </w:t>
            </w:r>
          </w:p>
          <w:p w:rsidR="00ED17BC" w:rsidRPr="00825D2B" w:rsidRDefault="00ED17BC" w:rsidP="00825D2B">
            <w:pPr>
              <w:pStyle w:val="DAVA"/>
              <w:spacing w:before="80" w:after="80"/>
              <w:rPr>
                <w:rFonts w:cs="Arial"/>
                <w:b/>
                <w:sz w:val="18"/>
                <w:szCs w:val="18"/>
              </w:rPr>
            </w:pPr>
            <w:r w:rsidRPr="00825D2B">
              <w:rPr>
                <w:rFonts w:cs="Arial"/>
                <w:sz w:val="18"/>
                <w:szCs w:val="18"/>
              </w:rPr>
              <w:t xml:space="preserve">V OPPIK bude zajištěno, aby podpořené projekty přispívaly k naplňování principu rovnosti </w:t>
            </w:r>
            <w:r w:rsidRPr="00825D2B">
              <w:rPr>
                <w:rFonts w:cs="Arial"/>
                <w:sz w:val="18"/>
                <w:szCs w:val="18"/>
              </w:rPr>
              <w:lastRenderedPageBreak/>
              <w:t>žen a mužů u relevantních intervencí. V OPPIK budou mít ke všem programům podpory stejný přístup ženy i muži. Princip rovnosti žen a mužů bude zahrnut do výběrových kritérií subprogramů podpory. V případě, že hodnotitelská komise shledá, že projekt nebude projekt podpořen. Aktivity v PO 5 – Technická pomoc budou přístupné všem, bez rozdílu pohlaví. Rovnost mužů a žen bude zajištěna také ve složení Monitorovacího výboru. Kontaktní osobou, zabývající se implementací a aplikaci práva rovnosti žen a mužů, která je zároveň odpovědná za koordinaci aktivit a spolupráci s  ÚV ČR, komunikační úředník OP PIK.</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eastAsia="cs-CZ"/>
              </w:rPr>
              <w:t>Opatření za účelem vzdělávání zaměstnanců orgánů zapojených do řízení a kontroly fondů ESI v oblasti právních předpisů a politiky Unie týkajících se rovnosti mezi ženami a muži a zohledňování rovnosti mezi ženami a muži.</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ano</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400236" w:rsidP="00C36EE6">
            <w:pPr>
              <w:rPr>
                <w:rFonts w:ascii="Arial" w:hAnsi="Arial" w:cs="Arial"/>
                <w:sz w:val="18"/>
                <w:szCs w:val="18"/>
              </w:rPr>
            </w:pPr>
            <w:hyperlink r:id="rId72" w:history="1">
              <w:r w:rsidR="0083711E" w:rsidRPr="00A76D60">
                <w:rPr>
                  <w:rStyle w:val="Hypertextovodkaz"/>
                  <w:rFonts w:ascii="Arial" w:hAnsi="Arial" w:cs="Arial"/>
                  <w:sz w:val="18"/>
                  <w:szCs w:val="18"/>
                </w:rPr>
                <w:t>http://www.strukturalni-fondy.cz/cs/Fondy-EU/2014-2020/Metodicke-pokyny/Metodika-rozvoje-lidskych-zdroju</w:t>
              </w:r>
            </w:hyperlink>
          </w:p>
          <w:p w:rsidR="0083711E" w:rsidRPr="00A76D60" w:rsidRDefault="0083711E" w:rsidP="00C36EE6">
            <w:pPr>
              <w:pStyle w:val="DAVA"/>
              <w:spacing w:before="80" w:after="80"/>
              <w:rPr>
                <w:rFonts w:cs="Arial"/>
                <w:sz w:val="18"/>
                <w:szCs w:val="18"/>
                <w:lang w:val="cs-CZ" w:eastAsia="cs-CZ"/>
              </w:rPr>
            </w:pP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val="cs-CZ" w:eastAsia="cs-CZ"/>
              </w:rPr>
              <w:t xml:space="preserve">MMR-NOK zajišťuje na horizontální úrovni proškolení zaměstnanců implementujících fondy EU v rámci Systému vzdělávání, </w:t>
            </w:r>
            <w:r w:rsidRPr="00CB0C64">
              <w:rPr>
                <w:rFonts w:cs="Arial"/>
                <w:color w:val="000000"/>
                <w:sz w:val="18"/>
                <w:szCs w:val="18"/>
                <w:lang w:val="cs-CZ" w:eastAsia="cs-CZ"/>
              </w:rPr>
              <w:t>Úřad vlády – Sekce pro lidská práva</w:t>
            </w:r>
            <w:r>
              <w:rPr>
                <w:rFonts w:cs="Arial"/>
                <w:color w:val="000000"/>
                <w:sz w:val="18"/>
                <w:szCs w:val="18"/>
                <w:lang w:val="cs-CZ" w:eastAsia="cs-CZ"/>
              </w:rPr>
              <w:t xml:space="preserve"> </w:t>
            </w:r>
            <w:r w:rsidRPr="00A76D60">
              <w:rPr>
                <w:rFonts w:cs="Arial"/>
                <w:color w:val="000000"/>
                <w:sz w:val="18"/>
                <w:szCs w:val="18"/>
                <w:lang w:val="cs-CZ" w:eastAsia="cs-CZ"/>
              </w:rPr>
              <w:t>zajišťuje obsahovou náplň vzdělávání a lektorské zajištění.</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Oblast vzdělávání je součástí Metodického pokynu k rozvoji lidských zdrojů v programovém období 2014-2020 a v programovém období 2007-2013 (Usnesení vlády ČR ze dne 16. června 2014 č. 444).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Obecným cílem Metodického pokynu je nastavení jednotných požadavků na zajištění kvalitní administrativní kapacity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podílející se na realizaci cílů Dohody o partnerství a jednotlivých činností při implementaci programů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 jedním ze specifických cílů Metodického pokynu je vytvoření systému vzdělávání zaměstnanců, kteří se podílejí na implementaci fondů EU tak,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aby odpovídal jejich potřebám na pracovních pozicích, popsaných v řídicích dokumentech programů, řízení a koordinace </w:t>
            </w:r>
            <w:proofErr w:type="spellStart"/>
            <w:r w:rsidRPr="00A76D60">
              <w:rPr>
                <w:rFonts w:ascii="Arial" w:hAnsi="Arial" w:cs="Arial"/>
                <w:sz w:val="18"/>
                <w:szCs w:val="18"/>
                <w:lang w:val="cs-CZ" w:eastAsia="cs-CZ"/>
              </w:rPr>
              <w:t>DoP</w:t>
            </w:r>
            <w:proofErr w:type="spellEnd"/>
            <w:r w:rsidRPr="00A76D60">
              <w:rPr>
                <w:rFonts w:ascii="Arial" w:hAnsi="Arial" w:cs="Arial"/>
                <w:sz w:val="18"/>
                <w:szCs w:val="18"/>
                <w:lang w:val="cs-CZ" w:eastAsia="cs-CZ"/>
              </w:rPr>
              <w:t xml:space="preserve">,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 zajistil podmínky pro prosazování principu transparentnosti a protikorupčního jednání. Vzdělávání zajišťuje podmínky pro stabilizaci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 motivaci zaměstnanců implementační struktury v návaznosti na potřeby jejich odborného růstu a zvyšování znalostí a dovedností.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Nabídka vzdělávacích aktivit se odvíjí od cílů jednotlivých programů a individuálních vzdělávacích plánů vytvářených při hodnocení zaměstnanců.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Termíny vzdělávacích akcí jsou zveřejněny na webových stránkách Systému vzdělávání.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Vzdělávací akce jsou průběžně vyhodnocovány na základě zpětné vazby účastníků získávané prostřednictvím hodnotících dotazníků (s cílem optimalizovat efektivitu). Prezentace ze vzdělávacích akcí jsou účastníkům dále k dispozici v e-knihovně na </w:t>
            </w:r>
            <w:r w:rsidRPr="00A76D60">
              <w:rPr>
                <w:rFonts w:ascii="Arial" w:hAnsi="Arial" w:cs="Arial"/>
                <w:sz w:val="18"/>
                <w:szCs w:val="18"/>
                <w:lang w:val="cs-CZ" w:eastAsia="cs-CZ"/>
              </w:rPr>
              <w:lastRenderedPageBreak/>
              <w:t>webových stránkách Systému vzdělávání.</w:t>
            </w:r>
          </w:p>
          <w:p w:rsidR="0083711E" w:rsidRDefault="0083711E" w:rsidP="00C36EE6">
            <w:pPr>
              <w:pStyle w:val="DAVA"/>
              <w:spacing w:before="80" w:after="80"/>
              <w:rPr>
                <w:rFonts w:cs="Arial"/>
                <w:sz w:val="18"/>
                <w:szCs w:val="18"/>
                <w:lang w:val="cs-CZ" w:eastAsia="cs-CZ"/>
              </w:rPr>
            </w:pPr>
            <w:r w:rsidRPr="00A76D60">
              <w:rPr>
                <w:rFonts w:cs="Arial"/>
                <w:sz w:val="18"/>
                <w:szCs w:val="18"/>
                <w:lang w:val="cs-CZ" w:eastAsia="cs-CZ"/>
              </w:rPr>
              <w:t>Realizace Systému vzdělávání probíhá na základě spolupráce MMR-NOK se zástupci (koordinátory vzdělávání) jednotlivých subjektů implementace, kteří 2x ročně zasílají MMR-NOK své požadavky na zajištění vzdělávacích akcí v rámci Systému vzdělávání pro programové období 2014-2020 budou projednávány na Pracovní skupině Administrativní kapacita (pro programové období 2007-2013 to byla PS Vzdělávání pro NSRR).</w:t>
            </w:r>
          </w:p>
          <w:p w:rsidR="00895730" w:rsidRDefault="00895730" w:rsidP="00C36EE6">
            <w:pPr>
              <w:pStyle w:val="DAVA"/>
              <w:spacing w:before="80" w:after="80"/>
              <w:rPr>
                <w:rFonts w:cs="Arial"/>
                <w:sz w:val="18"/>
                <w:szCs w:val="18"/>
                <w:lang w:val="cs-CZ" w:eastAsia="cs-CZ"/>
              </w:rPr>
            </w:pPr>
            <w:r>
              <w:rPr>
                <w:rFonts w:cs="Arial"/>
                <w:sz w:val="18"/>
                <w:szCs w:val="18"/>
                <w:lang w:val="cs-CZ" w:eastAsia="cs-CZ"/>
              </w:rPr>
              <w:t xml:space="preserve">ŘO OP PIK: </w:t>
            </w:r>
          </w:p>
          <w:p w:rsidR="00895730" w:rsidRPr="00895730" w:rsidRDefault="00895730" w:rsidP="00895730">
            <w:pPr>
              <w:pStyle w:val="Tabulka"/>
              <w:rPr>
                <w:rFonts w:ascii="Arial" w:hAnsi="Arial" w:cs="Arial"/>
                <w:b w:val="0"/>
                <w:color w:val="auto"/>
              </w:rPr>
            </w:pPr>
            <w:r w:rsidRPr="00895730">
              <w:rPr>
                <w:rFonts w:ascii="Arial" w:hAnsi="Arial" w:cs="Arial"/>
                <w:b w:val="0"/>
                <w:color w:val="auto"/>
              </w:rPr>
              <w:t>Zaměstnanci ŘO OP PIK jsou zapojeni do Systému vzdělávání a účastní se průběžně a dle potřeby příslušných školení s problematikou rovnosti mezi ženami a muži.</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color w:val="000000"/>
                <w:sz w:val="18"/>
                <w:szCs w:val="18"/>
              </w:rPr>
            </w:pPr>
            <w:r w:rsidRPr="00A76D60">
              <w:rPr>
                <w:rFonts w:ascii="Arial" w:hAnsi="Arial" w:cs="Arial"/>
                <w:b/>
                <w:color w:val="000000"/>
                <w:sz w:val="18"/>
                <w:szCs w:val="18"/>
              </w:rPr>
              <w:lastRenderedPageBreak/>
              <w:t>3. Existence administrativní kapacity k provádění a uplatňování Úmluvy OSN o právech osob se zdravotním postižením (UNCRPD) v oblasti fondů ESI v souladu s rozhodnutím Rady 2010/48/E</w:t>
            </w:r>
            <w:r w:rsidRPr="00A76D60">
              <w:rPr>
                <w:rFonts w:ascii="Arial" w:hAnsi="Arial" w:cs="Arial"/>
                <w:b/>
                <w:color w:val="000000"/>
                <w:sz w:val="18"/>
                <w:szCs w:val="18"/>
              </w:rPr>
              <w:lastRenderedPageBreak/>
              <w:t>S</w:t>
            </w:r>
          </w:p>
        </w:tc>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lastRenderedPageBreak/>
              <w:t xml:space="preserve">Uplatnitelnost bude dokladována v relevantních programech </w:t>
            </w:r>
          </w:p>
        </w:tc>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r w:rsidRPr="00A76D60">
              <w:rPr>
                <w:rFonts w:cs="Arial"/>
                <w:i/>
                <w:sz w:val="18"/>
                <w:szCs w:val="18"/>
                <w:lang w:val="cs-CZ" w:eastAsia="cs-CZ"/>
              </w:rPr>
              <w:t>Ano</w:t>
            </w:r>
          </w:p>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(plnění probíhá průběžně a bude probíhat po celé programové období 2014-2020)</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Tiret0"/>
              <w:numPr>
                <w:ilvl w:val="0"/>
                <w:numId w:val="0"/>
              </w:numPr>
              <w:spacing w:before="80" w:after="80"/>
              <w:jc w:val="left"/>
              <w:rPr>
                <w:rFonts w:ascii="Arial" w:hAnsi="Arial" w:cs="Arial"/>
                <w:sz w:val="18"/>
                <w:szCs w:val="18"/>
                <w:lang w:val="cs-CZ"/>
              </w:rPr>
            </w:pPr>
            <w:r w:rsidRPr="00A76D60">
              <w:rPr>
                <w:rFonts w:ascii="Arial" w:hAnsi="Arial" w:cs="Arial"/>
                <w:color w:val="000000"/>
                <w:sz w:val="18"/>
                <w:szCs w:val="18"/>
                <w:lang w:val="cs-CZ"/>
              </w:rPr>
              <w:t>Opatření v souladu s institucionálním a právním rámcem členských států pro konzultaci a zapojení subjektů odpovědných za ochranu práv zdravotně postižených osob nebo organizací je zastupujících a ostatních příslušných zúčastněných stran do přípravy a provádění programů;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ano</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400236" w:rsidP="00C36EE6">
            <w:pPr>
              <w:pStyle w:val="DAVA"/>
              <w:spacing w:before="80" w:after="80"/>
              <w:rPr>
                <w:rFonts w:cs="Arial"/>
                <w:sz w:val="18"/>
                <w:szCs w:val="18"/>
                <w:lang w:val="cs-CZ" w:eastAsia="cs-CZ"/>
              </w:rPr>
            </w:pPr>
            <w:hyperlink r:id="rId73" w:history="1">
              <w:r w:rsidR="0083711E" w:rsidRPr="00A76D60">
                <w:rPr>
                  <w:rStyle w:val="Hypertextovodkaz"/>
                  <w:rFonts w:cs="Arial"/>
                  <w:sz w:val="18"/>
                  <w:szCs w:val="18"/>
                  <w:lang w:val="cs-CZ" w:eastAsia="cs-CZ"/>
                </w:rPr>
                <w:t>http://www.vlada.cz/cz/ppov/vvzpo/dokumenty/narodni-plan-vytvareni-rovnych-prilezitosti-pro-osoby-se-zdravotnim-postizenim-na-obdobi-2010---2014-70026/</w:t>
              </w:r>
            </w:hyperlink>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 xml:space="preserve">Převážnou část úkolů vztahujících se k použitelné předběžné podmínce zajišťuje MPSV </w:t>
            </w:r>
            <w:r w:rsidRPr="00A76D60">
              <w:rPr>
                <w:rFonts w:cs="Arial"/>
                <w:bCs/>
                <w:sz w:val="18"/>
                <w:szCs w:val="18"/>
                <w:lang w:val="cs-CZ" w:eastAsia="cs-CZ"/>
              </w:rPr>
              <w:t>v úzké spolupráci s Vládním výborem pro zdravotně postižené občany</w:t>
            </w:r>
            <w:r w:rsidRPr="00A76D60">
              <w:rPr>
                <w:rFonts w:cs="Arial"/>
                <w:color w:val="000000"/>
                <w:sz w:val="18"/>
                <w:szCs w:val="18"/>
                <w:lang w:val="cs-CZ" w:eastAsia="cs-CZ"/>
              </w:rPr>
              <w:t xml:space="preserve"> spolu s určenými kontaktními pracovníky ŘO jednotlivých programů.</w:t>
            </w:r>
          </w:p>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 xml:space="preserve">Veřejný ochránce práv s MPSV a </w:t>
            </w:r>
            <w:r w:rsidRPr="00A76D60">
              <w:rPr>
                <w:rFonts w:cs="Arial"/>
                <w:bCs/>
                <w:sz w:val="18"/>
                <w:szCs w:val="18"/>
                <w:lang w:val="cs-CZ" w:eastAsia="cs-CZ"/>
              </w:rPr>
              <w:t xml:space="preserve">s Vládním výborem pro zdravotně postižené občany </w:t>
            </w:r>
            <w:r w:rsidRPr="00A76D60">
              <w:rPr>
                <w:rFonts w:cs="Arial"/>
                <w:color w:val="000000"/>
                <w:sz w:val="18"/>
                <w:szCs w:val="18"/>
                <w:lang w:val="cs-CZ" w:eastAsia="cs-CZ"/>
              </w:rPr>
              <w:t>úzce spolupracuje a vyměňují si potřebné informace a dostupné poznatky při posuzování aktivit vztahujících se k ESI fondům.</w:t>
            </w:r>
          </w:p>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 xml:space="preserve">Pro systematické zajištění a posílení administrativní kapacity pro efektivní aplikaci a implementaci Úmluvy v oblasti ESI fondů má ŘO povinnost určit konkrétní kontaktní osobu v rámci jednotlivých ŘO, která se povinně a systematicky zabývá implementací a aplikací práva zdravotně postižených, je odpovědná za koordinaci aktivit v této oblasti a úzce spolupracuje s MPSV a </w:t>
            </w:r>
            <w:r w:rsidRPr="00A76D60">
              <w:rPr>
                <w:rFonts w:cs="Arial"/>
                <w:sz w:val="18"/>
                <w:szCs w:val="18"/>
                <w:lang w:val="cs-CZ" w:eastAsia="cs-CZ"/>
              </w:rPr>
              <w:t xml:space="preserve">s </w:t>
            </w:r>
            <w:r w:rsidRPr="00A76D60">
              <w:rPr>
                <w:rFonts w:cs="Arial"/>
                <w:bCs/>
                <w:sz w:val="18"/>
                <w:szCs w:val="18"/>
                <w:lang w:val="cs-CZ" w:eastAsia="cs-CZ"/>
              </w:rPr>
              <w:t>Vládním výborem pro zdravotně postižené.</w:t>
            </w:r>
          </w:p>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 xml:space="preserve">Zástupce MPSV a </w:t>
            </w:r>
            <w:r w:rsidRPr="00A76D60">
              <w:rPr>
                <w:rFonts w:cs="Arial"/>
                <w:sz w:val="18"/>
                <w:szCs w:val="18"/>
                <w:lang w:val="cs-CZ" w:eastAsia="cs-CZ"/>
              </w:rPr>
              <w:t>zástupce  </w:t>
            </w:r>
            <w:r w:rsidRPr="00A76D60">
              <w:rPr>
                <w:rFonts w:cs="Arial"/>
                <w:bCs/>
                <w:sz w:val="18"/>
                <w:szCs w:val="18"/>
                <w:lang w:val="cs-CZ" w:eastAsia="cs-CZ"/>
              </w:rPr>
              <w:t xml:space="preserve">Vládního výboru, pro zdravotně postižené </w:t>
            </w:r>
            <w:r w:rsidRPr="00A76D60">
              <w:rPr>
                <w:rFonts w:cs="Arial"/>
                <w:color w:val="000000"/>
                <w:sz w:val="18"/>
                <w:szCs w:val="18"/>
                <w:lang w:val="cs-CZ" w:eastAsia="cs-CZ"/>
              </w:rPr>
              <w:t>je zván na platformy programů a následně po schválení programů bude rovněž zván na Monitorovací výbory jednotlivých programů. Zástupce VOP se rovněž bude účastnit monitorovacích výborů a je stálým hostem Rady pro fondy.</w:t>
            </w:r>
          </w:p>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Zároveň je pověřený zástupce MPSV členem Rady pro ESI fondy.</w:t>
            </w:r>
          </w:p>
          <w:p w:rsidR="00825D2B" w:rsidRDefault="0083711E" w:rsidP="00825D2B">
            <w:pPr>
              <w:pStyle w:val="Tabulka"/>
              <w:spacing w:after="0"/>
              <w:rPr>
                <w:rFonts w:ascii="Arial" w:hAnsi="Arial" w:cs="Arial"/>
                <w:b w:val="0"/>
              </w:rPr>
            </w:pPr>
            <w:r w:rsidRPr="00825D2B">
              <w:rPr>
                <w:rFonts w:ascii="Arial" w:hAnsi="Arial" w:cs="Arial"/>
                <w:b w:val="0"/>
                <w:color w:val="000000"/>
              </w:rPr>
              <w:t>Dále je vytvořen Národní plán vytváření rovných příležitostí pro osoby se zdravotním postižením na období 2010 - 2014, každý rok je podávána vládě zpráva o plnění opatření. Na následující léta bude vytvořen další Národní plán, s ohledem na programovací období, tedy 2015-2020.</w:t>
            </w:r>
            <w:r w:rsidR="00AA16C8" w:rsidRPr="00825D2B">
              <w:rPr>
                <w:rFonts w:ascii="Arial" w:hAnsi="Arial" w:cs="Arial"/>
                <w:b w:val="0"/>
              </w:rPr>
              <w:t xml:space="preserve"> </w:t>
            </w:r>
          </w:p>
          <w:p w:rsidR="00825D2B" w:rsidRPr="00825D2B" w:rsidRDefault="00AA16C8" w:rsidP="00825D2B">
            <w:pPr>
              <w:pStyle w:val="Tabulka"/>
              <w:spacing w:after="0"/>
              <w:rPr>
                <w:rFonts w:ascii="Arial" w:hAnsi="Arial" w:cs="Arial"/>
                <w:b w:val="0"/>
              </w:rPr>
            </w:pPr>
            <w:r w:rsidRPr="00AA16C8">
              <w:rPr>
                <w:rFonts w:ascii="Arial" w:hAnsi="Arial" w:cs="Arial"/>
                <w:b w:val="0"/>
                <w:color w:val="auto"/>
              </w:rPr>
              <w:t>ŘO OP PIK:</w:t>
            </w:r>
          </w:p>
          <w:p w:rsidR="0083711E" w:rsidRPr="00AA16C8" w:rsidRDefault="00AA16C8" w:rsidP="00825D2B">
            <w:pPr>
              <w:pStyle w:val="Tabulka"/>
              <w:spacing w:after="0"/>
              <w:rPr>
                <w:rFonts w:ascii="Arial" w:hAnsi="Arial" w:cs="Arial"/>
                <w:b w:val="0"/>
                <w:color w:val="auto"/>
              </w:rPr>
            </w:pPr>
            <w:r w:rsidRPr="00AA16C8">
              <w:rPr>
                <w:rFonts w:ascii="Arial" w:hAnsi="Arial" w:cs="Arial"/>
                <w:b w:val="0"/>
                <w:color w:val="auto"/>
              </w:rPr>
              <w:t xml:space="preserve"> rámci agendy ochrany práv zdravotně postižených za ŘO OP PIK je kontaktní osobou, zabývající se implementací a aplikací práv zdravotně postižených, která je zároveň </w:t>
            </w:r>
            <w:r w:rsidRPr="00AA16C8">
              <w:rPr>
                <w:rFonts w:ascii="Arial" w:hAnsi="Arial" w:cs="Arial"/>
                <w:b w:val="0"/>
                <w:color w:val="auto"/>
              </w:rPr>
              <w:lastRenderedPageBreak/>
              <w:t>zodpovědná za koordinaci aktivit a spolupráci s MPSV, komunikační úředník OP PIK.</w:t>
            </w:r>
            <w:r>
              <w:rPr>
                <w:rFonts w:ascii="Arial" w:hAnsi="Arial" w:cs="Arial"/>
                <w:b w:val="0"/>
                <w:color w:val="auto"/>
              </w:rPr>
              <w:t xml:space="preserve"> </w:t>
            </w:r>
            <w:r w:rsidRPr="00AA16C8">
              <w:rPr>
                <w:rFonts w:ascii="Arial" w:hAnsi="Arial" w:cs="Arial"/>
                <w:b w:val="0"/>
                <w:color w:val="auto"/>
              </w:rPr>
              <w:t>Ve fázi implementace operačního programu bude zajištěna účast zástupce MPSV také v Monitorovacím výboru OP PIK.</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sz w:val="18"/>
                <w:szCs w:val="18"/>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eastAsia="cs-CZ"/>
              </w:rPr>
              <w:t>Opatření pro vzdělávání zaměstnanců orgánů zapojených do řízení a fondů ESI v oblasti práva a politik EU a členských států týkajících se zdravotně postižených osob, včetně přístupnosti a praktického uplatňování ustanovení UNCRPD provedených v právu Unie, případně členských států;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ano</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400236" w:rsidP="00C36EE6">
            <w:pPr>
              <w:pStyle w:val="DAVA"/>
              <w:spacing w:before="80" w:after="80"/>
              <w:rPr>
                <w:rFonts w:cs="Arial"/>
                <w:sz w:val="18"/>
                <w:szCs w:val="18"/>
                <w:lang w:val="cs-CZ" w:eastAsia="cs-CZ"/>
              </w:rPr>
            </w:pPr>
            <w:hyperlink r:id="rId74" w:history="1">
              <w:r w:rsidR="0083711E" w:rsidRPr="00A76D60">
                <w:rPr>
                  <w:rStyle w:val="Hypertextovodkaz"/>
                  <w:rFonts w:cs="Arial"/>
                  <w:sz w:val="18"/>
                  <w:szCs w:val="18"/>
                  <w:lang w:val="cs-CZ" w:eastAsia="cs-CZ"/>
                </w:rPr>
                <w:t>http://www.vlada.cz/cz/ppov/vvzpo/dokumenty/zprava-o-plneni-opatreni-narodniho-planu-vytvareni-rovnych-prilezitosti-pro-osoby-se-zdravotnim-postizenim-na-obdobi-2010-2014-v-roce-2012-110987/</w:t>
              </w:r>
            </w:hyperlink>
          </w:p>
          <w:p w:rsidR="0083711E" w:rsidRPr="00A76D60" w:rsidRDefault="00400236" w:rsidP="00C36EE6">
            <w:pPr>
              <w:rPr>
                <w:rFonts w:ascii="Arial" w:hAnsi="Arial" w:cs="Arial"/>
                <w:sz w:val="18"/>
                <w:szCs w:val="18"/>
              </w:rPr>
            </w:pPr>
            <w:hyperlink r:id="rId75" w:history="1">
              <w:r w:rsidR="0083711E" w:rsidRPr="00A76D60">
                <w:rPr>
                  <w:rStyle w:val="Hypertextovodkaz"/>
                  <w:rFonts w:ascii="Arial" w:hAnsi="Arial" w:cs="Arial"/>
                  <w:sz w:val="18"/>
                  <w:szCs w:val="18"/>
                </w:rPr>
                <w:t>http://www.strukturalni-fondy.cz/cs/Fondy-EU/2014-2020/Metodicke-pokyny/Metodika-rozvoje-lidskych-zdroju</w:t>
              </w:r>
            </w:hyperlink>
          </w:p>
          <w:p w:rsidR="0083711E" w:rsidRPr="00A76D60" w:rsidRDefault="0083711E" w:rsidP="00C36EE6">
            <w:pPr>
              <w:pStyle w:val="DAVA"/>
              <w:spacing w:before="80" w:after="80"/>
              <w:rPr>
                <w:rFonts w:cs="Arial"/>
                <w:sz w:val="18"/>
                <w:szCs w:val="18"/>
                <w:lang w:val="cs-CZ" w:eastAsia="cs-CZ"/>
              </w:rPr>
            </w:pP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color w:val="000000"/>
                <w:sz w:val="18"/>
                <w:szCs w:val="18"/>
                <w:lang w:val="cs-CZ" w:eastAsia="cs-CZ"/>
              </w:rPr>
            </w:pPr>
            <w:r w:rsidRPr="00A76D60">
              <w:rPr>
                <w:rFonts w:cs="Arial"/>
                <w:color w:val="000000"/>
                <w:sz w:val="18"/>
                <w:szCs w:val="18"/>
                <w:lang w:val="cs-CZ" w:eastAsia="cs-CZ"/>
              </w:rPr>
              <w:t xml:space="preserve">V rámci Národního plánu vytváření rovných příležitostí pro osoby se zdravotním postižením na období 2010 - 2014, každý rok - zpráva o plnění opatření. Opatření – vzdělávání zaměstnanců orgánů podílejících se na řízení a kontrole ESI fondů je plněno již nyní. </w:t>
            </w:r>
          </w:p>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val="cs-CZ" w:eastAsia="cs-CZ"/>
              </w:rPr>
              <w:t>MMR-NOK zajišťuje na horizontální úrovni proškolení zaměstnanců implementujících fondy EU v rámci Systému vzdělávání, MPSV zajišťuje obsahovou náplň vzdělávání a lektorské zajištění.</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Oblast vzdělávání je součástí Metodického pokynu k rozvoji lidských zdrojů v programovém období 2014-2020 a v programovém období 2007-2013 (Usnesení vlády ČR ze dne 16. června 2014 č. 444).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Obecným cílem Metodického pokynu je nastavení jednotných požadavků na zajištění kvalitní administrativní kapacity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podílející se na realizaci cílů Dohody o partnerství a jednotlivých činností při implementaci programů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 jedním ze specifických cílů Metodického pokynu je vytvoření systému vzdělávání zaměstnanců, kteří se podílejí na implementaci fondů EU tak,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aby odpovídal jejich potřebám na pracovních pozicích, popsaných v řídicích dokumentech programů, řízení a koordinace </w:t>
            </w:r>
            <w:proofErr w:type="spellStart"/>
            <w:r w:rsidRPr="00A76D60">
              <w:rPr>
                <w:rFonts w:ascii="Arial" w:hAnsi="Arial" w:cs="Arial"/>
                <w:sz w:val="18"/>
                <w:szCs w:val="18"/>
                <w:lang w:val="cs-CZ" w:eastAsia="cs-CZ"/>
              </w:rPr>
              <w:t>DoP</w:t>
            </w:r>
            <w:proofErr w:type="spellEnd"/>
            <w:r w:rsidRPr="00A76D60">
              <w:rPr>
                <w:rFonts w:ascii="Arial" w:hAnsi="Arial" w:cs="Arial"/>
                <w:sz w:val="18"/>
                <w:szCs w:val="18"/>
                <w:lang w:val="cs-CZ" w:eastAsia="cs-CZ"/>
              </w:rPr>
              <w:t xml:space="preserve">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 zajistil podmínky pro prosazování principu transparentnosti a protikorupčního jednání. Vzdělávání zajišťuje podmínky pro stabilizaci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 motivaci zaměstnanců implementační struktury v návaznosti na potřeby jejich odborného růstu a zvyšování znalostí a dovedností.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Nabídka vzdělávacích aktivit se odvíjí od cílů jednotlivých programů a individuálních vzdělávacích plánů vytvářených při hodnocení zaměstnanců.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Termíny vzdělávacích akcí jsou zveřejněny na webových stránkách Systému vzdělávání.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Vzdělávací akce jsou průběžně vyhodnocovány na základě zpětné vazby účastníků získávané prostřednictvím hodnotících dotazníků (s cílem optimalizovat efektivitu). Prezentace ze vzdělávacích akcí jsou účastníkům dále k dispozici v e-knihovně na </w:t>
            </w:r>
            <w:r w:rsidRPr="00A76D60">
              <w:rPr>
                <w:rFonts w:ascii="Arial" w:hAnsi="Arial" w:cs="Arial"/>
                <w:sz w:val="18"/>
                <w:szCs w:val="18"/>
                <w:lang w:val="cs-CZ" w:eastAsia="cs-CZ"/>
              </w:rPr>
              <w:lastRenderedPageBreak/>
              <w:t>webových stránkách Systému vzdělávání.</w:t>
            </w:r>
          </w:p>
          <w:p w:rsidR="00B71CA5" w:rsidRDefault="0083711E" w:rsidP="00C36EE6">
            <w:pPr>
              <w:pStyle w:val="DAVA"/>
              <w:spacing w:before="80" w:after="80"/>
              <w:rPr>
                <w:rFonts w:cs="Arial"/>
                <w:sz w:val="18"/>
                <w:szCs w:val="18"/>
                <w:lang w:val="cs-CZ" w:eastAsia="cs-CZ"/>
              </w:rPr>
            </w:pPr>
            <w:r w:rsidRPr="00A76D60">
              <w:rPr>
                <w:rFonts w:cs="Arial"/>
                <w:sz w:val="18"/>
                <w:szCs w:val="18"/>
                <w:lang w:val="cs-CZ" w:eastAsia="cs-CZ"/>
              </w:rPr>
              <w:t>Realizace Systému vzdělávání probíhá na základě spolupráce MMR-NOK se zástupci (koordinátory vzdělávání) jednotlivých subjektů implementace, kteří 2x ročně zasílají MMR-NOK své požadavky na zajištění vzdělávacích akcí v rámci Systému vzdělávání pro programové období 2014-2020 budou projednávány na Pracovní skupině Administrativní kapacita (pro programové období 2007-2013 to byla PS Vzdělávání pro NSRR).</w:t>
            </w:r>
            <w:r w:rsidR="00B71CA5">
              <w:rPr>
                <w:rFonts w:cs="Arial"/>
                <w:sz w:val="18"/>
                <w:szCs w:val="18"/>
                <w:lang w:val="cs-CZ" w:eastAsia="cs-CZ"/>
              </w:rPr>
              <w:t xml:space="preserve"> </w:t>
            </w:r>
          </w:p>
          <w:p w:rsidR="00825D2B" w:rsidRDefault="00B71CA5" w:rsidP="00825D2B">
            <w:pPr>
              <w:pStyle w:val="DAVA"/>
              <w:spacing w:before="80" w:after="80"/>
              <w:rPr>
                <w:rFonts w:cs="Arial"/>
                <w:sz w:val="18"/>
                <w:szCs w:val="18"/>
                <w:lang w:val="cs-CZ" w:eastAsia="cs-CZ"/>
              </w:rPr>
            </w:pPr>
            <w:r w:rsidRPr="00B71CA5">
              <w:rPr>
                <w:rFonts w:cs="Arial"/>
                <w:sz w:val="18"/>
                <w:szCs w:val="18"/>
                <w:lang w:val="cs-CZ" w:eastAsia="cs-CZ"/>
              </w:rPr>
              <w:t>ŘO OP PIK:</w:t>
            </w:r>
          </w:p>
          <w:p w:rsidR="00B71CA5" w:rsidRPr="00825D2B" w:rsidRDefault="00B71CA5" w:rsidP="00825D2B">
            <w:pPr>
              <w:pStyle w:val="DAVA"/>
              <w:spacing w:before="80" w:after="80"/>
              <w:rPr>
                <w:rFonts w:cs="Arial"/>
                <w:b/>
                <w:sz w:val="18"/>
                <w:szCs w:val="18"/>
              </w:rPr>
            </w:pPr>
            <w:r w:rsidRPr="00825D2B">
              <w:rPr>
                <w:rFonts w:cs="Arial"/>
                <w:sz w:val="18"/>
                <w:szCs w:val="18"/>
              </w:rPr>
              <w:t>Zaměstnanci OP PIK jsou zapojeni do Systému vzdělávání, který na horizontální úrovni zastřešuje MMR-NOK, a účastní se průběžně a dle potřeby příslušných vzdělávacích akcí.</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eastAsia="cs-CZ"/>
              </w:rPr>
              <w:t>Opatření za účelem sledování provádění článku 9 UNCRPD ve vztahu k fondům ESI v rámci přípravy a provádění programů.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ano</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400236" w:rsidP="00C36EE6">
            <w:pPr>
              <w:pStyle w:val="DAVA"/>
              <w:spacing w:before="80" w:after="80"/>
              <w:rPr>
                <w:rFonts w:cs="Arial"/>
                <w:sz w:val="18"/>
                <w:szCs w:val="18"/>
                <w:lang w:val="cs-CZ" w:eastAsia="cs-CZ"/>
              </w:rPr>
            </w:pPr>
            <w:hyperlink r:id="rId76" w:history="1">
              <w:r w:rsidR="0083711E" w:rsidRPr="00A76D60">
                <w:rPr>
                  <w:rStyle w:val="Hypertextovodkaz"/>
                  <w:rFonts w:cs="Arial"/>
                  <w:sz w:val="18"/>
                  <w:szCs w:val="18"/>
                  <w:lang w:val="cs-CZ" w:eastAsia="cs-CZ"/>
                </w:rPr>
                <w:t>http://www.vlada.cz/cz/ppov/vvzpo/dokumenty/narodni-plan-vytvareni-rovnych-prilezitosti-pro-osoby-se-zdravotnim-postizenim-na-obdobi-2010---2014-70026/</w:t>
              </w:r>
            </w:hyperlink>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eastAsia="Calibri" w:cs="Arial"/>
                <w:sz w:val="18"/>
                <w:szCs w:val="18"/>
                <w:lang w:eastAsia="cs-CZ"/>
              </w:rPr>
            </w:pPr>
            <w:r w:rsidRPr="00A76D60">
              <w:rPr>
                <w:rFonts w:cs="Arial"/>
                <w:sz w:val="18"/>
                <w:szCs w:val="18"/>
                <w:lang w:eastAsia="cs-CZ"/>
              </w:rPr>
              <w:t>Výše uvedený Národní plán,  obsahuje opatření k vyrovnávání příležitostí pro osoby se zdravotním postižením. Plnění těchto opatření je každý rok hodnoceno.  Národní plán je koncipován dle jednotlivých článků CRPD a v kapitole č. 4 se přímo věnuje Přístupnosti staveb, dopravy a přístupu k informacím. Na další léta se bude vytvářet další národní plán pro období 2015-2020, ve kterém předpokládáme, že se přístupnost opět promítne do jedné z konkrétních kapitol.</w:t>
            </w:r>
          </w:p>
          <w:p w:rsidR="0083711E" w:rsidRPr="00A76D60" w:rsidRDefault="0083711E" w:rsidP="00C36EE6">
            <w:pPr>
              <w:pStyle w:val="DAVA"/>
              <w:spacing w:before="80" w:after="80"/>
              <w:rPr>
                <w:rFonts w:cs="Arial"/>
                <w:sz w:val="18"/>
                <w:szCs w:val="18"/>
                <w:lang w:eastAsia="cs-CZ"/>
              </w:rPr>
            </w:pPr>
            <w:r w:rsidRPr="00A76D60">
              <w:rPr>
                <w:rFonts w:cs="Arial"/>
                <w:sz w:val="18"/>
                <w:szCs w:val="18"/>
                <w:lang w:eastAsia="cs-CZ"/>
              </w:rPr>
              <w:t xml:space="preserve">Požadavky na přístupnost veřejných budov, a to jak nových, tak i rekonstruovaných vyplývají především ze stavebního zákona (Zákon č. 183/2006 Sb., o územním plánování a stavebním řádu - stavební zákon) a vyhlášky o obecných technických požadavcích zabezpečujících bezbariérové užívání staveb (Vyhláška č. 398/2009 Sb., o obecných technických požadavcích zabezpečujících bezbariérové užívání staveb). Poměr vozidel ve veřejné dopravě, která musí umožňovat přepravu osob s omezenou schopností pohybu a orientace vymezuje nařízení vlády o stanovení minimálních hodnot a ukazatelů standardů kvality a bezpečnosti a o způsobu jejich prokazování v souvislosti s poskytováním veřejných služeb v přepravě cestujících (Nařízení vlády č. 63/2011 Sb. o stanovení minimálních hodnot a ukazatelů standardů kvality a bezpečnosti a o způsobu jejich prokazování v souvislosti s poskytováním veřejných služeb v přepravě cestujících). </w:t>
            </w:r>
          </w:p>
          <w:p w:rsidR="0083711E" w:rsidRPr="00A76D60" w:rsidRDefault="0083711E" w:rsidP="00C36EE6">
            <w:pPr>
              <w:pStyle w:val="DAVA"/>
              <w:spacing w:before="80" w:after="80"/>
              <w:rPr>
                <w:rFonts w:cs="Arial"/>
                <w:sz w:val="18"/>
                <w:szCs w:val="18"/>
                <w:lang w:eastAsia="cs-CZ"/>
              </w:rPr>
            </w:pPr>
            <w:r w:rsidRPr="00A76D60">
              <w:rPr>
                <w:rFonts w:cs="Arial"/>
                <w:sz w:val="18"/>
                <w:szCs w:val="18"/>
                <w:lang w:eastAsia="cs-CZ"/>
              </w:rPr>
              <w:t xml:space="preserve">Na základě antidiskriminačního zákona ( Zákon č. 198/2009 Sb., o rovném zacházení a o právních prostředcích ochrany před diskriminací a o změně některých zákonů - antidiskriminační zákon, ve znění zákona č. 89/2012 Sb.) jsou všichni poskytovatelé služeb určených veřejnosti povinni přijmout přiměřená opatření pro osoby se zdravotním postižením. </w:t>
            </w:r>
          </w:p>
          <w:p w:rsidR="0083711E" w:rsidRPr="00A76D60" w:rsidRDefault="0083711E" w:rsidP="00C36EE6">
            <w:pPr>
              <w:pStyle w:val="DAVA"/>
              <w:spacing w:before="80" w:after="80"/>
              <w:rPr>
                <w:rFonts w:cs="Arial"/>
                <w:sz w:val="18"/>
                <w:szCs w:val="18"/>
                <w:lang w:eastAsia="cs-CZ"/>
              </w:rPr>
            </w:pPr>
            <w:r w:rsidRPr="00A76D60">
              <w:rPr>
                <w:rFonts w:cs="Arial"/>
                <w:sz w:val="18"/>
                <w:szCs w:val="18"/>
                <w:lang w:eastAsia="cs-CZ"/>
              </w:rPr>
              <w:t xml:space="preserve">Opatření k zajištění toho, aby se s informacemi souvisejícími s výkonem veřejné správy </w:t>
            </w:r>
            <w:r w:rsidRPr="00A76D60">
              <w:rPr>
                <w:rFonts w:cs="Arial"/>
                <w:sz w:val="18"/>
                <w:szCs w:val="18"/>
                <w:lang w:eastAsia="cs-CZ"/>
              </w:rPr>
              <w:lastRenderedPageBreak/>
              <w:t>uveřejňovanými způsobem umožňujícím dálkový přístup mohly v nezbytném rozsahu seznámit i osoby se zdravotním postižením, upravuje zákon o informačních systémech veřejné správy (Zákon č. 365/2000 Sb., o informačních systémech veřejné správy a o změně některých dalších zákonů) a vyhláška o přístupnosti (Vyhláška č. 64/2008 Sb., o formě uveřejňování informací souvisejících s výkonem veřejné správy prostřednictvím webových stránek pro osoby se zdravotním postižením - vyhláška o přístupnosti) vydaná k jeho provedení.</w:t>
            </w:r>
          </w:p>
          <w:p w:rsidR="0083711E" w:rsidRPr="00A76D60" w:rsidRDefault="0083711E" w:rsidP="00C36EE6">
            <w:pPr>
              <w:pStyle w:val="DAVA"/>
              <w:spacing w:before="80" w:after="80"/>
              <w:rPr>
                <w:rFonts w:cs="Arial"/>
                <w:color w:val="000000"/>
                <w:sz w:val="18"/>
                <w:szCs w:val="18"/>
                <w:lang w:val="cs-CZ" w:eastAsia="cs-CZ"/>
              </w:rPr>
            </w:pPr>
            <w:r w:rsidRPr="00A76D60">
              <w:rPr>
                <w:rFonts w:cs="Arial"/>
                <w:sz w:val="18"/>
                <w:szCs w:val="18"/>
                <w:lang w:eastAsia="cs-CZ"/>
              </w:rPr>
              <w:t>Současná právní úprava tak již nyní poskytuje záruky toho, že finanční prostředky z ESI fondů nepovedou k podpoře projektů, jejichž výstupy by byly pro osoby se zdravotním postižením nepřístupné (v rozporu s čl. 9 CRPD).</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left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r w:rsidRPr="00A76D60">
              <w:rPr>
                <w:rFonts w:ascii="Arial" w:hAnsi="Arial" w:cs="Arial"/>
                <w:b/>
                <w:color w:val="000000"/>
                <w:sz w:val="18"/>
                <w:szCs w:val="18"/>
              </w:rPr>
              <w:lastRenderedPageBreak/>
              <w:t>4. Existence opatření pro účinné uplatňování právních předpisů Unie o veřejných zakázkách v oblasti fondů ESI.</w:t>
            </w:r>
          </w:p>
        </w:tc>
        <w:tc>
          <w:tcPr>
            <w:tcW w:w="1134" w:type="dxa"/>
            <w:vMerge w:val="restart"/>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val="cs-CZ"/>
              </w:rPr>
              <w:t>V</w:t>
            </w:r>
            <w:proofErr w:type="spellStart"/>
            <w:r w:rsidRPr="00A76D60">
              <w:rPr>
                <w:rFonts w:cs="Arial"/>
                <w:color w:val="000000"/>
                <w:sz w:val="18"/>
                <w:szCs w:val="18"/>
              </w:rPr>
              <w:t>šechny</w:t>
            </w:r>
            <w:proofErr w:type="spellEnd"/>
            <w:r w:rsidRPr="00A76D60">
              <w:rPr>
                <w:rFonts w:cs="Arial"/>
                <w:color w:val="000000"/>
                <w:sz w:val="18"/>
                <w:szCs w:val="18"/>
              </w:rPr>
              <w:t xml:space="preserve"> prioritní osy všech programů</w:t>
            </w:r>
            <w:r w:rsidRPr="00A76D60">
              <w:rPr>
                <w:rFonts w:cs="Arial"/>
                <w:color w:val="000000"/>
                <w:sz w:val="18"/>
                <w:szCs w:val="18"/>
                <w:lang w:val="cs-CZ"/>
              </w:rPr>
              <w:t>.</w:t>
            </w:r>
          </w:p>
        </w:tc>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825D2B" w:rsidP="00A720A4">
            <w:pPr>
              <w:pStyle w:val="DAVA"/>
              <w:spacing w:before="80" w:after="80"/>
              <w:rPr>
                <w:rFonts w:cs="Arial"/>
                <w:i/>
                <w:sz w:val="18"/>
                <w:szCs w:val="18"/>
                <w:lang w:val="cs-CZ" w:eastAsia="cs-CZ"/>
              </w:rPr>
            </w:pPr>
            <w:r>
              <w:rPr>
                <w:rFonts w:cs="Arial"/>
                <w:sz w:val="18"/>
                <w:szCs w:val="18"/>
                <w:lang w:val="cs-CZ" w:eastAsia="cs-CZ"/>
              </w:rPr>
              <w:t>částečně</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eastAsia="cs-CZ"/>
              </w:rPr>
              <w:t>Opatření pro účinné uplatňování předpisů Unie o veřejných zakázkách prostřednictvím odpovídajících mechanismů,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25D2B" w:rsidP="00C36EE6">
            <w:pPr>
              <w:pStyle w:val="DAVA"/>
              <w:spacing w:before="80" w:after="80"/>
              <w:rPr>
                <w:rFonts w:cs="Arial"/>
                <w:sz w:val="18"/>
                <w:szCs w:val="18"/>
                <w:lang w:val="cs-CZ" w:eastAsia="cs-CZ"/>
              </w:rPr>
            </w:pPr>
            <w:r>
              <w:rPr>
                <w:rFonts w:cs="Arial"/>
                <w:color w:val="000000"/>
                <w:sz w:val="18"/>
                <w:szCs w:val="18"/>
                <w:lang w:val="cs-CZ" w:eastAsia="cs-CZ"/>
              </w:rPr>
              <w:t>částečně</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400236" w:rsidP="00C36EE6">
            <w:pPr>
              <w:pStyle w:val="DAVA"/>
              <w:spacing w:before="80" w:after="80"/>
              <w:rPr>
                <w:rFonts w:cs="Arial"/>
                <w:sz w:val="18"/>
                <w:szCs w:val="18"/>
              </w:rPr>
            </w:pPr>
            <w:hyperlink r:id="rId77" w:history="1">
              <w:r w:rsidR="0083711E" w:rsidRPr="00A76D60">
                <w:rPr>
                  <w:rStyle w:val="Hypertextovodkaz"/>
                  <w:rFonts w:cs="Arial"/>
                  <w:sz w:val="18"/>
                  <w:szCs w:val="18"/>
                </w:rPr>
                <w:t>http://www.portal-vz.cz/cs/Jak-na-zadavani-verejnych-zakazek/Legislativa-a-Judikatura/Legislativa/Narodni-legislativa-aktualni-a-uplne-zneni-z-(1)</w:t>
              </w:r>
            </w:hyperlink>
          </w:p>
          <w:p w:rsidR="0083711E" w:rsidRPr="00A76D60" w:rsidRDefault="0083711E" w:rsidP="00C36EE6">
            <w:pPr>
              <w:pStyle w:val="DAVA"/>
              <w:spacing w:before="80" w:after="80"/>
              <w:rPr>
                <w:rFonts w:cs="Arial"/>
                <w:sz w:val="18"/>
                <w:szCs w:val="18"/>
              </w:rPr>
            </w:pPr>
          </w:p>
          <w:p w:rsidR="0083711E" w:rsidRPr="00A76D60" w:rsidRDefault="00400236" w:rsidP="00C36EE6">
            <w:pPr>
              <w:pStyle w:val="DAVA"/>
              <w:spacing w:before="80" w:after="80"/>
              <w:rPr>
                <w:rFonts w:cs="Arial"/>
                <w:sz w:val="18"/>
                <w:szCs w:val="18"/>
              </w:rPr>
            </w:pPr>
            <w:hyperlink r:id="rId78" w:history="1">
              <w:r w:rsidR="0083711E" w:rsidRPr="00A76D60">
                <w:rPr>
                  <w:rStyle w:val="Hypertextovodkaz"/>
                  <w:rFonts w:cs="Arial"/>
                  <w:sz w:val="18"/>
                  <w:szCs w:val="18"/>
                </w:rPr>
                <w:t>http://www.portal-vz.cz/cs/Jak-na-zadavani-verejnych-zakazek/Metodiky-stanoviska</w:t>
              </w:r>
            </w:hyperlink>
          </w:p>
          <w:p w:rsidR="0083711E" w:rsidRPr="00A76D60" w:rsidRDefault="0083711E" w:rsidP="00C36EE6">
            <w:pPr>
              <w:pStyle w:val="DAVA"/>
              <w:spacing w:before="80" w:after="80"/>
              <w:rPr>
                <w:rFonts w:cs="Arial"/>
                <w:sz w:val="18"/>
                <w:szCs w:val="18"/>
              </w:rPr>
            </w:pPr>
          </w:p>
          <w:p w:rsidR="0083711E" w:rsidRPr="00A76D60" w:rsidRDefault="00400236" w:rsidP="00C36EE6">
            <w:pPr>
              <w:pStyle w:val="DAVA"/>
              <w:spacing w:before="80" w:after="80"/>
              <w:rPr>
                <w:rFonts w:cs="Arial"/>
                <w:sz w:val="18"/>
                <w:szCs w:val="18"/>
              </w:rPr>
            </w:pPr>
            <w:hyperlink r:id="rId79" w:history="1">
              <w:r w:rsidR="0083711E" w:rsidRPr="00A76D60">
                <w:rPr>
                  <w:rStyle w:val="Hypertextovodkaz"/>
                  <w:rFonts w:cs="Arial"/>
                  <w:sz w:val="18"/>
                  <w:szCs w:val="18"/>
                </w:rPr>
                <w:t>http://www.portal-vz.cz/cs/Jak-na-zadavani-verejnych-zakazek/Metodiky-stanoviska/Stanoviska/Stanoviska-expertni-skupiny-</w:t>
              </w:r>
              <w:r w:rsidR="0083711E" w:rsidRPr="00A76D60">
                <w:rPr>
                  <w:rStyle w:val="Hypertextovodkaz"/>
                  <w:rFonts w:cs="Arial"/>
                  <w:sz w:val="18"/>
                  <w:szCs w:val="18"/>
                </w:rPr>
                <w:lastRenderedPageBreak/>
                <w:t>MMR-k-ZVZ</w:t>
              </w:r>
            </w:hyperlink>
          </w:p>
          <w:p w:rsidR="0083711E" w:rsidRPr="00A76D60" w:rsidRDefault="0083711E" w:rsidP="00C36EE6">
            <w:pPr>
              <w:pStyle w:val="DAVA"/>
              <w:spacing w:before="80" w:after="80"/>
              <w:rPr>
                <w:rFonts w:cs="Arial"/>
                <w:sz w:val="18"/>
                <w:szCs w:val="18"/>
              </w:rPr>
            </w:pPr>
          </w:p>
          <w:p w:rsidR="0083711E" w:rsidRPr="00A76D60" w:rsidRDefault="00400236" w:rsidP="00C36EE6">
            <w:pPr>
              <w:pStyle w:val="DAVA"/>
              <w:spacing w:before="80" w:after="80"/>
              <w:rPr>
                <w:rFonts w:cs="Arial"/>
                <w:sz w:val="18"/>
                <w:szCs w:val="18"/>
              </w:rPr>
            </w:pPr>
            <w:hyperlink r:id="rId80" w:history="1">
              <w:r w:rsidR="0083711E" w:rsidRPr="00A76D60">
                <w:rPr>
                  <w:rStyle w:val="Hypertextovodkaz"/>
                  <w:rFonts w:cs="Arial"/>
                  <w:sz w:val="18"/>
                  <w:szCs w:val="18"/>
                </w:rPr>
                <w:t>http://www.portal-vz.cz/cs/Aktuality</w:t>
              </w:r>
            </w:hyperlink>
          </w:p>
          <w:p w:rsidR="0083711E" w:rsidRPr="00A76D60" w:rsidRDefault="0083711E" w:rsidP="00C36EE6">
            <w:pPr>
              <w:pStyle w:val="DAVA"/>
              <w:spacing w:before="80" w:after="80"/>
              <w:rPr>
                <w:rFonts w:cs="Arial"/>
                <w:sz w:val="18"/>
                <w:szCs w:val="18"/>
              </w:rPr>
            </w:pPr>
          </w:p>
          <w:p w:rsidR="0083711E" w:rsidRPr="00A76D60" w:rsidRDefault="00400236" w:rsidP="00C36EE6">
            <w:pPr>
              <w:pStyle w:val="DAVA"/>
              <w:spacing w:before="80" w:after="80"/>
              <w:rPr>
                <w:rFonts w:cs="Arial"/>
                <w:sz w:val="18"/>
                <w:szCs w:val="18"/>
              </w:rPr>
            </w:pPr>
            <w:hyperlink r:id="rId81" w:history="1">
              <w:r w:rsidR="0083711E" w:rsidRPr="00A76D60">
                <w:rPr>
                  <w:rStyle w:val="Hypertextovodkaz"/>
                  <w:rFonts w:cs="Arial"/>
                  <w:sz w:val="18"/>
                  <w:szCs w:val="18"/>
                </w:rPr>
                <w:t>http://www.strukturalni-fondy.cz/cs/Fondy-EU/Narodni-organ-pro-koordinaci/Dokumenty</w:t>
              </w:r>
            </w:hyperlink>
          </w:p>
          <w:p w:rsidR="0083711E" w:rsidRDefault="00400236" w:rsidP="00C36EE6">
            <w:pPr>
              <w:pStyle w:val="DAVA"/>
              <w:spacing w:before="80" w:after="80"/>
              <w:rPr>
                <w:rFonts w:cs="Arial"/>
                <w:sz w:val="18"/>
                <w:szCs w:val="18"/>
                <w:lang w:val="cs-CZ" w:eastAsia="cs-CZ"/>
              </w:rPr>
            </w:pPr>
            <w:hyperlink r:id="rId82" w:history="1">
              <w:r w:rsidR="0083711E" w:rsidRPr="00A76D60">
                <w:rPr>
                  <w:rStyle w:val="Hypertextovodkaz"/>
                  <w:rFonts w:cs="Arial"/>
                  <w:sz w:val="18"/>
                  <w:szCs w:val="18"/>
                  <w:lang w:val="cs-CZ" w:eastAsia="cs-CZ"/>
                </w:rPr>
                <w:t>http://mmr.cz/cs/Ministerstvo/Ministerstvo/Pro-media/Tiskove-zpravy/2014/Zakon-o-verejnych-zakazkach-pripravuje-siroke-kole</w:t>
              </w:r>
            </w:hyperlink>
          </w:p>
          <w:p w:rsidR="0083711E" w:rsidRPr="00A76D60" w:rsidRDefault="0083711E" w:rsidP="00C36EE6">
            <w:pPr>
              <w:pStyle w:val="DAVA"/>
              <w:spacing w:before="80" w:after="80"/>
              <w:rPr>
                <w:rFonts w:cs="Arial"/>
                <w:sz w:val="18"/>
                <w:szCs w:val="18"/>
                <w:lang w:val="cs-CZ" w:eastAsia="cs-CZ"/>
              </w:rPr>
            </w:pPr>
          </w:p>
          <w:p w:rsidR="0083711E" w:rsidRDefault="00400236" w:rsidP="00C36EE6">
            <w:pPr>
              <w:pStyle w:val="DAVA"/>
              <w:spacing w:before="80" w:after="80"/>
              <w:rPr>
                <w:rFonts w:cs="Arial"/>
                <w:sz w:val="18"/>
                <w:szCs w:val="18"/>
                <w:lang w:val="cs-CZ" w:eastAsia="cs-CZ"/>
              </w:rPr>
            </w:pPr>
            <w:hyperlink r:id="rId83" w:history="1">
              <w:r w:rsidR="0083711E" w:rsidRPr="005D5541">
                <w:rPr>
                  <w:rStyle w:val="Hypertextovodkaz"/>
                  <w:rFonts w:cs="Arial"/>
                  <w:sz w:val="18"/>
                  <w:szCs w:val="18"/>
                  <w:lang w:val="cs-CZ" w:eastAsia="cs-CZ"/>
                </w:rPr>
                <w:t>http://www.portal-vz.cz/cs/Jak-na-zadavani-verejnych-zakazek/Metodiky-stanoviska/Katalog-vzorovych-zadavacich-dokumentaci</w:t>
              </w:r>
            </w:hyperlink>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Default="0083711E" w:rsidP="00C36EE6">
            <w:pPr>
              <w:pStyle w:val="DAVA"/>
              <w:spacing w:before="80" w:after="80"/>
              <w:rPr>
                <w:rFonts w:cs="Arial"/>
                <w:sz w:val="18"/>
                <w:szCs w:val="18"/>
                <w:lang w:val="cs-CZ" w:eastAsia="cs-CZ"/>
              </w:rPr>
            </w:pPr>
          </w:p>
          <w:p w:rsidR="0083711E" w:rsidRPr="00D66263" w:rsidRDefault="00400236" w:rsidP="00C36EE6">
            <w:pPr>
              <w:pStyle w:val="DAVA"/>
              <w:rPr>
                <w:rFonts w:cs="Arial"/>
                <w:sz w:val="18"/>
                <w:szCs w:val="18"/>
              </w:rPr>
            </w:pPr>
            <w:hyperlink r:id="rId84" w:history="1">
              <w:r w:rsidR="0083711E" w:rsidRPr="00D66263">
                <w:rPr>
                  <w:rStyle w:val="Hypertextovodkaz"/>
                  <w:rFonts w:cs="Arial"/>
                  <w:sz w:val="18"/>
                  <w:szCs w:val="18"/>
                </w:rPr>
                <w:t>http://www.mfcr.cz/cs/legislativa/metodiky/2014/metodika-financnich-toku-a-kontroly-prog-17121</w:t>
              </w:r>
            </w:hyperlink>
          </w:p>
          <w:p w:rsidR="0083711E" w:rsidRDefault="0083711E" w:rsidP="00C36EE6">
            <w:pPr>
              <w:pStyle w:val="DAVA"/>
              <w:spacing w:before="80" w:after="80"/>
              <w:rPr>
                <w:rFonts w:cs="Arial"/>
                <w:sz w:val="18"/>
                <w:szCs w:val="18"/>
                <w:lang w:val="cs-CZ" w:eastAsia="cs-CZ"/>
              </w:rPr>
            </w:pPr>
          </w:p>
          <w:p w:rsidR="0083711E" w:rsidRPr="00A76D60" w:rsidRDefault="0083711E" w:rsidP="00C36EE6">
            <w:pPr>
              <w:pStyle w:val="DAVA"/>
              <w:spacing w:before="80" w:after="80"/>
              <w:rPr>
                <w:rFonts w:cs="Arial"/>
                <w:sz w:val="18"/>
                <w:szCs w:val="18"/>
                <w:lang w:val="cs-CZ" w:eastAsia="cs-CZ"/>
              </w:rPr>
            </w:pP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514EDC" w:rsidRPr="008D579B" w:rsidRDefault="00514EDC" w:rsidP="00514EDC">
            <w:pPr>
              <w:pStyle w:val="DAVA"/>
              <w:rPr>
                <w:rFonts w:cs="Arial"/>
                <w:sz w:val="18"/>
                <w:szCs w:val="18"/>
                <w:lang w:val="cs-CZ"/>
              </w:rPr>
            </w:pPr>
            <w:r w:rsidRPr="008D579B">
              <w:rPr>
                <w:rFonts w:cs="Arial"/>
                <w:sz w:val="18"/>
                <w:szCs w:val="18"/>
              </w:rPr>
              <w:lastRenderedPageBreak/>
              <w:t xml:space="preserve">V rámci MMR zpracovává legislativní i nelegislativní opatření Odbor práva veřejných zakázek a koncesí. Tento je gestorem (zpracovatelem) zákona o veřejných zakázkách a jeho prováděcích předpisů, k tomuto zákonu poskytuje metodikou podporu pro všechny adresáty tohoto zákona a jeho prováděcích předpisů. V rámci tohoto odboru dále působí oddělení, které zpracovává Metodický pokyn pro oblast zadávání zakázek pro programové období 2014 - 2020  a poskytuje metodickou a konzultační podporu pro adresáty tohoto pokynu (Řídící orgány, ostatní subjekty implementační struktury a příjemce – zadavatele). </w:t>
            </w:r>
          </w:p>
          <w:p w:rsidR="00514EDC" w:rsidRPr="008D579B" w:rsidRDefault="00514EDC" w:rsidP="00514EDC">
            <w:pPr>
              <w:pStyle w:val="DAVA"/>
              <w:rPr>
                <w:rFonts w:cs="Arial"/>
                <w:sz w:val="18"/>
                <w:szCs w:val="18"/>
              </w:rPr>
            </w:pPr>
            <w:r w:rsidRPr="008D579B">
              <w:rPr>
                <w:rFonts w:cs="Arial"/>
                <w:sz w:val="18"/>
                <w:szCs w:val="18"/>
              </w:rPr>
              <w:t>LEGISLATIVNÍ OPATŘENÍ:</w:t>
            </w:r>
          </w:p>
          <w:p w:rsidR="00514EDC" w:rsidRPr="008D579B" w:rsidRDefault="00514EDC" w:rsidP="00514EDC">
            <w:pPr>
              <w:pStyle w:val="DAVA"/>
              <w:spacing w:before="80" w:after="80"/>
              <w:rPr>
                <w:rFonts w:cs="Arial"/>
                <w:sz w:val="18"/>
                <w:szCs w:val="18"/>
                <w:lang w:val="cs-CZ"/>
              </w:rPr>
            </w:pPr>
            <w:r w:rsidRPr="008D579B">
              <w:rPr>
                <w:rFonts w:cs="Arial"/>
                <w:sz w:val="18"/>
                <w:szCs w:val="18"/>
                <w:lang w:val="cs-CZ"/>
              </w:rPr>
              <w:t>P</w:t>
            </w:r>
            <w:proofErr w:type="spellStart"/>
            <w:r w:rsidRPr="008D579B">
              <w:rPr>
                <w:rFonts w:cs="Arial"/>
                <w:sz w:val="18"/>
                <w:szCs w:val="18"/>
              </w:rPr>
              <w:t>řevzata</w:t>
            </w:r>
            <w:proofErr w:type="spellEnd"/>
            <w:r w:rsidRPr="008D579B">
              <w:rPr>
                <w:rFonts w:cs="Arial"/>
                <w:sz w:val="18"/>
                <w:szCs w:val="18"/>
              </w:rPr>
              <w:t xml:space="preserve"> právní úprava</w:t>
            </w:r>
            <w:r w:rsidRPr="008D579B">
              <w:rPr>
                <w:rFonts w:cs="Arial"/>
                <w:sz w:val="18"/>
                <w:szCs w:val="18"/>
                <w:lang w:val="cs-CZ"/>
              </w:rPr>
              <w:t xml:space="preserve"> EU</w:t>
            </w:r>
            <w:r w:rsidRPr="008D579B">
              <w:rPr>
                <w:rFonts w:cs="Arial"/>
                <w:sz w:val="18"/>
                <w:szCs w:val="18"/>
              </w:rPr>
              <w:t xml:space="preserve"> do národní legislativy - viz zákon č. 137/2006 Sb., o veřejných zakázkách,</w:t>
            </w:r>
            <w:r w:rsidRPr="008D579B">
              <w:rPr>
                <w:rFonts w:cs="Arial"/>
                <w:sz w:val="18"/>
                <w:szCs w:val="18"/>
                <w:lang w:val="cs-CZ"/>
              </w:rPr>
              <w:t xml:space="preserve"> (dále také jen „ZVZ“),</w:t>
            </w:r>
            <w:r w:rsidRPr="008D579B">
              <w:rPr>
                <w:rFonts w:cs="Arial"/>
                <w:sz w:val="18"/>
                <w:szCs w:val="18"/>
              </w:rPr>
              <w:t xml:space="preserve"> a zákon č. 139/2006 Sb., o koncesních smlouvách a koncesním řízení (koncesní zákon), oba ve znění pozdějších předpisů</w:t>
            </w:r>
            <w:r w:rsidRPr="008D579B">
              <w:rPr>
                <w:rFonts w:cs="Arial"/>
                <w:sz w:val="18"/>
                <w:szCs w:val="18"/>
                <w:lang w:val="cs-CZ"/>
              </w:rPr>
              <w:t>.</w:t>
            </w:r>
            <w:r w:rsidRPr="008D579B">
              <w:rPr>
                <w:rFonts w:cs="Arial"/>
                <w:sz w:val="18"/>
                <w:szCs w:val="18"/>
              </w:rPr>
              <w:t xml:space="preserve"> </w:t>
            </w:r>
            <w:r w:rsidRPr="008D579B">
              <w:rPr>
                <w:rFonts w:cs="Arial"/>
                <w:sz w:val="18"/>
                <w:szCs w:val="18"/>
                <w:lang w:val="cs-CZ"/>
              </w:rPr>
              <w:t>Od podzimu r. 2013 velmi intenzivně probíhá příprava zcela nového zákona o veřejných zakázkách (NZVZ) za účelem provedení přenesení obsahu tři nových směrnic Evropského parlamentu a Rady 2014/23/EU, 2014/24/EU a 2014/25/EU do právního řádu ČR. Nad přípravou NZVZ probíhají odpovídající odborné diskuze. V</w:t>
            </w:r>
            <w:proofErr w:type="spellStart"/>
            <w:r w:rsidRPr="008D579B">
              <w:rPr>
                <w:rFonts w:cs="Arial"/>
                <w:color w:val="231F20"/>
                <w:sz w:val="18"/>
                <w:szCs w:val="18"/>
              </w:rPr>
              <w:t>ěcná</w:t>
            </w:r>
            <w:proofErr w:type="spellEnd"/>
            <w:r w:rsidRPr="008D579B">
              <w:rPr>
                <w:rFonts w:cs="Arial"/>
                <w:color w:val="231F20"/>
                <w:sz w:val="18"/>
                <w:szCs w:val="18"/>
              </w:rPr>
              <w:t xml:space="preserve"> debata nad obsahem nových zadávacích směrnic a způsobem jejich transpozice do vnitrostátního právního řádu</w:t>
            </w:r>
            <w:r w:rsidRPr="008D579B">
              <w:rPr>
                <w:rFonts w:cs="Arial"/>
                <w:color w:val="231F20"/>
                <w:sz w:val="18"/>
                <w:szCs w:val="18"/>
                <w:lang w:val="cs-CZ"/>
              </w:rPr>
              <w:t xml:space="preserve"> probíhá v rámci jednání Kolegia pro veřejné investování, které ustavila ministryně pro místní rozvoj. </w:t>
            </w:r>
          </w:p>
          <w:p w:rsidR="00514EDC" w:rsidRPr="008D579B" w:rsidRDefault="00514EDC" w:rsidP="00514EDC">
            <w:pPr>
              <w:pStyle w:val="DAVA"/>
              <w:spacing w:before="80" w:after="80"/>
              <w:rPr>
                <w:rFonts w:cs="Arial"/>
                <w:sz w:val="18"/>
                <w:szCs w:val="18"/>
                <w:lang w:val="cs-CZ"/>
              </w:rPr>
            </w:pPr>
            <w:r w:rsidRPr="008D579B">
              <w:rPr>
                <w:rFonts w:cs="Arial"/>
                <w:sz w:val="18"/>
                <w:szCs w:val="18"/>
                <w:lang w:val="cs-CZ"/>
              </w:rPr>
              <w:t>P</w:t>
            </w:r>
            <w:proofErr w:type="spellStart"/>
            <w:r w:rsidRPr="008D579B">
              <w:rPr>
                <w:rFonts w:cs="Arial"/>
                <w:sz w:val="18"/>
                <w:szCs w:val="18"/>
              </w:rPr>
              <w:t>řijata</w:t>
            </w:r>
            <w:proofErr w:type="spellEnd"/>
            <w:r w:rsidRPr="008D579B">
              <w:rPr>
                <w:rFonts w:cs="Arial"/>
                <w:sz w:val="18"/>
                <w:szCs w:val="18"/>
              </w:rPr>
              <w:t xml:space="preserve"> novela zákona o veřejných zakázkách (zákon č. 55/2012 Sb.), </w:t>
            </w:r>
            <w:r w:rsidRPr="008D579B">
              <w:rPr>
                <w:rFonts w:cs="Arial"/>
                <w:sz w:val="18"/>
                <w:szCs w:val="18"/>
                <w:lang w:val="cs-CZ"/>
              </w:rPr>
              <w:t>s účinností od 1. 4. 2012.</w:t>
            </w:r>
            <w:r w:rsidRPr="008D579B">
              <w:rPr>
                <w:rFonts w:cs="Arial"/>
                <w:sz w:val="18"/>
                <w:szCs w:val="18"/>
              </w:rPr>
              <w:t xml:space="preserve">, </w:t>
            </w:r>
          </w:p>
          <w:p w:rsidR="00514EDC" w:rsidRPr="008D579B" w:rsidRDefault="00514EDC" w:rsidP="00514EDC">
            <w:pPr>
              <w:pStyle w:val="DAVA"/>
              <w:spacing w:before="80" w:after="80"/>
              <w:rPr>
                <w:rFonts w:cs="Arial"/>
                <w:sz w:val="18"/>
                <w:szCs w:val="18"/>
                <w:lang w:val="cs-CZ"/>
              </w:rPr>
            </w:pPr>
            <w:r w:rsidRPr="008D579B">
              <w:rPr>
                <w:rFonts w:cs="Arial"/>
                <w:sz w:val="18"/>
                <w:szCs w:val="18"/>
              </w:rPr>
              <w:t>byly přijaty prováděcí právní předpisy k zákonu o veřejných zakázkách (vyhlášky č. 230/2012 Sb., 231/2012 Sb., 232/2012 Sb., 133/2012 Sb.)</w:t>
            </w:r>
            <w:r w:rsidRPr="008D579B">
              <w:rPr>
                <w:rFonts w:cs="Arial"/>
                <w:sz w:val="18"/>
                <w:szCs w:val="18"/>
                <w:lang w:val="cs-CZ"/>
              </w:rPr>
              <w:t>.</w:t>
            </w:r>
          </w:p>
          <w:p w:rsidR="00514EDC" w:rsidRPr="008D579B" w:rsidRDefault="00514EDC" w:rsidP="00514EDC">
            <w:pPr>
              <w:pStyle w:val="DAVA"/>
              <w:spacing w:before="80" w:after="80"/>
              <w:rPr>
                <w:rFonts w:cs="Arial"/>
                <w:sz w:val="18"/>
                <w:szCs w:val="18"/>
                <w:lang w:val="cs-CZ"/>
              </w:rPr>
            </w:pPr>
            <w:r w:rsidRPr="008D579B">
              <w:rPr>
                <w:rFonts w:cs="Arial"/>
                <w:sz w:val="18"/>
                <w:szCs w:val="18"/>
                <w:lang w:val="cs-CZ"/>
              </w:rPr>
              <w:lastRenderedPageBreak/>
              <w:t>P</w:t>
            </w:r>
            <w:proofErr w:type="spellStart"/>
            <w:r w:rsidRPr="008D579B">
              <w:rPr>
                <w:rFonts w:cs="Arial"/>
                <w:sz w:val="18"/>
                <w:szCs w:val="18"/>
              </w:rPr>
              <w:t>ři</w:t>
            </w:r>
            <w:r w:rsidRPr="008D579B">
              <w:rPr>
                <w:rFonts w:cs="Arial"/>
                <w:sz w:val="18"/>
                <w:szCs w:val="18"/>
                <w:lang w:val="cs-CZ"/>
              </w:rPr>
              <w:t>jato</w:t>
            </w:r>
            <w:proofErr w:type="spellEnd"/>
            <w:r w:rsidRPr="008D579B">
              <w:rPr>
                <w:rFonts w:cs="Arial"/>
                <w:sz w:val="18"/>
                <w:szCs w:val="18"/>
              </w:rPr>
              <w:t xml:space="preserve"> zákonné opatření senátu č. 341/2013 Sb. .</w:t>
            </w:r>
            <w:r w:rsidRPr="008D579B">
              <w:rPr>
                <w:rFonts w:cs="Arial"/>
                <w:sz w:val="18"/>
                <w:szCs w:val="18"/>
                <w:lang w:val="cs-CZ"/>
              </w:rPr>
              <w:t>, s účinností od. 1. 1. 2014.</w:t>
            </w:r>
          </w:p>
          <w:p w:rsidR="00514EDC" w:rsidRPr="008D579B" w:rsidRDefault="00514EDC" w:rsidP="00514EDC">
            <w:pPr>
              <w:pStyle w:val="DAVA"/>
              <w:spacing w:before="80" w:after="80"/>
              <w:jc w:val="both"/>
              <w:rPr>
                <w:rFonts w:cs="Arial"/>
                <w:sz w:val="18"/>
                <w:szCs w:val="18"/>
                <w:lang w:val="cs-CZ"/>
              </w:rPr>
            </w:pPr>
            <w:r w:rsidRPr="008D579B">
              <w:rPr>
                <w:rFonts w:cs="Arial"/>
                <w:sz w:val="18"/>
                <w:szCs w:val="18"/>
              </w:rPr>
              <w:t>Gestor ZVZ připravil ve spolupráci s ÚOHS dílčí novelu ZVZ s navrhovanou účinností k 1. 1. 2015. Vláda ČR na svém jednání 3. září 2014 schválila návrh novely ZVZ a předložila jej k projednání poslanecké sněmovně. Návrh zákona byl rozeslán poslancům jako tisk 300/0 dne 3. 9. 2014.</w:t>
            </w:r>
          </w:p>
          <w:p w:rsidR="00514EDC" w:rsidRPr="008D579B" w:rsidRDefault="00514EDC" w:rsidP="00514EDC">
            <w:pPr>
              <w:pStyle w:val="DAVA"/>
              <w:spacing w:before="80" w:after="80"/>
              <w:rPr>
                <w:rFonts w:cs="Arial"/>
                <w:sz w:val="18"/>
                <w:szCs w:val="18"/>
                <w:lang w:val="cs-CZ"/>
              </w:rPr>
            </w:pPr>
            <w:r w:rsidRPr="008D579B">
              <w:rPr>
                <w:rFonts w:cs="Arial"/>
                <w:sz w:val="18"/>
                <w:szCs w:val="18"/>
                <w:lang w:val="cs-CZ"/>
              </w:rPr>
              <w:t>P</w:t>
            </w:r>
            <w:proofErr w:type="spellStart"/>
            <w:r w:rsidRPr="008D579B">
              <w:rPr>
                <w:rFonts w:cs="Arial"/>
                <w:sz w:val="18"/>
                <w:szCs w:val="18"/>
              </w:rPr>
              <w:t>růběžně</w:t>
            </w:r>
            <w:proofErr w:type="spellEnd"/>
            <w:r w:rsidRPr="008D579B">
              <w:rPr>
                <w:rFonts w:cs="Arial"/>
                <w:sz w:val="18"/>
                <w:szCs w:val="18"/>
              </w:rPr>
              <w:t xml:space="preserve"> jsou identifikována pravidla, která jsou v praxi velmi komplikovaně aplikovatelná (vyhodnocování účinných novel zákona o veřejných zakázkách).</w:t>
            </w:r>
          </w:p>
          <w:p w:rsidR="00514EDC" w:rsidRPr="008D579B" w:rsidRDefault="00514EDC" w:rsidP="00514EDC">
            <w:pPr>
              <w:pStyle w:val="DAVA"/>
              <w:rPr>
                <w:rFonts w:cs="Arial"/>
                <w:sz w:val="18"/>
                <w:szCs w:val="18"/>
                <w:lang w:val="cs-CZ"/>
              </w:rPr>
            </w:pPr>
            <w:r w:rsidRPr="008D579B">
              <w:rPr>
                <w:rFonts w:cs="Arial"/>
                <w:sz w:val="18"/>
                <w:szCs w:val="18"/>
              </w:rPr>
              <w:t>Stěžejním legislativním opatřením bylo přijetí výše uvedeného zákona č. 55/2012 Sb., jež s účinností od 1. 4. 2012 zavedl do českého právního řádu opatření směřující k zásadnímu zlepšení situace zadávání veřejných zakázek. Tento předpis reagoval na celou řadu problematických aspektů dosavadní právní úpravy. Zároveň jím byly zavedeny některé instituty a principy, které obsahuje směrnice Evropského parlamentu a Rady 2014/24/EU. Tímto legislativním opatřením došlo:</w:t>
            </w:r>
          </w:p>
          <w:p w:rsidR="00514EDC" w:rsidRPr="008D579B" w:rsidRDefault="00514EDC" w:rsidP="00514EDC">
            <w:pPr>
              <w:pStyle w:val="DAVA"/>
              <w:numPr>
                <w:ilvl w:val="0"/>
                <w:numId w:val="40"/>
              </w:numPr>
              <w:rPr>
                <w:rFonts w:cs="Arial"/>
                <w:sz w:val="18"/>
                <w:szCs w:val="18"/>
              </w:rPr>
            </w:pPr>
            <w:r w:rsidRPr="008D579B">
              <w:rPr>
                <w:rFonts w:cs="Arial"/>
                <w:sz w:val="18"/>
                <w:szCs w:val="18"/>
              </w:rPr>
              <w:t xml:space="preserve">ke zvýšení transparentnosti zadávacího řízení a posílení zásady rovného zacházení, protože bylo zavedeno povinné uveřejňování textové části zadávacích podmínek na profilu zadavatele, </w:t>
            </w:r>
          </w:p>
          <w:p w:rsidR="00514EDC" w:rsidRPr="008D579B" w:rsidRDefault="00514EDC" w:rsidP="00514EDC">
            <w:pPr>
              <w:pStyle w:val="DAVA"/>
              <w:numPr>
                <w:ilvl w:val="0"/>
                <w:numId w:val="40"/>
              </w:numPr>
              <w:rPr>
                <w:rFonts w:cs="Arial"/>
                <w:sz w:val="18"/>
                <w:szCs w:val="18"/>
              </w:rPr>
            </w:pPr>
            <w:r w:rsidRPr="008D579B">
              <w:rPr>
                <w:rFonts w:cs="Arial"/>
                <w:sz w:val="18"/>
                <w:szCs w:val="18"/>
              </w:rPr>
              <w:t>k explicitnímu zavedení principu proporcionality, v případě veřejných zakázek na stavební práce může zadavatel požadovat jednotlivé referenční zakázky pouze ve finančním objemu 50 % předpokládané hodnoty zadávané zakázky,</w:t>
            </w:r>
          </w:p>
          <w:p w:rsidR="00514EDC" w:rsidRPr="008D579B" w:rsidRDefault="00514EDC" w:rsidP="00514EDC">
            <w:pPr>
              <w:pStyle w:val="DAVA"/>
              <w:numPr>
                <w:ilvl w:val="0"/>
                <w:numId w:val="40"/>
              </w:numPr>
              <w:rPr>
                <w:rFonts w:cs="Arial"/>
                <w:sz w:val="18"/>
                <w:szCs w:val="18"/>
              </w:rPr>
            </w:pPr>
            <w:r w:rsidRPr="008D579B">
              <w:rPr>
                <w:rFonts w:cs="Arial"/>
                <w:sz w:val="18"/>
                <w:szCs w:val="18"/>
              </w:rPr>
              <w:t>k zákazu diskriminace uchazečů prostřednictvím nesmyslně nastavených ekonomických kvalifikačních předpokladů (pojištění odpovědnosti za škodu může zadavatel požadovat až po vybraném uchazeči),</w:t>
            </w:r>
          </w:p>
          <w:p w:rsidR="00514EDC" w:rsidRPr="008D579B" w:rsidRDefault="00514EDC" w:rsidP="00514EDC">
            <w:pPr>
              <w:pStyle w:val="DAVA"/>
              <w:numPr>
                <w:ilvl w:val="0"/>
                <w:numId w:val="40"/>
              </w:numPr>
              <w:rPr>
                <w:rFonts w:cs="Arial"/>
                <w:sz w:val="18"/>
                <w:szCs w:val="18"/>
              </w:rPr>
            </w:pPr>
            <w:r w:rsidRPr="008D579B">
              <w:rPr>
                <w:rFonts w:cs="Arial"/>
                <w:sz w:val="18"/>
                <w:szCs w:val="18"/>
              </w:rPr>
              <w:t>(i s ohledem na kontrolní zjištění v rámci zakázek financovaných z EU fondů) bylo explicitně zakázáno použití smluvních sankcí jako hodnotících kritérií,</w:t>
            </w:r>
          </w:p>
          <w:p w:rsidR="00514EDC" w:rsidRPr="008D579B" w:rsidRDefault="00514EDC" w:rsidP="00514EDC">
            <w:pPr>
              <w:pStyle w:val="DAVA"/>
              <w:numPr>
                <w:ilvl w:val="0"/>
                <w:numId w:val="40"/>
              </w:numPr>
              <w:rPr>
                <w:rFonts w:cs="Arial"/>
                <w:sz w:val="18"/>
                <w:szCs w:val="18"/>
              </w:rPr>
            </w:pPr>
            <w:r w:rsidRPr="008D579B">
              <w:rPr>
                <w:rFonts w:cs="Arial"/>
                <w:sz w:val="18"/>
                <w:szCs w:val="18"/>
              </w:rPr>
              <w:t xml:space="preserve">k obligatornímu zavedení povinnosti uveřejnit předběžné oznámení alespoň 30 dní před zahájením zadávacího řízení u všech nadlimitních veřejných zakázek a většiny podlimitních </w:t>
            </w:r>
            <w:r w:rsidRPr="008D579B">
              <w:rPr>
                <w:rFonts w:cs="Arial"/>
                <w:sz w:val="18"/>
                <w:szCs w:val="18"/>
                <w:lang w:val="cs-CZ"/>
              </w:rPr>
              <w:t>zadávacích řízení</w:t>
            </w:r>
            <w:r w:rsidRPr="008D579B">
              <w:rPr>
                <w:rFonts w:cs="Arial"/>
                <w:sz w:val="18"/>
                <w:szCs w:val="18"/>
              </w:rPr>
              <w:t>,</w:t>
            </w:r>
          </w:p>
          <w:p w:rsidR="00514EDC" w:rsidRPr="008D579B" w:rsidRDefault="00514EDC" w:rsidP="00514EDC">
            <w:pPr>
              <w:pStyle w:val="DAVA"/>
              <w:numPr>
                <w:ilvl w:val="0"/>
                <w:numId w:val="40"/>
              </w:numPr>
              <w:rPr>
                <w:rFonts w:cs="Arial"/>
                <w:sz w:val="18"/>
                <w:szCs w:val="18"/>
              </w:rPr>
            </w:pPr>
            <w:r w:rsidRPr="008D579B">
              <w:rPr>
                <w:rFonts w:cs="Arial"/>
                <w:sz w:val="18"/>
                <w:szCs w:val="18"/>
              </w:rPr>
              <w:t>k zaveden</w:t>
            </w:r>
            <w:r w:rsidRPr="008D579B">
              <w:rPr>
                <w:rFonts w:cs="Arial"/>
                <w:sz w:val="18"/>
                <w:szCs w:val="18"/>
                <w:lang w:val="cs-CZ"/>
              </w:rPr>
              <w:t>í</w:t>
            </w:r>
            <w:r w:rsidRPr="008D579B">
              <w:rPr>
                <w:rFonts w:cs="Arial"/>
                <w:sz w:val="18"/>
                <w:szCs w:val="18"/>
              </w:rPr>
              <w:t xml:space="preserve"> povinnosti uveřejnit odůvodnění účelnosti veřejné zakázky,</w:t>
            </w:r>
          </w:p>
          <w:p w:rsidR="00514EDC" w:rsidRPr="008D579B" w:rsidRDefault="00514EDC" w:rsidP="00514EDC">
            <w:pPr>
              <w:pStyle w:val="DAVA"/>
              <w:numPr>
                <w:ilvl w:val="0"/>
                <w:numId w:val="40"/>
              </w:numPr>
              <w:rPr>
                <w:rFonts w:cs="Arial"/>
                <w:sz w:val="18"/>
                <w:szCs w:val="18"/>
              </w:rPr>
            </w:pPr>
            <w:r w:rsidRPr="008D579B">
              <w:rPr>
                <w:rFonts w:cs="Arial"/>
                <w:sz w:val="18"/>
                <w:szCs w:val="18"/>
              </w:rPr>
              <w:t xml:space="preserve">k zavedení povinnosti uveřejnit uzavřenou smlouvu, včetně případných změn a dodatků, skutečně uhrazenou cenu a seznamu subdodavatelů, který dodavatel uhradil více než 10 % smluvní ceny </w:t>
            </w:r>
          </w:p>
          <w:p w:rsidR="00514EDC" w:rsidRPr="008D579B" w:rsidRDefault="00514EDC" w:rsidP="00514EDC">
            <w:pPr>
              <w:pStyle w:val="DAVA"/>
              <w:numPr>
                <w:ilvl w:val="0"/>
                <w:numId w:val="40"/>
              </w:numPr>
              <w:rPr>
                <w:rFonts w:cs="Arial"/>
                <w:sz w:val="18"/>
                <w:szCs w:val="18"/>
              </w:rPr>
            </w:pPr>
            <w:r w:rsidRPr="008D579B">
              <w:rPr>
                <w:rFonts w:cs="Arial"/>
                <w:sz w:val="18"/>
                <w:szCs w:val="18"/>
              </w:rPr>
              <w:lastRenderedPageBreak/>
              <w:t>k zavedení nové kategorie veřejných zakázek, tzv. významná veřejná zakázka, tyto zakázky mají lhůty k podání nabídek a případně žádostí o účast prodlouženy o polovinu standardních minimálních lhůt,</w:t>
            </w:r>
          </w:p>
          <w:p w:rsidR="00514EDC" w:rsidRPr="008D579B" w:rsidRDefault="00514EDC" w:rsidP="00514EDC">
            <w:pPr>
              <w:pStyle w:val="DAVA"/>
              <w:numPr>
                <w:ilvl w:val="0"/>
                <w:numId w:val="40"/>
              </w:numPr>
              <w:rPr>
                <w:rFonts w:cs="Arial"/>
                <w:sz w:val="18"/>
                <w:szCs w:val="18"/>
              </w:rPr>
            </w:pPr>
            <w:r w:rsidRPr="008D579B">
              <w:rPr>
                <w:rFonts w:cs="Arial"/>
                <w:sz w:val="18"/>
                <w:szCs w:val="18"/>
              </w:rPr>
              <w:t>k posílení elektronizace veřejných zakázek povinným používáním internetových profilů zadavatele,</w:t>
            </w:r>
          </w:p>
          <w:p w:rsidR="00514EDC" w:rsidRPr="008D579B" w:rsidRDefault="00514EDC" w:rsidP="00514EDC">
            <w:pPr>
              <w:pStyle w:val="DAVA"/>
              <w:numPr>
                <w:ilvl w:val="0"/>
                <w:numId w:val="40"/>
              </w:numPr>
              <w:rPr>
                <w:rFonts w:cs="Arial"/>
                <w:sz w:val="18"/>
                <w:szCs w:val="18"/>
              </w:rPr>
            </w:pPr>
            <w:r w:rsidRPr="008D579B">
              <w:rPr>
                <w:rFonts w:cs="Arial"/>
                <w:sz w:val="18"/>
                <w:szCs w:val="18"/>
              </w:rPr>
              <w:t>k zavedení povinnosti zrušit zadávací řízení v případě, kdy je podána nebo k hodnocení zbyde jen jedna nabídka (vyjma specifických případů – např. JŘBU z důvodu jedinečnosti),</w:t>
            </w:r>
          </w:p>
          <w:p w:rsidR="00514EDC" w:rsidRPr="008D579B" w:rsidRDefault="00514EDC" w:rsidP="00514EDC">
            <w:pPr>
              <w:pStyle w:val="DAVA"/>
              <w:numPr>
                <w:ilvl w:val="0"/>
                <w:numId w:val="40"/>
              </w:numPr>
              <w:rPr>
                <w:rFonts w:cs="Arial"/>
                <w:sz w:val="18"/>
                <w:szCs w:val="18"/>
              </w:rPr>
            </w:pPr>
            <w:r w:rsidRPr="008D579B">
              <w:rPr>
                <w:rFonts w:cs="Arial"/>
                <w:sz w:val="18"/>
                <w:szCs w:val="18"/>
              </w:rPr>
              <w:t>k definování zakázané podstatné změny smlouvy, podle relevantní judikatury Soudního dvora EU</w:t>
            </w:r>
            <w:r w:rsidRPr="008D579B">
              <w:rPr>
                <w:rFonts w:cs="Arial"/>
                <w:sz w:val="18"/>
                <w:szCs w:val="18"/>
                <w:lang w:val="cs-CZ"/>
              </w:rPr>
              <w:t>,</w:t>
            </w:r>
          </w:p>
          <w:p w:rsidR="00514EDC" w:rsidRPr="008D579B" w:rsidRDefault="00514EDC" w:rsidP="00514EDC">
            <w:pPr>
              <w:pStyle w:val="DAVA"/>
              <w:numPr>
                <w:ilvl w:val="0"/>
                <w:numId w:val="40"/>
              </w:numPr>
              <w:rPr>
                <w:rFonts w:cs="Arial"/>
                <w:sz w:val="18"/>
                <w:szCs w:val="18"/>
              </w:rPr>
            </w:pPr>
            <w:r w:rsidRPr="008D579B">
              <w:rPr>
                <w:rFonts w:cs="Arial"/>
                <w:sz w:val="18"/>
                <w:szCs w:val="18"/>
                <w:lang w:val="cs-CZ"/>
              </w:rPr>
              <w:t>k zavedení povinnosti uveřejnit text uzavřené smlouvy na plnění veřejné zakázky, jejichž přesahuje 500 000,- Kč do 15 dní od jejího uzavření,</w:t>
            </w:r>
          </w:p>
          <w:p w:rsidR="00514EDC" w:rsidRPr="008D579B" w:rsidRDefault="00514EDC" w:rsidP="00514EDC">
            <w:pPr>
              <w:pStyle w:val="DAVA"/>
              <w:numPr>
                <w:ilvl w:val="0"/>
                <w:numId w:val="40"/>
              </w:numPr>
              <w:rPr>
                <w:rFonts w:cs="Arial"/>
                <w:sz w:val="18"/>
                <w:szCs w:val="18"/>
              </w:rPr>
            </w:pPr>
            <w:r w:rsidRPr="008D579B">
              <w:rPr>
                <w:rFonts w:cs="Arial"/>
                <w:sz w:val="18"/>
                <w:szCs w:val="18"/>
                <w:lang w:val="cs-CZ"/>
              </w:rPr>
              <w:t>za nesplnění povinnosti uveřejnit smlouvu hrozí zadavateli pokuta až do výše 20 000 000,- Kč,</w:t>
            </w:r>
          </w:p>
          <w:p w:rsidR="00514EDC" w:rsidRPr="008D579B" w:rsidRDefault="00514EDC" w:rsidP="00514EDC">
            <w:pPr>
              <w:pStyle w:val="DAVA"/>
              <w:numPr>
                <w:ilvl w:val="0"/>
                <w:numId w:val="40"/>
              </w:numPr>
              <w:rPr>
                <w:rFonts w:cs="Arial"/>
                <w:sz w:val="18"/>
                <w:szCs w:val="18"/>
              </w:rPr>
            </w:pPr>
            <w:r w:rsidRPr="008D579B">
              <w:rPr>
                <w:rFonts w:cs="Arial"/>
                <w:sz w:val="18"/>
                <w:szCs w:val="18"/>
                <w:lang w:val="cs-CZ"/>
              </w:rPr>
              <w:t>zkrácení lhůty pro uveřejnění Oznámení o zadání zakázky (uveřejňuje se ve Věstníku veřejných zakázek a v případě nadlimitních veřejných zakázek ještě v TED) na 15 dní (ve směrnici EU je lhůta 60 dní)</w:t>
            </w:r>
            <w:r w:rsidRPr="008D579B">
              <w:rPr>
                <w:rFonts w:cs="Arial"/>
                <w:sz w:val="18"/>
                <w:szCs w:val="18"/>
              </w:rPr>
              <w:t xml:space="preserve">. </w:t>
            </w:r>
          </w:p>
          <w:p w:rsidR="00514EDC" w:rsidRPr="008D579B" w:rsidRDefault="00514EDC" w:rsidP="00514EDC">
            <w:pPr>
              <w:pStyle w:val="DAVA"/>
              <w:spacing w:before="80" w:after="80"/>
              <w:rPr>
                <w:rFonts w:cs="Arial"/>
                <w:sz w:val="18"/>
                <w:szCs w:val="18"/>
                <w:lang w:val="cs-CZ"/>
              </w:rPr>
            </w:pPr>
            <w:r w:rsidRPr="008D579B">
              <w:rPr>
                <w:rFonts w:cs="Arial"/>
                <w:sz w:val="18"/>
                <w:szCs w:val="18"/>
                <w:lang w:val="cs-CZ"/>
              </w:rPr>
              <w:t>S účinností k 6. 3, 2015 byl přijat zákon č. 40/2015 Sb., (t</w:t>
            </w:r>
            <w:r w:rsidRPr="008D579B">
              <w:rPr>
                <w:rFonts w:cs="Arial"/>
                <w:sz w:val="18"/>
                <w:szCs w:val="18"/>
                <w:lang w:val="cs-CZ" w:eastAsia="cs-CZ"/>
              </w:rPr>
              <w:t>echnická novela ZVZ), který upravuje řízení před UOHS. Předmětem úpravy je povinnost účastníků řízení předkládat veškeré návrhy a důkazní prostředky co nejdříve, nejpozději do 15 dnů od zahájení řízení. Navrhovatel má povinnost připojit veškeré důkazy již k návrhu na zahájení řízení. Toto opatření zkrátí délku řízení před UOHS, protože neumožňuje „umělé“ zdržování řízení zasíláním dokladů po částech. Zároveň byla zpřesněna ustanovení upravující výši a úhradu kauce, aby byly eliminovány neopodstatněné (</w:t>
            </w:r>
            <w:proofErr w:type="spellStart"/>
            <w:r w:rsidRPr="008D579B">
              <w:rPr>
                <w:rFonts w:cs="Arial"/>
                <w:sz w:val="18"/>
                <w:szCs w:val="18"/>
                <w:lang w:val="cs-CZ" w:eastAsia="cs-CZ"/>
              </w:rPr>
              <w:t>šikanózní</w:t>
            </w:r>
            <w:proofErr w:type="spellEnd"/>
            <w:r w:rsidRPr="008D579B">
              <w:rPr>
                <w:rFonts w:cs="Arial"/>
                <w:sz w:val="18"/>
                <w:szCs w:val="18"/>
                <w:lang w:val="cs-CZ" w:eastAsia="cs-CZ"/>
              </w:rPr>
              <w:t>) návrhy, které taktéž UOHS zbytečně zatěžovaly.</w:t>
            </w:r>
          </w:p>
          <w:p w:rsidR="00514EDC" w:rsidRPr="008D579B" w:rsidRDefault="00514EDC" w:rsidP="00514EDC">
            <w:pPr>
              <w:pStyle w:val="DAVA"/>
              <w:rPr>
                <w:rFonts w:cs="Arial"/>
                <w:sz w:val="18"/>
                <w:szCs w:val="18"/>
                <w:lang w:val="cs-CZ"/>
              </w:rPr>
            </w:pPr>
          </w:p>
          <w:p w:rsidR="00514EDC" w:rsidRPr="008D579B" w:rsidRDefault="00514EDC" w:rsidP="00514EDC">
            <w:pPr>
              <w:pStyle w:val="DAVA"/>
              <w:rPr>
                <w:rFonts w:cs="Arial"/>
                <w:sz w:val="18"/>
                <w:szCs w:val="18"/>
                <w:lang w:val="cs-CZ"/>
              </w:rPr>
            </w:pPr>
            <w:r w:rsidRPr="008D579B">
              <w:rPr>
                <w:rFonts w:cs="Arial"/>
                <w:sz w:val="18"/>
                <w:szCs w:val="18"/>
                <w:lang w:val="cs-CZ"/>
              </w:rPr>
              <w:t>NELEGISLATIVNÍ OPATŘENÍ:</w:t>
            </w:r>
          </w:p>
          <w:p w:rsidR="00514EDC" w:rsidRPr="008D579B" w:rsidRDefault="00514EDC" w:rsidP="00514EDC">
            <w:pPr>
              <w:pStyle w:val="DAVA"/>
              <w:numPr>
                <w:ilvl w:val="0"/>
                <w:numId w:val="66"/>
              </w:numPr>
              <w:spacing w:before="80" w:after="80"/>
              <w:rPr>
                <w:rFonts w:cs="Arial"/>
                <w:sz w:val="18"/>
                <w:szCs w:val="18"/>
                <w:lang w:val="cs-CZ"/>
              </w:rPr>
            </w:pPr>
            <w:r w:rsidRPr="008D579B">
              <w:rPr>
                <w:rFonts w:cs="Arial"/>
                <w:sz w:val="18"/>
                <w:szCs w:val="18"/>
                <w:lang w:val="cs-CZ"/>
              </w:rPr>
              <w:t>B</w:t>
            </w:r>
            <w:proofErr w:type="spellStart"/>
            <w:r w:rsidRPr="008D579B">
              <w:rPr>
                <w:rFonts w:cs="Arial"/>
                <w:sz w:val="18"/>
                <w:szCs w:val="18"/>
              </w:rPr>
              <w:t>yl</w:t>
            </w:r>
            <w:proofErr w:type="spellEnd"/>
            <w:r w:rsidRPr="008D579B">
              <w:rPr>
                <w:rFonts w:cs="Arial"/>
                <w:sz w:val="18"/>
                <w:szCs w:val="18"/>
              </w:rPr>
              <w:t xml:space="preserve"> vytvořen a uveřejněn katalog vzorových zadávacích dokumentací</w:t>
            </w:r>
            <w:r w:rsidRPr="008D579B">
              <w:rPr>
                <w:rFonts w:cs="Arial"/>
                <w:sz w:val="18"/>
                <w:szCs w:val="18"/>
                <w:lang w:val="cs-CZ"/>
              </w:rPr>
              <w:t>.</w:t>
            </w:r>
            <w:r w:rsidRPr="008D579B">
              <w:t xml:space="preserve"> </w:t>
            </w:r>
            <w:r w:rsidRPr="008D579B">
              <w:rPr>
                <w:rFonts w:cs="Arial"/>
                <w:sz w:val="18"/>
                <w:szCs w:val="18"/>
                <w:lang w:val="cs-CZ"/>
              </w:rPr>
              <w:t>Je uveřejněn na Portálu o veřejných zakázkách a koncesích (viz sloupec vlevo s odkazy).</w:t>
            </w:r>
          </w:p>
          <w:p w:rsidR="00514EDC" w:rsidRPr="008D579B" w:rsidRDefault="00514EDC" w:rsidP="00514EDC">
            <w:pPr>
              <w:pStyle w:val="DAVA"/>
              <w:numPr>
                <w:ilvl w:val="0"/>
                <w:numId w:val="66"/>
              </w:numPr>
              <w:spacing w:before="80" w:after="80"/>
              <w:rPr>
                <w:rFonts w:cs="Arial"/>
                <w:sz w:val="18"/>
                <w:szCs w:val="18"/>
                <w:lang w:val="cs-CZ"/>
              </w:rPr>
            </w:pPr>
            <w:r w:rsidRPr="008D579B">
              <w:rPr>
                <w:rFonts w:cs="Arial"/>
                <w:sz w:val="18"/>
                <w:szCs w:val="18"/>
                <w:lang w:val="cs-CZ"/>
              </w:rPr>
              <w:lastRenderedPageBreak/>
              <w:t>K 1. 6. 2014 b</w:t>
            </w:r>
            <w:proofErr w:type="spellStart"/>
            <w:r w:rsidRPr="008D579B">
              <w:rPr>
                <w:rFonts w:cs="Arial"/>
                <w:sz w:val="18"/>
                <w:szCs w:val="18"/>
              </w:rPr>
              <w:t>yly</w:t>
            </w:r>
            <w:proofErr w:type="spellEnd"/>
            <w:r w:rsidRPr="008D579B">
              <w:rPr>
                <w:rFonts w:cs="Arial"/>
                <w:sz w:val="18"/>
                <w:szCs w:val="18"/>
              </w:rPr>
              <w:t xml:space="preserve"> aktualizovány a uveřejněny Závazné postupy pro zadávání zakázek spolufinancovaných ze zdrojů EU, nespadajících pod aplikaci zákona č. 137/2006 Sb., o veřejných zakázkách, v programovém období 2007 – 2013</w:t>
            </w:r>
            <w:r w:rsidRPr="008D579B">
              <w:rPr>
                <w:rFonts w:cs="Arial"/>
                <w:sz w:val="18"/>
                <w:szCs w:val="18"/>
                <w:lang w:val="cs-CZ"/>
              </w:rPr>
              <w:t xml:space="preserve">, </w:t>
            </w:r>
            <w:r w:rsidRPr="008D579B">
              <w:rPr>
                <w:rFonts w:cs="Arial"/>
                <w:sz w:val="18"/>
                <w:szCs w:val="18"/>
              </w:rPr>
              <w:t>které schválila vláda ČR svým usnesením č. 48/2009 s účinností od 1. 2. 2009.</w:t>
            </w:r>
            <w:r w:rsidRPr="008D579B">
              <w:rPr>
                <w:rFonts w:cs="Arial"/>
                <w:sz w:val="18"/>
                <w:szCs w:val="18"/>
                <w:lang w:val="cs-CZ"/>
              </w:rPr>
              <w:t xml:space="preserve"> Tento dokument je závazný pro ŘO, zprostředkovaně tedy pro příjemce v programovém období 2007-2013, nicméně ŘO jej mohou doplňovat a pravidla zadávání  v jednotlivých OP tedy nejsou jednotná.</w:t>
            </w:r>
          </w:p>
          <w:p w:rsidR="00514EDC" w:rsidRPr="008D579B" w:rsidRDefault="00514EDC" w:rsidP="00514EDC">
            <w:pPr>
              <w:pStyle w:val="DAVA"/>
              <w:numPr>
                <w:ilvl w:val="0"/>
                <w:numId w:val="66"/>
              </w:numPr>
              <w:spacing w:before="80" w:after="80"/>
              <w:rPr>
                <w:rFonts w:cs="Arial"/>
                <w:sz w:val="18"/>
                <w:szCs w:val="18"/>
                <w:lang w:val="cs-CZ"/>
              </w:rPr>
            </w:pPr>
            <w:r w:rsidRPr="008D579B">
              <w:rPr>
                <w:rFonts w:cs="Arial"/>
                <w:sz w:val="18"/>
                <w:szCs w:val="18"/>
                <w:lang w:val="cs-CZ"/>
              </w:rPr>
              <w:t>Byl</w:t>
            </w:r>
            <w:r w:rsidRPr="008D579B">
              <w:rPr>
                <w:rFonts w:cs="Arial"/>
                <w:sz w:val="18"/>
                <w:szCs w:val="18"/>
              </w:rPr>
              <w:t xml:space="preserve"> připraven a uveřejněn Metodický pokyn pro oblast zadávání zakázek pro programové období 2014 - 2020 (UV ČR ze dne 15. ledna 2014 č. 44)</w:t>
            </w:r>
            <w:r w:rsidRPr="008D579B">
              <w:rPr>
                <w:rFonts w:cs="Arial"/>
                <w:sz w:val="18"/>
                <w:szCs w:val="18"/>
                <w:lang w:val="cs-CZ"/>
              </w:rPr>
              <w:t>, tento metodický pokyn je v případě potřeby aktualizován</w:t>
            </w:r>
            <w:r w:rsidRPr="008D579B">
              <w:rPr>
                <w:rFonts w:cs="Arial"/>
                <w:sz w:val="18"/>
                <w:szCs w:val="18"/>
              </w:rPr>
              <w:t>;</w:t>
            </w:r>
            <w:r w:rsidRPr="008D579B">
              <w:rPr>
                <w:rFonts w:cs="Arial"/>
                <w:sz w:val="18"/>
                <w:szCs w:val="18"/>
                <w:lang w:val="cs-CZ"/>
              </w:rPr>
              <w:t xml:space="preserve"> Tento Metodický pokyn je závazný pro ŘO, zprostředkovaně tedy pro příjemce v programovém období 2014-2020 a ŘO jej nemohou doplňovat, pravidla zadávání v jednotlivých OP tedy jsou jednotná.</w:t>
            </w:r>
          </w:p>
          <w:p w:rsidR="00514EDC" w:rsidRPr="008D579B" w:rsidRDefault="00514EDC" w:rsidP="00514EDC">
            <w:pPr>
              <w:pStyle w:val="DAVA"/>
              <w:spacing w:before="80" w:after="80"/>
              <w:rPr>
                <w:rFonts w:cs="Arial"/>
                <w:sz w:val="18"/>
                <w:szCs w:val="18"/>
                <w:lang w:val="cs-CZ"/>
              </w:rPr>
            </w:pPr>
            <w:r w:rsidRPr="008D579B">
              <w:rPr>
                <w:rFonts w:cs="Arial"/>
                <w:sz w:val="18"/>
                <w:szCs w:val="18"/>
                <w:lang w:val="cs-CZ"/>
              </w:rPr>
              <w:t>Tento metodický pokyn upravuje zadávání zakázek, na něž nedopadá zákon o veřejných zakázkách (veřejné zakázky malého rozsahu, podlimitní veřejné zakázky zadávané sektorovými zadavateli a veškeré ((podlimitní, nadlimitní a malého rozsahu) zakázky zadávané „nedostatečně“ dotovanými zadavateli – soukromé osoby, v případě, kdy dotace nepřesahuje 50 % ceny zakázky). Metodický pokyn je závazný pro všechny řídící orgány jednotlivých operačních programů, které jsou povinny jeho ustanovení převzít a zapracovat do podmínek pro poskytnutí dotace. Díky</w:t>
            </w:r>
            <w:r w:rsidRPr="008D579B">
              <w:t xml:space="preserve"> </w:t>
            </w:r>
            <w:r w:rsidRPr="008D579B">
              <w:rPr>
                <w:rFonts w:cs="Arial"/>
                <w:sz w:val="18"/>
                <w:szCs w:val="18"/>
                <w:lang w:val="cs-CZ"/>
              </w:rPr>
              <w:t xml:space="preserve">tomuto metodickému pokynu je ve všech operačních programech jednotná úprava povinností zadavatelů při zadávání zakázek. Metodický pokyn obsahuje vzorové dokumenty Zadávacích podmínek, Protokolu o otevírání obálek, posouzení a hodnocení nabídek, Jmenování hodnotící komise. Metodický pokyn dále obsahuje vzorové obchodní podmínky pro zakázky na stavební práce. </w:t>
            </w:r>
          </w:p>
          <w:p w:rsidR="00514EDC" w:rsidRPr="008D579B" w:rsidRDefault="00514EDC" w:rsidP="00514EDC">
            <w:pPr>
              <w:pStyle w:val="DAVA"/>
              <w:spacing w:before="80" w:after="80"/>
              <w:rPr>
                <w:rFonts w:cs="Arial"/>
                <w:sz w:val="18"/>
                <w:szCs w:val="18"/>
                <w:lang w:val="cs-CZ"/>
              </w:rPr>
            </w:pPr>
            <w:r w:rsidRPr="008D579B">
              <w:rPr>
                <w:rFonts w:cs="Arial"/>
                <w:sz w:val="18"/>
                <w:szCs w:val="18"/>
                <w:lang w:val="cs-CZ"/>
              </w:rPr>
              <w:t>Dále bylo do tohoto Metodického pokynu komplexně zapracováno Rozhodnutí Komise C(2013) 9527, ze dne 19. 12. 2013, kterým se stanoví a schvalují pokyny ke stanovení finančních oprav, jež má Komise provést u výdajů financovaných Unií v rámci sdíleného řízení v případě nedodržení pravidel pro zadávání veřejných zakázek. Řídící orgány musí při stanovení finančních oprav u zakázek zadávaných podle tohoto Metodického pokynu postupovat v souladu s tímto rozhodnutím.</w:t>
            </w:r>
          </w:p>
          <w:p w:rsidR="00514EDC" w:rsidRPr="008D579B" w:rsidRDefault="00514EDC" w:rsidP="00514EDC">
            <w:pPr>
              <w:pStyle w:val="DAVA"/>
              <w:spacing w:before="80" w:after="80"/>
              <w:rPr>
                <w:rFonts w:cs="Arial"/>
                <w:sz w:val="18"/>
                <w:szCs w:val="18"/>
                <w:lang w:val="cs-CZ"/>
              </w:rPr>
            </w:pPr>
            <w:r w:rsidRPr="008D579B">
              <w:rPr>
                <w:rFonts w:cs="Arial"/>
                <w:sz w:val="18"/>
                <w:szCs w:val="18"/>
                <w:lang w:val="cs-CZ"/>
              </w:rPr>
              <w:t xml:space="preserve">V Metodickém pokynu je část věnována střetu zájmů, kdy příjemce (zadavatel) nemůže uzavřít smlouvu na plnění veřejné zakázky s uchazečem, pokud se na přípravě nabídky podílela nějaká osoba ve střetu zájmů. Střet zájmů je primárně upraven v ZVZ ve vztahu k členům hodnotící komise. Nové evropské směrnice obsahují širší úpravu střetu zájmů a </w:t>
            </w:r>
            <w:r w:rsidRPr="008D579B">
              <w:rPr>
                <w:rFonts w:cs="Arial"/>
                <w:sz w:val="18"/>
                <w:szCs w:val="18"/>
                <w:lang w:val="cs-CZ"/>
              </w:rPr>
              <w:lastRenderedPageBreak/>
              <w:t xml:space="preserve">jejich znění bude zohledněno v novém ZVZ i v tomto metodickém pokynu. Dále existuje samostatný zákon o střetu zájmů, ale ten neupravuje zadávání veřejných zakázek, proto jej pro účely tohoto dokumentu nepovažujeme za relevantní, problematiku střetu zájmů nepřímo upravuje i zákoník práce, ale ani tento předpis není pro účely tohoto dokumentu relevantní. </w:t>
            </w:r>
          </w:p>
          <w:p w:rsidR="00514EDC" w:rsidRPr="008D579B" w:rsidRDefault="00514EDC" w:rsidP="00514EDC">
            <w:pPr>
              <w:pStyle w:val="DAVA"/>
              <w:spacing w:before="80" w:after="80"/>
              <w:rPr>
                <w:rFonts w:cs="Arial"/>
                <w:sz w:val="18"/>
                <w:szCs w:val="18"/>
                <w:lang w:val="cs-CZ"/>
              </w:rPr>
            </w:pPr>
            <w:r w:rsidRPr="008D579B">
              <w:rPr>
                <w:rFonts w:cs="Arial"/>
                <w:sz w:val="18"/>
                <w:szCs w:val="18"/>
                <w:lang w:val="cs-CZ"/>
              </w:rPr>
              <w:t>Metodický pokyn obsahuje definici zakázané podstatné změny smlouvy, podle relevantní judikatury Soudního dvora EU.</w:t>
            </w:r>
          </w:p>
          <w:p w:rsidR="00514EDC" w:rsidRPr="008D579B" w:rsidRDefault="00514EDC" w:rsidP="00514EDC">
            <w:pPr>
              <w:pStyle w:val="DAVA"/>
              <w:numPr>
                <w:ilvl w:val="0"/>
                <w:numId w:val="66"/>
              </w:numPr>
              <w:spacing w:before="80" w:after="80"/>
              <w:rPr>
                <w:rFonts w:cs="Arial"/>
                <w:sz w:val="18"/>
                <w:szCs w:val="18"/>
                <w:lang w:val="cs-CZ"/>
              </w:rPr>
            </w:pPr>
            <w:r w:rsidRPr="008D579B">
              <w:rPr>
                <w:rFonts w:cs="Arial"/>
                <w:sz w:val="18"/>
                <w:szCs w:val="18"/>
                <w:lang w:val="cs-CZ"/>
              </w:rPr>
              <w:t>B</w:t>
            </w:r>
            <w:proofErr w:type="spellStart"/>
            <w:r w:rsidRPr="008D579B">
              <w:rPr>
                <w:rFonts w:cs="Arial"/>
                <w:sz w:val="18"/>
                <w:szCs w:val="18"/>
              </w:rPr>
              <w:t>yla</w:t>
            </w:r>
            <w:proofErr w:type="spellEnd"/>
            <w:r w:rsidRPr="008D579B">
              <w:rPr>
                <w:rFonts w:cs="Arial"/>
                <w:sz w:val="18"/>
                <w:szCs w:val="18"/>
              </w:rPr>
              <w:t xml:space="preserve"> připravena a uveřejněna (národní) </w:t>
            </w:r>
            <w:r w:rsidRPr="008D579B">
              <w:rPr>
                <w:rFonts w:cs="Arial"/>
                <w:sz w:val="18"/>
                <w:szCs w:val="18"/>
                <w:lang w:val="cs-CZ"/>
              </w:rPr>
              <w:t xml:space="preserve">nezávazná </w:t>
            </w:r>
            <w:r w:rsidRPr="008D579B">
              <w:rPr>
                <w:rFonts w:cs="Arial"/>
                <w:sz w:val="18"/>
                <w:szCs w:val="18"/>
              </w:rPr>
              <w:t>metodika zadávání veřejných zakázek obsahující také metodiku zadávání veřejných zakázek malého rozsahu</w:t>
            </w:r>
            <w:r w:rsidRPr="008D579B">
              <w:rPr>
                <w:rFonts w:cs="Arial"/>
                <w:sz w:val="18"/>
                <w:szCs w:val="18"/>
                <w:lang w:val="cs-CZ"/>
              </w:rPr>
              <w:t>.</w:t>
            </w:r>
            <w:r w:rsidRPr="008D579B">
              <w:t xml:space="preserve"> </w:t>
            </w:r>
            <w:r w:rsidRPr="008D579B">
              <w:rPr>
                <w:rFonts w:cs="Arial"/>
                <w:sz w:val="18"/>
                <w:szCs w:val="18"/>
                <w:lang w:val="cs-CZ"/>
              </w:rPr>
              <w:t>Jedná se o velmi podrobnou metodiku k jednotlivým ustanovením zákona o veřejných zakázkách. Metodika se zaměřuje na výklad ucelených institutů a postupů zadávání veřejných zakázek, zejména z praktického hlediska. Cílem metodiky je překlenout mezeru mezi legislativním textem a praktickým uplatněním ustanovení zákona v souvislostech, s vazbou na související právní předpisy, judikaturu Evropského soudního dvora a rozhodovací praxi Úřadu pro ochranu hospodářské soutěže. Tato metodika slouží jako nástroj nejen zadavatelům (příjemci a žadatelé) a dodavatelům veřejných zakázek, ale také všem subjektům, které se se zákonem o veřejných zakázkách jakýmkoli způsobem setkávají.</w:t>
            </w:r>
          </w:p>
          <w:p w:rsidR="00514EDC" w:rsidRPr="008D579B" w:rsidRDefault="00514EDC" w:rsidP="00514EDC">
            <w:pPr>
              <w:pStyle w:val="DAVA"/>
              <w:numPr>
                <w:ilvl w:val="0"/>
                <w:numId w:val="66"/>
              </w:numPr>
              <w:spacing w:before="80" w:after="80"/>
              <w:rPr>
                <w:rFonts w:cs="Arial"/>
                <w:sz w:val="18"/>
                <w:szCs w:val="18"/>
                <w:lang w:val="cs-CZ"/>
              </w:rPr>
            </w:pPr>
            <w:r w:rsidRPr="008D579B">
              <w:rPr>
                <w:rFonts w:cs="Arial"/>
                <w:sz w:val="18"/>
                <w:szCs w:val="18"/>
                <w:lang w:val="cs-CZ"/>
              </w:rPr>
              <w:t>P</w:t>
            </w:r>
            <w:proofErr w:type="spellStart"/>
            <w:r w:rsidRPr="008D579B">
              <w:rPr>
                <w:rFonts w:cs="Arial"/>
                <w:sz w:val="18"/>
                <w:szCs w:val="18"/>
              </w:rPr>
              <w:t>řipravena</w:t>
            </w:r>
            <w:proofErr w:type="spellEnd"/>
            <w:r w:rsidRPr="008D579B">
              <w:rPr>
                <w:rFonts w:cs="Arial"/>
                <w:sz w:val="18"/>
                <w:szCs w:val="18"/>
              </w:rPr>
              <w:t xml:space="preserve"> a uveřejněna dílčí metodická stanoviska / doporučení expertní skupiny MMR k zákonu o veřejných zakázkách</w:t>
            </w:r>
            <w:r w:rsidRPr="008D579B">
              <w:rPr>
                <w:rFonts w:cs="Arial"/>
                <w:sz w:val="18"/>
                <w:szCs w:val="18"/>
                <w:lang w:val="cs-CZ"/>
              </w:rPr>
              <w:t>. Expertní skupina MMR nemá žádný zvláštní status, je složena z odborníků, jejichž převážnou většinu tvoří zaměstnanci MMR, tato skupina uveřejňuje nezávazná doporučení k aplikaci ZVZ v nejednoznačných případech. Rozdíl mezi MMR a UOHS vyplývá především z kompetenčního zákona (zákon č. 2/1969 Sb., o zřízení ministerstev a jiných ústředních orgánů státní správy České republiky) MMR odpovídá za zpracování ZVZ, UOHS dohlíží na jeho dodržování, metodická činnost je primárně v působnosti MMR, v této činnosti oba orgány spolupracují.</w:t>
            </w:r>
          </w:p>
          <w:p w:rsidR="00514EDC" w:rsidRPr="008D579B" w:rsidRDefault="00514EDC" w:rsidP="00514EDC">
            <w:pPr>
              <w:pStyle w:val="DAVA"/>
              <w:numPr>
                <w:ilvl w:val="0"/>
                <w:numId w:val="66"/>
              </w:numPr>
              <w:spacing w:before="80" w:after="80"/>
              <w:jc w:val="both"/>
              <w:rPr>
                <w:rFonts w:cs="Arial"/>
                <w:sz w:val="18"/>
                <w:szCs w:val="18"/>
                <w:lang w:val="cs-CZ"/>
              </w:rPr>
            </w:pPr>
            <w:r w:rsidRPr="008D579B">
              <w:rPr>
                <w:rFonts w:cs="Arial"/>
                <w:sz w:val="18"/>
                <w:szCs w:val="18"/>
                <w:lang w:val="cs-CZ"/>
              </w:rPr>
              <w:t xml:space="preserve">Gestor zákona o veřejných zakázkách </w:t>
            </w:r>
            <w:r w:rsidRPr="008D579B">
              <w:rPr>
                <w:rFonts w:cs="Arial"/>
                <w:sz w:val="18"/>
                <w:szCs w:val="18"/>
              </w:rPr>
              <w:t>zpracovává každý týden odborná stanoviska pro</w:t>
            </w:r>
            <w:r w:rsidRPr="008D579B">
              <w:rPr>
                <w:rFonts w:cs="Arial"/>
                <w:sz w:val="18"/>
                <w:szCs w:val="18"/>
                <w:lang w:val="cs-CZ"/>
              </w:rPr>
              <w:t> </w:t>
            </w:r>
            <w:r w:rsidRPr="008D579B">
              <w:rPr>
                <w:rFonts w:cs="Arial"/>
                <w:sz w:val="18"/>
                <w:szCs w:val="18"/>
              </w:rPr>
              <w:t>ministryni pro místní rozvoj k materiálům, které jsou předkládány vládě ČR na jednání vlády ze strany jednotlivých resortů, příp. jiných institucí, podle UV ČR ze dne 10. dubna 2013 č. 246</w:t>
            </w:r>
            <w:r w:rsidRPr="008D579B">
              <w:rPr>
                <w:rFonts w:cs="Arial"/>
                <w:sz w:val="18"/>
                <w:szCs w:val="18"/>
                <w:lang w:val="cs-CZ"/>
              </w:rPr>
              <w:t xml:space="preserve"> </w:t>
            </w:r>
            <w:r w:rsidRPr="008D579B">
              <w:rPr>
                <w:rFonts w:cs="Arial"/>
                <w:sz w:val="18"/>
                <w:szCs w:val="18"/>
              </w:rPr>
              <w:t xml:space="preserve">(jedná se zejména o materiály k nadlimitním veřejným zakázkám, na které jsou aplikovány obecné výjimky z působnosti ZVZ podle § 18 ZVZ, k nadlimitním veřejným zakázkám, které jsou zadávány v jednacím řízení bez uveřejnění podle § 23 ZVZ, </w:t>
            </w:r>
            <w:r w:rsidRPr="008D579B">
              <w:rPr>
                <w:rFonts w:cs="Arial"/>
                <w:sz w:val="18"/>
                <w:szCs w:val="18"/>
                <w:lang w:val="cs-CZ"/>
              </w:rPr>
              <w:t xml:space="preserve">k </w:t>
            </w:r>
            <w:r w:rsidRPr="008D579B">
              <w:rPr>
                <w:rFonts w:cs="Arial"/>
                <w:sz w:val="18"/>
                <w:szCs w:val="18"/>
              </w:rPr>
              <w:t>významn</w:t>
            </w:r>
            <w:r w:rsidRPr="008D579B">
              <w:rPr>
                <w:rFonts w:cs="Arial"/>
                <w:sz w:val="18"/>
                <w:szCs w:val="18"/>
                <w:lang w:val="cs-CZ"/>
              </w:rPr>
              <w:t>ým</w:t>
            </w:r>
            <w:r w:rsidRPr="008D579B">
              <w:rPr>
                <w:rFonts w:cs="Arial"/>
                <w:sz w:val="18"/>
                <w:szCs w:val="18"/>
              </w:rPr>
              <w:t xml:space="preserve"> </w:t>
            </w:r>
            <w:r w:rsidRPr="008D579B">
              <w:rPr>
                <w:rFonts w:cs="Arial"/>
                <w:sz w:val="18"/>
                <w:szCs w:val="18"/>
              </w:rPr>
              <w:lastRenderedPageBreak/>
              <w:t>veřejn</w:t>
            </w:r>
            <w:r w:rsidRPr="008D579B">
              <w:rPr>
                <w:rFonts w:cs="Arial"/>
                <w:sz w:val="18"/>
                <w:szCs w:val="18"/>
                <w:lang w:val="cs-CZ"/>
              </w:rPr>
              <w:t>ým</w:t>
            </w:r>
            <w:r w:rsidRPr="008D579B">
              <w:rPr>
                <w:rFonts w:cs="Arial"/>
                <w:sz w:val="18"/>
                <w:szCs w:val="18"/>
              </w:rPr>
              <w:t xml:space="preserve"> zakázk</w:t>
            </w:r>
            <w:r w:rsidRPr="008D579B">
              <w:rPr>
                <w:rFonts w:cs="Arial"/>
                <w:sz w:val="18"/>
                <w:szCs w:val="18"/>
                <w:lang w:val="cs-CZ"/>
              </w:rPr>
              <w:t>ám</w:t>
            </w:r>
            <w:r w:rsidRPr="008D579B">
              <w:rPr>
                <w:rFonts w:cs="Arial"/>
                <w:sz w:val="18"/>
                <w:szCs w:val="18"/>
              </w:rPr>
              <w:t xml:space="preserve"> podle § 16a</w:t>
            </w:r>
            <w:r w:rsidRPr="008D579B">
              <w:rPr>
                <w:rFonts w:cs="Arial"/>
                <w:sz w:val="18"/>
                <w:szCs w:val="18"/>
                <w:lang w:val="cs-CZ"/>
              </w:rPr>
              <w:t xml:space="preserve"> </w:t>
            </w:r>
            <w:r w:rsidRPr="008D579B">
              <w:rPr>
                <w:rFonts w:cs="Arial"/>
                <w:sz w:val="18"/>
                <w:szCs w:val="18"/>
              </w:rPr>
              <w:t>ZVZ)</w:t>
            </w:r>
          </w:p>
          <w:p w:rsidR="00514EDC" w:rsidRPr="008D579B" w:rsidRDefault="00514EDC" w:rsidP="00514EDC">
            <w:pPr>
              <w:pStyle w:val="DAVA"/>
              <w:numPr>
                <w:ilvl w:val="0"/>
                <w:numId w:val="66"/>
              </w:numPr>
              <w:spacing w:before="80" w:after="80"/>
              <w:rPr>
                <w:rFonts w:cs="Arial"/>
                <w:sz w:val="18"/>
                <w:szCs w:val="18"/>
                <w:lang w:val="cs-CZ"/>
              </w:rPr>
            </w:pPr>
            <w:r w:rsidRPr="008D579B">
              <w:rPr>
                <w:rFonts w:cs="Arial"/>
                <w:sz w:val="18"/>
                <w:szCs w:val="18"/>
                <w:lang w:val="cs-CZ"/>
              </w:rPr>
              <w:t>Gestor zákona o veřejných zakázkách vede a používá vlastní interní databázi vyřizovaných případů, která obsahuje všechny žádosti o výklad právních předpisů k zadávání veřejných zakázek doručené od subjektů implementačních struktur programů z předchozího (2007 - 2013) a nynějšího (2014 - 2020) programového období. Tato databáze je neveřejná, gestor ji hodlá upravit</w:t>
            </w:r>
            <w:r w:rsidRPr="008D579B">
              <w:t xml:space="preserve"> </w:t>
            </w:r>
            <w:r w:rsidRPr="008D579B">
              <w:rPr>
                <w:rFonts w:cs="Arial"/>
                <w:sz w:val="18"/>
                <w:szCs w:val="18"/>
                <w:lang w:val="cs-CZ"/>
              </w:rPr>
              <w:t xml:space="preserve">tak aby prostřednictvím níže uvedeného </w:t>
            </w:r>
            <w:proofErr w:type="spellStart"/>
            <w:r w:rsidRPr="008D579B">
              <w:rPr>
                <w:rFonts w:cs="Arial"/>
                <w:sz w:val="18"/>
                <w:szCs w:val="18"/>
                <w:lang w:val="cs-CZ"/>
              </w:rPr>
              <w:t>Info</w:t>
            </w:r>
            <w:proofErr w:type="spellEnd"/>
            <w:r w:rsidRPr="008D579B">
              <w:rPr>
                <w:rFonts w:cs="Arial"/>
                <w:sz w:val="18"/>
                <w:szCs w:val="18"/>
                <w:lang w:val="cs-CZ"/>
              </w:rPr>
              <w:t xml:space="preserve">-fóra mohly být jednodušeji uveřejňovány obecné závěry týkající dobré a špatné praxe při přípravě a vedení zadávacího řízení na základě klíčových slov. Databáze slouží gestorovi kromě jiného ke shromažďování opakujících se a významných případů, resp. k identifikaci nejproblematičtějších, systémově se opakujících typů potíží s aplikací pravidel pro zadávání veřejných zakázek. Shromážděná data jsou podkladem pro aktualizaci legislativy, metodických dokumentů, plánování vzdělávacích aktivit a poskytování právní pomoci a konzultací. </w:t>
            </w:r>
          </w:p>
          <w:p w:rsidR="00514EDC" w:rsidRPr="008D579B" w:rsidRDefault="00514EDC" w:rsidP="00514EDC">
            <w:pPr>
              <w:pStyle w:val="DAVA"/>
              <w:numPr>
                <w:ilvl w:val="0"/>
                <w:numId w:val="66"/>
              </w:numPr>
              <w:spacing w:before="80" w:after="80"/>
              <w:rPr>
                <w:rFonts w:cs="Arial"/>
                <w:sz w:val="18"/>
                <w:szCs w:val="18"/>
                <w:lang w:val="cs-CZ"/>
              </w:rPr>
            </w:pPr>
            <w:r w:rsidRPr="008D579B">
              <w:rPr>
                <w:rFonts w:cs="Arial"/>
                <w:sz w:val="18"/>
                <w:szCs w:val="18"/>
                <w:lang w:val="cs-CZ"/>
              </w:rPr>
              <w:t xml:space="preserve">Gestor připravuje úpravu </w:t>
            </w:r>
            <w:proofErr w:type="spellStart"/>
            <w:r w:rsidRPr="008D579B">
              <w:rPr>
                <w:rFonts w:cs="Arial"/>
                <w:sz w:val="18"/>
                <w:szCs w:val="18"/>
                <w:lang w:val="cs-CZ"/>
              </w:rPr>
              <w:t>Info</w:t>
            </w:r>
            <w:proofErr w:type="spellEnd"/>
            <w:r w:rsidRPr="008D579B">
              <w:rPr>
                <w:rFonts w:cs="Arial"/>
                <w:sz w:val="18"/>
                <w:szCs w:val="18"/>
                <w:lang w:val="cs-CZ"/>
              </w:rPr>
              <w:t xml:space="preserve">-fóra na Portálu o veřejných zakázkách a koncesích tak, aby se na tomto portálu daly lépe vyhledávat konkrétní informace i obecné závěry týkající dobré a špatné praxe při přípravě a vedení zadávacího řízení na základě klíčových slov. Portál je veřejně přístupný pro subjekty implementační struktury i příjemce (zadavatele). </w:t>
            </w:r>
            <w:proofErr w:type="spellStart"/>
            <w:r w:rsidRPr="008D579B">
              <w:rPr>
                <w:rFonts w:cs="Arial"/>
                <w:sz w:val="18"/>
                <w:szCs w:val="18"/>
                <w:lang w:val="cs-CZ"/>
              </w:rPr>
              <w:t>Info</w:t>
            </w:r>
            <w:proofErr w:type="spellEnd"/>
            <w:r w:rsidRPr="008D579B">
              <w:rPr>
                <w:rFonts w:cs="Arial"/>
                <w:sz w:val="18"/>
                <w:szCs w:val="18"/>
                <w:lang w:val="cs-CZ"/>
              </w:rPr>
              <w:t>-fórum je informační portál pro veřejnost (dodavatele, zadavatele, jakékoli jiné osoby), MMR odpovídá na otázky týkající se veřejných zakázek, odpovědi, které jsou považovány za stěžejní nebo důležité jsou zveřejňovány.</w:t>
            </w:r>
          </w:p>
          <w:p w:rsidR="00514EDC" w:rsidRPr="008D579B" w:rsidRDefault="00514EDC" w:rsidP="00514EDC">
            <w:pPr>
              <w:pStyle w:val="DAVA"/>
              <w:numPr>
                <w:ilvl w:val="0"/>
                <w:numId w:val="66"/>
              </w:numPr>
              <w:spacing w:before="80" w:after="80"/>
              <w:rPr>
                <w:rFonts w:cs="Arial"/>
                <w:sz w:val="18"/>
                <w:szCs w:val="18"/>
                <w:lang w:val="cs-CZ"/>
              </w:rPr>
            </w:pPr>
            <w:r w:rsidRPr="008D579B">
              <w:rPr>
                <w:rFonts w:cs="Arial"/>
                <w:sz w:val="18"/>
                <w:szCs w:val="18"/>
              </w:rPr>
              <w:t>V ČR je od r. 1996 zřízen Úřad pro ochranu hospodářské soutěže (ÚOHS). ÚOHS vytváří podmínky pro podporu a ochranu hospodářské soutěže, vykonává dohled při zadávání veřejných zakázek a vykonává další působnosti stanovené zvláštními zákony. Ve vztahu k předběžné podmínce B.4 ÚOHS konkrétně zejména dohlíží na zadávání veřejných zakázek a koncesí, čímž zajišťuje větší transparentnost při vynakládání veřejných prostředků, přezkoumává úkony zadavatelů veřejných zakázek, provádí kontroly u zadavatelů a podílí se na tvorbě a úpravách legislativy týkající se veřejných zakázek a koncesí. ÚOHS je rovněž činný v oblasti vzdělávání adresátů zákona o veřejných zakázkách. ÚOHS uveřejňuje na své webové stránce sbírky rozhodnutí, výkladová stanoviska, metodiky a aktuality z veřejných zakázek.</w:t>
            </w:r>
            <w:r w:rsidRPr="008D579B">
              <w:rPr>
                <w:rFonts w:cs="Arial"/>
                <w:sz w:val="18"/>
                <w:szCs w:val="18"/>
                <w:lang w:val="cs-CZ"/>
              </w:rPr>
              <w:t xml:space="preserve"> </w:t>
            </w:r>
          </w:p>
          <w:p w:rsidR="00514EDC" w:rsidRPr="008D579B" w:rsidRDefault="00514EDC" w:rsidP="00514EDC">
            <w:pPr>
              <w:pStyle w:val="DAVA"/>
              <w:rPr>
                <w:rFonts w:cs="Arial"/>
                <w:color w:val="000000"/>
                <w:sz w:val="18"/>
                <w:szCs w:val="18"/>
                <w:lang w:val="cs-CZ"/>
              </w:rPr>
            </w:pPr>
            <w:r w:rsidRPr="008D579B">
              <w:rPr>
                <w:rFonts w:cs="Arial"/>
                <w:color w:val="000000"/>
                <w:sz w:val="18"/>
                <w:szCs w:val="18"/>
                <w:lang w:val="cs-CZ"/>
              </w:rPr>
              <w:t>Z</w:t>
            </w:r>
            <w:r w:rsidRPr="008D579B">
              <w:rPr>
                <w:rFonts w:cs="Arial"/>
                <w:color w:val="000000"/>
                <w:sz w:val="18"/>
                <w:szCs w:val="18"/>
              </w:rPr>
              <w:t xml:space="preserve">a účelem </w:t>
            </w:r>
            <w:r w:rsidRPr="008D579B">
              <w:rPr>
                <w:rFonts w:cs="Arial"/>
                <w:color w:val="000000"/>
                <w:sz w:val="18"/>
                <w:szCs w:val="18"/>
                <w:lang w:val="cs-CZ"/>
              </w:rPr>
              <w:t xml:space="preserve">zvýšení efektivity dohledové činnosti UOHS byla v roce 2014 v rámci MMR zřízena pracovní skupina UOHS, jejímiž členy jsou zástupci UOHS, MMR a MF. V rámci </w:t>
            </w:r>
            <w:r w:rsidRPr="008D579B">
              <w:rPr>
                <w:rFonts w:cs="Arial"/>
                <w:color w:val="000000"/>
                <w:sz w:val="18"/>
                <w:szCs w:val="18"/>
                <w:lang w:val="cs-CZ"/>
              </w:rPr>
              <w:lastRenderedPageBreak/>
              <w:t>této pracovní skupiny jsou projednávány možnosti zvýšení efektivity spolupráce řídících orgánů a ostatních subjektů implementační struktury při spolupráci s UOHS s ohledem na interní procesní postupy řídích orgánů a ostatních subjektů implementační struktury při podávání podnětů UOHS. Dále je předmětem jednání této pracovní skupiny nastavení standardizace obsahu podnětů</w:t>
            </w:r>
            <w:r w:rsidRPr="008D579B">
              <w:rPr>
                <w:rFonts w:cs="Arial"/>
                <w:color w:val="000000"/>
                <w:sz w:val="18"/>
                <w:szCs w:val="18"/>
              </w:rPr>
              <w:t xml:space="preserve"> tak, aby z podnětu bylo jednoznačně zřejmé, jakého porušení ZVZ se příjemce dopustil, a přezkum ze strany UOHS mohl být efektivnější. </w:t>
            </w:r>
          </w:p>
          <w:p w:rsidR="00514EDC" w:rsidRPr="008D579B" w:rsidRDefault="00514EDC" w:rsidP="00514EDC">
            <w:pPr>
              <w:pStyle w:val="DAVA"/>
              <w:rPr>
                <w:rFonts w:cs="Arial"/>
                <w:color w:val="000000"/>
                <w:sz w:val="18"/>
                <w:szCs w:val="18"/>
                <w:lang w:val="cs-CZ"/>
              </w:rPr>
            </w:pPr>
            <w:r w:rsidRPr="008D579B">
              <w:rPr>
                <w:rFonts w:cs="Arial"/>
                <w:color w:val="000000"/>
                <w:sz w:val="18"/>
                <w:szCs w:val="18"/>
              </w:rPr>
              <w:t>Za účelem sjednocení rozhodovací praxe v oblasti veřejných zakázek je UOHS zapojen do této pracovní skupiny, dále do pracovní skupiny Veřejné zakázky, kde jsou zástupci všech řídících orgánů a dalších subjektů implementační struktury. Dále za účelem sjednocování interpretace ZVZ vydává UOHS výkladová stanoviska, jejichž znění konzultuje s MMR, tato výkladová stanoviska jsou dostupná na:  http://www.uohs.cz/cs/verejne-zakazky/vykladova-stanoviska-a-metodiky.html.</w:t>
            </w:r>
          </w:p>
          <w:p w:rsidR="00514EDC" w:rsidRPr="008D579B" w:rsidRDefault="00514EDC" w:rsidP="00514EDC">
            <w:pPr>
              <w:pStyle w:val="DAVA"/>
              <w:spacing w:before="80" w:after="80"/>
              <w:rPr>
                <w:rFonts w:cs="Arial"/>
                <w:color w:val="000000"/>
                <w:sz w:val="18"/>
                <w:szCs w:val="18"/>
                <w:lang w:val="cs-CZ"/>
              </w:rPr>
            </w:pPr>
            <w:r w:rsidRPr="008D579B">
              <w:rPr>
                <w:rFonts w:cs="Arial"/>
                <w:color w:val="000000"/>
                <w:sz w:val="18"/>
                <w:szCs w:val="18"/>
                <w:lang w:val="cs-CZ"/>
              </w:rPr>
              <w:t>Závěry a doporučení této PS budou zaslány ŘO s doporučením aplikace dojednaného postupu. Doporučení jsou pro ŘO nezávazná, nicméně je především v zájmu ŘO, aby se jimi řídily. V případě, že by došlo k zásadnímu nesouhlasu ze strany ŘO, Může ministryně  pro místní rozvoj, vydat metodické stanovisko, které je na základě usnesení vlády č. 44/2014 pro ŘO závazné.</w:t>
            </w:r>
          </w:p>
          <w:p w:rsidR="00514EDC" w:rsidRPr="008D579B" w:rsidRDefault="00514EDC" w:rsidP="00514EDC">
            <w:pPr>
              <w:pStyle w:val="DAVA"/>
              <w:rPr>
                <w:rFonts w:cs="Arial"/>
                <w:color w:val="000000"/>
                <w:sz w:val="18"/>
                <w:szCs w:val="18"/>
                <w:lang w:val="cs-CZ"/>
              </w:rPr>
            </w:pPr>
            <w:r w:rsidRPr="008D579B">
              <w:rPr>
                <w:rFonts w:cs="Arial"/>
                <w:color w:val="000000"/>
                <w:sz w:val="18"/>
                <w:szCs w:val="18"/>
              </w:rPr>
              <w:t xml:space="preserve">Při šetření nesrovnalostí je uplatňován postup, který byl v roce 2012 zaveden v rámci plnění bodu 3, Nesrovnalosti, </w:t>
            </w:r>
            <w:r w:rsidRPr="008D579B">
              <w:rPr>
                <w:rFonts w:cs="Arial"/>
                <w:i/>
                <w:color w:val="000000"/>
                <w:sz w:val="18"/>
                <w:szCs w:val="18"/>
              </w:rPr>
              <w:t>Akčního plánu ke zlepšení řídících a kontrolních systémů strukturálních fondů a Fondu soudržnosti v České republice</w:t>
            </w:r>
            <w:r w:rsidRPr="008D579B">
              <w:rPr>
                <w:rFonts w:cs="Arial"/>
                <w:color w:val="000000"/>
                <w:sz w:val="18"/>
                <w:szCs w:val="18"/>
              </w:rPr>
              <w:t>, a je upraven v </w:t>
            </w:r>
            <w:r w:rsidRPr="008D579B">
              <w:rPr>
                <w:rFonts w:cs="Arial"/>
                <w:color w:val="000000"/>
                <w:sz w:val="18"/>
                <w:szCs w:val="18"/>
                <w:lang w:val="cs-CZ"/>
              </w:rPr>
              <w:t xml:space="preserve">kapitole 3.10 </w:t>
            </w:r>
            <w:r w:rsidRPr="008D579B">
              <w:rPr>
                <w:rFonts w:cs="Arial"/>
                <w:color w:val="000000"/>
                <w:sz w:val="18"/>
                <w:szCs w:val="18"/>
              </w:rPr>
              <w:t xml:space="preserve">Metodiky finančních toků a kontroly programů spolufinancovaných ze SF/CF/EFF na programové </w:t>
            </w:r>
            <w:r w:rsidRPr="008D579B">
              <w:rPr>
                <w:rFonts w:cs="Arial"/>
                <w:i/>
                <w:color w:val="000000"/>
                <w:sz w:val="18"/>
                <w:szCs w:val="18"/>
              </w:rPr>
              <w:t>období 2007 – 2013</w:t>
            </w:r>
            <w:r w:rsidRPr="008D579B">
              <w:rPr>
                <w:rFonts w:cs="Arial"/>
                <w:color w:val="000000"/>
                <w:sz w:val="18"/>
                <w:szCs w:val="18"/>
                <w:lang w:val="cs-CZ"/>
              </w:rPr>
              <w:t>, která je průběžně aktualizována (poslední aktualizace byla provedena ke dni 1. dubna 2014). Dle kapitoly 3.10.1. MFTK ŘO na základě výsledků provedených kontrol rozhoduje o tom, zda-</w:t>
            </w:r>
            <w:proofErr w:type="spellStart"/>
            <w:r w:rsidRPr="008D579B">
              <w:rPr>
                <w:rFonts w:cs="Arial"/>
                <w:color w:val="000000"/>
                <w:sz w:val="18"/>
                <w:szCs w:val="18"/>
                <w:lang w:val="cs-CZ"/>
              </w:rPr>
              <w:t>li</w:t>
            </w:r>
            <w:proofErr w:type="spellEnd"/>
            <w:r w:rsidRPr="008D579B">
              <w:rPr>
                <w:rFonts w:cs="Arial"/>
                <w:color w:val="000000"/>
                <w:sz w:val="18"/>
                <w:szCs w:val="18"/>
                <w:lang w:val="cs-CZ"/>
              </w:rPr>
              <w:t xml:space="preserve"> se jedná či nejedná o nesrovnalost, včetně vyčíslení nezpůsobilých výdajů, a to zpravidla ve lhůtě 6 měsíců od data obdržení oznámení o podezření na nesrovnalost.  V případě, že se ŘO domnívá, že mohlo dojít ke spáchání správního deliktu dle ZVZ, předá případ ÚOHS, který je kompetentní v této věci dle ZVZ rozhodnout, tímto nicméně není dotčena kompetence ŘO o těchto případech rozhodovat v rámci své působnosti při řešení nesrovnalostí a platí výše uvedené. </w:t>
            </w:r>
          </w:p>
          <w:p w:rsidR="00514EDC" w:rsidRPr="008D579B" w:rsidRDefault="00514EDC" w:rsidP="00514EDC">
            <w:pPr>
              <w:pStyle w:val="DAVA"/>
              <w:rPr>
                <w:rFonts w:cs="Arial"/>
                <w:color w:val="000000"/>
                <w:sz w:val="18"/>
                <w:szCs w:val="18"/>
                <w:lang w:val="cs-CZ"/>
              </w:rPr>
            </w:pPr>
            <w:r w:rsidRPr="008D579B">
              <w:rPr>
                <w:rFonts w:cs="Arial"/>
                <w:color w:val="000000"/>
                <w:sz w:val="18"/>
                <w:szCs w:val="18"/>
              </w:rPr>
              <w:t xml:space="preserve">Postup kontroly zadávání veřejných zakázek detailně popisuje Metodický pokyn pro oblast zadávání zakázek pro programové období 2014-2020. V MP jsou uvedeny jak povinnosti zadavatele k uchování dokumentace o zakázce a záznamy o úkonech souvisejících s jejím zadáním, tak povinnosti poskytovatele podpory při kontrole zadávacích řízení.  Poskytovatel dotace je povinen ještě před zahájením zadávacího </w:t>
            </w:r>
            <w:r w:rsidRPr="008D579B">
              <w:rPr>
                <w:rFonts w:cs="Arial"/>
                <w:color w:val="000000"/>
                <w:sz w:val="18"/>
                <w:szCs w:val="18"/>
              </w:rPr>
              <w:lastRenderedPageBreak/>
              <w:t xml:space="preserve">řízení posoudit zadávací podmínky u nejméně 30% nadlimitních veřejných zakázek a zakázek vyšší hodnoty a dále posoudit správnost postupu zadavatele v zadávacím řízení před uzavřením smlouvy na plnění VZ u všech nadlimitních a zakázek a zakázek vyšší hodnoty. Při kontrole zadávání veřejných zakázek postupuje poskytovatel dotace kromě ZVZ podle zákona č. 255/2012 Sb., o kontrole (kontrolní řád), a zákona č. 320/2001 Sb., o finanční kontrole, který by měl být od roku 2016 nahrazen novým zákonem o vnitřním řízení a kontrole ve veřejné správě, který již Ministerstvo financí předložilo vládě ČR. </w:t>
            </w:r>
          </w:p>
          <w:p w:rsidR="00514EDC" w:rsidRPr="00634B59" w:rsidRDefault="00514EDC" w:rsidP="00514EDC">
            <w:pPr>
              <w:pStyle w:val="DAVA"/>
              <w:rPr>
                <w:rFonts w:cs="Arial"/>
                <w:color w:val="000000"/>
                <w:sz w:val="18"/>
                <w:szCs w:val="18"/>
                <w:lang w:val="cs-CZ"/>
              </w:rPr>
            </w:pPr>
            <w:r w:rsidRPr="008D579B">
              <w:rPr>
                <w:rFonts w:cs="Arial"/>
                <w:color w:val="000000"/>
                <w:sz w:val="18"/>
                <w:szCs w:val="18"/>
                <w:lang w:val="cs-CZ"/>
              </w:rPr>
              <w:t>Vláda ČR schválila prostřednictvím svého usnesení č. 5 ze dne 5. ledna 2011 Strategii elektronizace zadávání veřejných zakázek pro období let 2011 až 2015.</w:t>
            </w:r>
            <w:r>
              <w:rPr>
                <w:rFonts w:cs="Arial"/>
                <w:color w:val="000000"/>
                <w:sz w:val="18"/>
                <w:szCs w:val="18"/>
                <w:lang w:val="cs-CZ"/>
              </w:rPr>
              <w:t xml:space="preserve"> </w:t>
            </w:r>
          </w:p>
          <w:p w:rsidR="00DE60E4" w:rsidRPr="00634B59" w:rsidRDefault="00DE60E4" w:rsidP="00C36EE6">
            <w:pPr>
              <w:pStyle w:val="DAVA"/>
              <w:rPr>
                <w:rFonts w:cs="Arial"/>
                <w:color w:val="000000"/>
                <w:sz w:val="18"/>
                <w:szCs w:val="18"/>
                <w:lang w:val="cs-CZ"/>
              </w:rPr>
            </w:pPr>
          </w:p>
          <w:p w:rsidR="00A62FD2" w:rsidRDefault="00DC1508" w:rsidP="00A62FD2">
            <w:pPr>
              <w:pStyle w:val="DAVA"/>
              <w:spacing w:before="80" w:after="80"/>
              <w:rPr>
                <w:rFonts w:cs="Arial"/>
                <w:color w:val="000000"/>
                <w:sz w:val="18"/>
                <w:szCs w:val="18"/>
                <w:lang w:val="cs-CZ" w:eastAsia="cs-CZ"/>
              </w:rPr>
            </w:pPr>
            <w:r>
              <w:rPr>
                <w:rFonts w:cs="Arial"/>
                <w:color w:val="000000"/>
                <w:sz w:val="18"/>
                <w:szCs w:val="18"/>
                <w:lang w:val="cs-CZ" w:eastAsia="cs-CZ"/>
              </w:rPr>
              <w:t xml:space="preserve">ŘO OP PIK: </w:t>
            </w:r>
          </w:p>
          <w:p w:rsidR="00DC1508" w:rsidRPr="00A62FD2" w:rsidRDefault="00DC1508" w:rsidP="00A62FD2">
            <w:pPr>
              <w:pStyle w:val="DAVA"/>
              <w:spacing w:before="80" w:after="80"/>
              <w:rPr>
                <w:rFonts w:cs="Arial"/>
                <w:sz w:val="18"/>
                <w:szCs w:val="18"/>
              </w:rPr>
            </w:pPr>
            <w:r w:rsidRPr="00A62FD2">
              <w:rPr>
                <w:rFonts w:cs="Arial"/>
                <w:sz w:val="18"/>
                <w:szCs w:val="18"/>
              </w:rPr>
              <w:t xml:space="preserve">V OP PIK bude zadávání veřejných zakázek upraveno platnými právními předpisy (zákon č. 137/2006 Sb., o veřejných zakázkách) pro zakázky, které spadají pod režim tohoto zákona, resp. závaznými pokyny pro zadávání veřejných zakázek pro zakázky, které nespadají pod režim zákona - Metodickým pokynem pro oblast zadávání zakázek pro programové období 2014-2020 (UV ČR č. 44 ze dne 15.1.2014). Metodické pokyny zpracované na národní úrovni (MMR) budou rozpracovány do pokynů pro příjemce v OP PIK. </w:t>
            </w:r>
            <w:r w:rsidRPr="00514EDC">
              <w:rPr>
                <w:rFonts w:cs="Arial"/>
                <w:sz w:val="18"/>
                <w:szCs w:val="18"/>
              </w:rPr>
              <w:t>ŘO OP PIK počítá s prováděním 2-stupňové kontroly zadávání veřej. zakázek (1. stupeň na úrovni zprostředkujícího subjektu, 2. stupeň na úrovní Řídícího orgánu).</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60"/>
        </w:trPr>
        <w:tc>
          <w:tcPr>
            <w:tcW w:w="1134" w:type="dxa"/>
            <w:vMerge/>
            <w:tcBorders>
              <w:left w:val="single" w:sz="4" w:space="0" w:color="auto"/>
              <w:right w:val="single" w:sz="4" w:space="0" w:color="auto"/>
            </w:tcBorders>
            <w:shd w:val="clear" w:color="auto" w:fill="FFFFFF"/>
            <w:vAlign w:val="center"/>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right w:val="single" w:sz="4" w:space="0" w:color="auto"/>
            </w:tcBorders>
            <w:shd w:val="clear" w:color="auto" w:fill="FFFFFF"/>
            <w:vAlign w:val="center"/>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right w:val="single" w:sz="4" w:space="0" w:color="auto"/>
            </w:tcBorders>
            <w:shd w:val="clear" w:color="auto" w:fill="FFFFFF"/>
            <w:vAlign w:val="center"/>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val="cs-CZ" w:eastAsia="cs-CZ"/>
              </w:rPr>
              <w:t>Opatření, jež zajišťují transparentní postupy zadávání veřejných zakázek.</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val="cs-CZ" w:eastAsia="cs-CZ"/>
              </w:rPr>
              <w:t>ano</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400236" w:rsidP="00C36EE6">
            <w:pPr>
              <w:pStyle w:val="DAVA"/>
              <w:spacing w:before="80" w:after="80"/>
              <w:rPr>
                <w:rFonts w:cs="Arial"/>
                <w:sz w:val="18"/>
                <w:szCs w:val="18"/>
              </w:rPr>
            </w:pPr>
            <w:hyperlink r:id="rId85" w:history="1">
              <w:r w:rsidR="0083711E" w:rsidRPr="00A76D60">
                <w:rPr>
                  <w:rStyle w:val="Hypertextovodkaz"/>
                  <w:rFonts w:cs="Arial"/>
                  <w:sz w:val="18"/>
                  <w:szCs w:val="18"/>
                </w:rPr>
                <w:t>http://www.portal-vz.cz/cs/Jak-na-zadavani-verejnych-zakazek/Legislativa-a-Judikatura/Legislativa/Narodni-legislativa-aktualni-a-uplne-zneni-z-(1)</w:t>
              </w:r>
            </w:hyperlink>
          </w:p>
          <w:p w:rsidR="0083711E" w:rsidRPr="00A76D60" w:rsidRDefault="00400236" w:rsidP="00C36EE6">
            <w:pPr>
              <w:pStyle w:val="DAVA"/>
              <w:spacing w:before="80" w:after="80"/>
              <w:rPr>
                <w:rFonts w:cs="Arial"/>
                <w:sz w:val="18"/>
                <w:szCs w:val="18"/>
              </w:rPr>
            </w:pPr>
            <w:hyperlink r:id="rId86" w:history="1">
              <w:r w:rsidR="0083711E" w:rsidRPr="00A76D60">
                <w:rPr>
                  <w:rStyle w:val="Hypertextovodkaz"/>
                  <w:rFonts w:cs="Arial"/>
                  <w:sz w:val="18"/>
                  <w:szCs w:val="18"/>
                </w:rPr>
                <w:t>http://www.portal-vz.cz/cs/Jak-na-zadavani-verejnych-zakazek/Metodiky-stanoviska/Metodick</w:t>
              </w:r>
              <w:r w:rsidR="0083711E" w:rsidRPr="00A76D60">
                <w:rPr>
                  <w:rStyle w:val="Hypertextovodkaz"/>
                  <w:rFonts w:cs="Arial"/>
                  <w:sz w:val="18"/>
                  <w:szCs w:val="18"/>
                </w:rPr>
                <w:lastRenderedPageBreak/>
                <w:t>e-pokyny</w:t>
              </w:r>
            </w:hyperlink>
          </w:p>
          <w:p w:rsidR="0083711E" w:rsidRPr="00A76D60" w:rsidRDefault="00400236" w:rsidP="00C36EE6">
            <w:pPr>
              <w:pStyle w:val="DAVA"/>
              <w:spacing w:before="80" w:after="80"/>
              <w:rPr>
                <w:rFonts w:cs="Arial"/>
                <w:sz w:val="18"/>
                <w:szCs w:val="18"/>
              </w:rPr>
            </w:pPr>
            <w:hyperlink r:id="rId87" w:history="1">
              <w:r w:rsidR="0083711E" w:rsidRPr="00A76D60">
                <w:rPr>
                  <w:rStyle w:val="Hypertextovodkaz"/>
                  <w:rFonts w:cs="Arial"/>
                  <w:sz w:val="18"/>
                  <w:szCs w:val="18"/>
                </w:rPr>
                <w:t>http://www.vestnikverejnychzakazek.cz/</w:t>
              </w:r>
            </w:hyperlink>
          </w:p>
          <w:p w:rsidR="0083711E" w:rsidRDefault="00400236" w:rsidP="00C36EE6">
            <w:pPr>
              <w:pStyle w:val="DAVA"/>
              <w:spacing w:before="80" w:after="80"/>
              <w:rPr>
                <w:rStyle w:val="Hypertextovodkaz"/>
                <w:rFonts w:cs="Arial"/>
                <w:sz w:val="18"/>
                <w:szCs w:val="18"/>
                <w:lang w:val="cs-CZ"/>
              </w:rPr>
            </w:pPr>
            <w:hyperlink r:id="rId88" w:history="1">
              <w:r w:rsidR="0083711E" w:rsidRPr="00A76D60">
                <w:rPr>
                  <w:rStyle w:val="Hypertextovodkaz"/>
                  <w:rFonts w:cs="Arial"/>
                  <w:sz w:val="18"/>
                  <w:szCs w:val="18"/>
                </w:rPr>
                <w:t>http://www.portal-vz.cz/cs/Aktuality/Informace-k-postupu-pri-uverejnovani-v-souvislosti</w:t>
              </w:r>
            </w:hyperlink>
          </w:p>
          <w:p w:rsidR="0083711E" w:rsidRDefault="0083711E" w:rsidP="00C36EE6">
            <w:pPr>
              <w:pStyle w:val="DAVA"/>
              <w:spacing w:before="80" w:after="80"/>
              <w:rPr>
                <w:rStyle w:val="Hypertextovodkaz"/>
                <w:rFonts w:cs="Arial"/>
                <w:sz w:val="18"/>
                <w:szCs w:val="18"/>
                <w:lang w:val="cs-CZ"/>
              </w:rPr>
            </w:pPr>
          </w:p>
          <w:p w:rsidR="0083711E" w:rsidRPr="000B4ECC" w:rsidRDefault="00400236" w:rsidP="00C36EE6">
            <w:pPr>
              <w:pStyle w:val="DAVA"/>
              <w:rPr>
                <w:rFonts w:cs="Arial"/>
                <w:color w:val="0000FF"/>
                <w:sz w:val="18"/>
                <w:szCs w:val="18"/>
                <w:u w:val="single"/>
              </w:rPr>
            </w:pPr>
            <w:hyperlink r:id="rId89" w:history="1">
              <w:r w:rsidR="0083711E" w:rsidRPr="000B4ECC">
                <w:rPr>
                  <w:rStyle w:val="Hypertextovodkaz"/>
                  <w:rFonts w:cs="Arial"/>
                  <w:sz w:val="18"/>
                  <w:szCs w:val="18"/>
                </w:rPr>
                <w:t>http://www.portal-vz.cz/cs/Aktuality/Uverejneni-dokumentace-k-moznosti-napojeni-Individ</w:t>
              </w:r>
            </w:hyperlink>
          </w:p>
          <w:p w:rsidR="0083711E" w:rsidRPr="000B4ECC" w:rsidRDefault="0083711E" w:rsidP="00C36EE6">
            <w:pPr>
              <w:pStyle w:val="DAVA"/>
              <w:spacing w:before="80" w:after="80"/>
              <w:rPr>
                <w:rFonts w:cs="Arial"/>
                <w:sz w:val="18"/>
                <w:szCs w:val="18"/>
                <w:lang w:val="cs-CZ" w:eastAsia="cs-CZ"/>
              </w:rPr>
            </w:pP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0261CF" w:rsidP="00C36EE6">
            <w:pPr>
              <w:pStyle w:val="DAVA"/>
              <w:spacing w:before="80" w:after="80"/>
              <w:rPr>
                <w:rFonts w:cs="Arial"/>
                <w:sz w:val="18"/>
                <w:szCs w:val="18"/>
              </w:rPr>
            </w:pPr>
            <w:r>
              <w:rPr>
                <w:rFonts w:cs="Arial"/>
                <w:sz w:val="18"/>
                <w:szCs w:val="18"/>
                <w:lang w:val="cs-CZ"/>
              </w:rPr>
              <w:lastRenderedPageBreak/>
              <w:t>B</w:t>
            </w:r>
            <w:proofErr w:type="spellStart"/>
            <w:r w:rsidR="0083711E" w:rsidRPr="00A76D60">
              <w:rPr>
                <w:rFonts w:cs="Arial"/>
                <w:sz w:val="18"/>
                <w:szCs w:val="18"/>
              </w:rPr>
              <w:t>yla</w:t>
            </w:r>
            <w:proofErr w:type="spellEnd"/>
            <w:r w:rsidR="0083711E" w:rsidRPr="00A76D60">
              <w:rPr>
                <w:rFonts w:cs="Arial"/>
                <w:sz w:val="18"/>
                <w:szCs w:val="18"/>
              </w:rPr>
              <w:t xml:space="preserve"> přijata tzv. transparentní novela zákona o veřejných zakázkách (zákon č. 55/2012 Sb.); </w:t>
            </w:r>
          </w:p>
          <w:p w:rsidR="0083711E" w:rsidRPr="00A76D60" w:rsidRDefault="0083711E" w:rsidP="00C36EE6">
            <w:pPr>
              <w:pStyle w:val="DAVA"/>
              <w:spacing w:before="80" w:after="80"/>
              <w:rPr>
                <w:rFonts w:cs="Arial"/>
                <w:sz w:val="18"/>
                <w:szCs w:val="18"/>
              </w:rPr>
            </w:pPr>
            <w:r w:rsidRPr="00A76D60">
              <w:rPr>
                <w:rFonts w:cs="Arial"/>
                <w:sz w:val="18"/>
                <w:szCs w:val="18"/>
              </w:rPr>
              <w:t xml:space="preserve">byly vypracovány prováděcí právní předpisy k zákonu o veřejných zakázkách a metodické dokumenty jako pomůcky pro aplikaci nových povinností </w:t>
            </w:r>
          </w:p>
          <w:p w:rsidR="0083711E" w:rsidRPr="00A76D60" w:rsidRDefault="0083711E" w:rsidP="00C36EE6">
            <w:pPr>
              <w:pStyle w:val="DAVA"/>
              <w:spacing w:before="80" w:after="80"/>
              <w:rPr>
                <w:rFonts w:cs="Arial"/>
                <w:sz w:val="18"/>
                <w:szCs w:val="18"/>
              </w:rPr>
            </w:pPr>
            <w:r w:rsidRPr="00A76D60">
              <w:rPr>
                <w:rFonts w:cs="Arial"/>
                <w:sz w:val="18"/>
                <w:szCs w:val="18"/>
              </w:rPr>
              <w:t xml:space="preserve">(např. metodika zadávání veřejných zakázek; </w:t>
            </w:r>
          </w:p>
          <w:p w:rsidR="0083711E" w:rsidRPr="00A76D60" w:rsidRDefault="0083711E" w:rsidP="00C36EE6">
            <w:pPr>
              <w:pStyle w:val="DAVA"/>
              <w:spacing w:before="80" w:after="80"/>
              <w:rPr>
                <w:rFonts w:cs="Arial"/>
                <w:sz w:val="18"/>
                <w:szCs w:val="18"/>
              </w:rPr>
            </w:pPr>
            <w:r w:rsidRPr="00A76D60">
              <w:rPr>
                <w:rFonts w:cs="Arial"/>
                <w:sz w:val="18"/>
                <w:szCs w:val="18"/>
              </w:rPr>
              <w:t>metodické stanovisko vytvořené k příloze vyhlášky č. 9/2011 Sb.;</w:t>
            </w:r>
          </w:p>
          <w:p w:rsidR="0083711E" w:rsidRPr="00A76D60" w:rsidRDefault="0083711E" w:rsidP="00C36EE6">
            <w:pPr>
              <w:pStyle w:val="DAVA"/>
              <w:spacing w:before="80" w:after="80"/>
              <w:rPr>
                <w:rFonts w:cs="Arial"/>
                <w:sz w:val="18"/>
                <w:szCs w:val="18"/>
              </w:rPr>
            </w:pPr>
            <w:r w:rsidRPr="00A76D60">
              <w:rPr>
                <w:rFonts w:cs="Arial"/>
                <w:sz w:val="18"/>
                <w:szCs w:val="18"/>
              </w:rPr>
              <w:t>metodika k vyhlášce 133/2012 Sb. o uveřejňování vyhlášení pro účely zákona o veřejných zakázkách a náležitostech profilu zadavatele);</w:t>
            </w:r>
          </w:p>
          <w:p w:rsidR="0083711E" w:rsidRPr="00A76D60" w:rsidRDefault="0083711E" w:rsidP="00C36EE6">
            <w:pPr>
              <w:pStyle w:val="DAVA"/>
              <w:spacing w:before="80" w:after="80"/>
              <w:rPr>
                <w:rFonts w:cs="Arial"/>
                <w:sz w:val="18"/>
                <w:szCs w:val="18"/>
                <w:lang w:val="cs-CZ"/>
              </w:rPr>
            </w:pPr>
            <w:r w:rsidRPr="00A76D60">
              <w:rPr>
                <w:rFonts w:cs="Arial"/>
                <w:sz w:val="18"/>
                <w:szCs w:val="18"/>
              </w:rPr>
              <w:t>připravena a uveřejněna informace k postupu při uveřejňování v souvislosti s technickou novelou zákona č. 137/2006 Sb., o veřejných zakázkách</w:t>
            </w:r>
          </w:p>
          <w:p w:rsidR="0083711E" w:rsidRPr="00A76D60" w:rsidRDefault="0083711E" w:rsidP="00C36EE6">
            <w:pPr>
              <w:pStyle w:val="DAVA"/>
              <w:spacing w:before="80" w:after="80"/>
              <w:rPr>
                <w:rFonts w:cs="Arial"/>
                <w:sz w:val="18"/>
                <w:szCs w:val="18"/>
                <w:lang w:val="cs-CZ"/>
              </w:rPr>
            </w:pPr>
            <w:r w:rsidRPr="00A76D60">
              <w:rPr>
                <w:rFonts w:cs="Arial"/>
                <w:sz w:val="18"/>
                <w:szCs w:val="18"/>
                <w:lang w:val="cs-CZ"/>
              </w:rPr>
              <w:t>aktualizována Metodika k vyhlášce o uveřejňování vyhlášení pro účely zákona o veřejných zakázkách a náležitostech profilu zadavatele (účinnost od 1. 1. 2014);</w:t>
            </w:r>
          </w:p>
          <w:p w:rsidR="0083711E" w:rsidRPr="00A76D60" w:rsidRDefault="0083711E" w:rsidP="00C36EE6">
            <w:pPr>
              <w:pStyle w:val="DAVA"/>
              <w:spacing w:before="80" w:after="80"/>
              <w:rPr>
                <w:rFonts w:cs="Arial"/>
                <w:bCs/>
                <w:sz w:val="18"/>
                <w:szCs w:val="18"/>
                <w:lang w:val="cs-CZ"/>
              </w:rPr>
            </w:pPr>
            <w:r w:rsidRPr="00A76D60">
              <w:rPr>
                <w:rFonts w:cs="Arial"/>
                <w:bCs/>
                <w:sz w:val="18"/>
                <w:szCs w:val="18"/>
              </w:rPr>
              <w:lastRenderedPageBreak/>
              <w:t>základní data o veřejných zakázkách jak ve Věstníku veřejných zakázek, tak na profilech zadavatele mají podobu strukturovaných dat – to znamená, že umožňují případným zájemcům poměrně snadno automatizovaně získávat informace o veřejných zakázkách pro účely dalšího zpracování popř. kontroly.</w:t>
            </w:r>
            <w:r w:rsidRPr="00A76D60">
              <w:rPr>
                <w:rFonts w:eastAsia="Calibri" w:cs="Arial"/>
                <w:sz w:val="18"/>
                <w:szCs w:val="18"/>
              </w:rPr>
              <w:t xml:space="preserve"> </w:t>
            </w:r>
            <w:r w:rsidRPr="00A76D60">
              <w:rPr>
                <w:rFonts w:cs="Arial"/>
                <w:bCs/>
                <w:sz w:val="18"/>
                <w:szCs w:val="18"/>
              </w:rPr>
              <w:t>MMR opakovaně prověřovalo funkcionalitu profilů zadavatele  s ohledem na poskytování dat ve strukturované podobě. Výsledky těchto kontrol jsou adresně zasílány dotčenému zadavateli a zadavatel je vyzýván k nápravě. V ISVZ je vytvořena aplikace k ověření funkcionality profilu zadavatele pro poskytování dat ve strukturované podobě.</w:t>
            </w:r>
          </w:p>
          <w:p w:rsidR="0083711E" w:rsidRPr="00A76D60" w:rsidRDefault="0083711E" w:rsidP="00C36EE6">
            <w:pPr>
              <w:pStyle w:val="DAVA"/>
              <w:spacing w:before="80" w:after="80"/>
              <w:rPr>
                <w:rFonts w:cs="Arial"/>
                <w:bCs/>
                <w:sz w:val="18"/>
                <w:szCs w:val="18"/>
                <w:lang w:val="cs-CZ"/>
              </w:rPr>
            </w:pPr>
            <w:r w:rsidRPr="00A76D60">
              <w:rPr>
                <w:rFonts w:cs="Arial"/>
                <w:bCs/>
                <w:sz w:val="18"/>
                <w:szCs w:val="18"/>
                <w:lang w:val="cs-CZ"/>
              </w:rPr>
              <w:t>Odůvodnění významných veřejných zakázek před zahájením zadávacího řízení posuzuje vláda ČR;</w:t>
            </w:r>
          </w:p>
          <w:p w:rsidR="0083711E" w:rsidRDefault="0083711E" w:rsidP="00C36EE6">
            <w:pPr>
              <w:pStyle w:val="DAVA"/>
              <w:spacing w:before="80" w:after="80"/>
              <w:rPr>
                <w:rFonts w:cs="Arial"/>
                <w:bCs/>
                <w:sz w:val="18"/>
                <w:szCs w:val="18"/>
                <w:lang w:val="cs-CZ"/>
              </w:rPr>
            </w:pPr>
            <w:r w:rsidRPr="00A76D60">
              <w:rPr>
                <w:rFonts w:cs="Arial"/>
                <w:bCs/>
                <w:sz w:val="18"/>
                <w:szCs w:val="18"/>
                <w:lang w:val="cs-CZ"/>
              </w:rPr>
              <w:t>dále je před zahájením jednání o uzavření smlouvy na veřejnou zakázku vláda ČR informována o nadlimitních veřejných zakázkách v podrobnostech, které stanoví Usnesení vlády ČR ze dne 10. dubna 2013 č. 246.</w:t>
            </w:r>
          </w:p>
          <w:p w:rsidR="00944C44" w:rsidRDefault="00944C44" w:rsidP="00944C44">
            <w:pPr>
              <w:pStyle w:val="DAVA"/>
              <w:spacing w:before="80" w:after="80"/>
              <w:rPr>
                <w:rFonts w:cs="Arial"/>
                <w:bCs/>
                <w:sz w:val="18"/>
                <w:szCs w:val="18"/>
                <w:lang w:val="cs-CZ"/>
              </w:rPr>
            </w:pPr>
            <w:r w:rsidRPr="00AF48A0">
              <w:rPr>
                <w:rFonts w:cs="Arial"/>
                <w:bCs/>
                <w:sz w:val="18"/>
                <w:szCs w:val="18"/>
              </w:rPr>
              <w:t xml:space="preserve">V rámci </w:t>
            </w:r>
            <w:r w:rsidRPr="00A165F4">
              <w:rPr>
                <w:rFonts w:cs="Arial"/>
                <w:bCs/>
                <w:sz w:val="18"/>
                <w:szCs w:val="18"/>
              </w:rPr>
              <w:t>Informačního systému o veřejných zakázkách</w:t>
            </w:r>
            <w:r w:rsidRPr="00AF48A0">
              <w:rPr>
                <w:rFonts w:cs="Arial"/>
                <w:bCs/>
                <w:sz w:val="18"/>
                <w:szCs w:val="18"/>
              </w:rPr>
              <w:t xml:space="preserve"> –jsou neomezeným dálkovým přístupem k dispozici informace o veřejných zakázkách uveřejněných ve Věstníku veřejných zakázek a prostřednictvím elektronických tržišť ve formě „</w:t>
            </w:r>
            <w:proofErr w:type="spellStart"/>
            <w:r w:rsidRPr="00AF48A0">
              <w:rPr>
                <w:rFonts w:cs="Arial"/>
                <w:bCs/>
                <w:sz w:val="18"/>
                <w:szCs w:val="18"/>
              </w:rPr>
              <w:t>opendata</w:t>
            </w:r>
            <w:proofErr w:type="spellEnd"/>
            <w:r w:rsidRPr="00AF48A0">
              <w:rPr>
                <w:rFonts w:cs="Arial"/>
                <w:bCs/>
                <w:sz w:val="18"/>
                <w:szCs w:val="18"/>
              </w:rPr>
              <w:t xml:space="preserve">“. </w:t>
            </w:r>
          </w:p>
          <w:p w:rsidR="00944C44" w:rsidRDefault="00944C44" w:rsidP="00944C44">
            <w:pPr>
              <w:pStyle w:val="DAVA"/>
              <w:spacing w:before="80" w:after="80"/>
              <w:rPr>
                <w:rFonts w:cs="Arial"/>
                <w:bCs/>
                <w:sz w:val="18"/>
                <w:szCs w:val="18"/>
                <w:lang w:val="cs-CZ"/>
              </w:rPr>
            </w:pPr>
            <w:r w:rsidRPr="00AF48A0">
              <w:rPr>
                <w:rFonts w:cs="Arial"/>
                <w:bCs/>
                <w:sz w:val="18"/>
                <w:szCs w:val="18"/>
                <w:lang w:val="cs-CZ"/>
              </w:rPr>
              <w:t xml:space="preserve">Základní informace jsou pro podlimitní a nadlimitní veřejné zakázky jsou uveřejňovány prostřednictvím celonárodního systému – </w:t>
            </w:r>
            <w:r w:rsidRPr="00AF48A0">
              <w:rPr>
                <w:rFonts w:cs="Arial"/>
                <w:b/>
                <w:bCs/>
                <w:sz w:val="18"/>
                <w:szCs w:val="18"/>
                <w:lang w:val="cs-CZ"/>
              </w:rPr>
              <w:t>Věstníku veřejných zakázek</w:t>
            </w:r>
            <w:r w:rsidRPr="00AF48A0">
              <w:rPr>
                <w:rFonts w:cs="Arial"/>
                <w:bCs/>
                <w:sz w:val="18"/>
                <w:szCs w:val="18"/>
                <w:lang w:val="cs-CZ"/>
              </w:rPr>
              <w:t xml:space="preserve"> a jeho prostřednictvím jsou informace odesílány do Úředního věstníku EU (TED), čímž je zajišťován soulad uveřejněných informací v obou systémech.</w:t>
            </w:r>
          </w:p>
          <w:p w:rsidR="00944C44" w:rsidRPr="00AF48A0" w:rsidRDefault="00944C44" w:rsidP="00944C44">
            <w:pPr>
              <w:pStyle w:val="DAVA"/>
              <w:spacing w:before="80" w:after="80"/>
              <w:rPr>
                <w:rFonts w:cs="Arial"/>
                <w:bCs/>
                <w:sz w:val="18"/>
                <w:szCs w:val="18"/>
              </w:rPr>
            </w:pPr>
            <w:r w:rsidRPr="00AF48A0">
              <w:rPr>
                <w:rFonts w:cs="Arial"/>
                <w:bCs/>
                <w:sz w:val="18"/>
                <w:szCs w:val="18"/>
              </w:rPr>
              <w:t xml:space="preserve">Je vytvořeno </w:t>
            </w:r>
            <w:r w:rsidRPr="00A165F4">
              <w:rPr>
                <w:rFonts w:cs="Arial"/>
                <w:bCs/>
                <w:sz w:val="18"/>
                <w:szCs w:val="18"/>
              </w:rPr>
              <w:t>jednotné komunikační rozhraní mezi systémy, které se týkají veřejných zakázek (Věstník veřejnýc</w:t>
            </w:r>
            <w:r w:rsidRPr="00F02320">
              <w:rPr>
                <w:rFonts w:cs="Arial"/>
                <w:bCs/>
                <w:sz w:val="18"/>
                <w:szCs w:val="18"/>
              </w:rPr>
              <w:t>h zakázek</w:t>
            </w:r>
            <w:r w:rsidRPr="00AF48A0">
              <w:rPr>
                <w:rFonts w:cs="Arial"/>
                <w:bCs/>
                <w:sz w:val="18"/>
                <w:szCs w:val="18"/>
              </w:rPr>
              <w:t>, Informační systém o veřejných zakázkách) a informačním systémem základních registrů pro zkvalitnění a zpřesnění údajů, např. o dodavatelích či zadavatelích.</w:t>
            </w:r>
          </w:p>
          <w:p w:rsidR="00944C44" w:rsidRPr="00AF48A0" w:rsidRDefault="00944C44" w:rsidP="00944C44">
            <w:pPr>
              <w:pStyle w:val="DAVA"/>
              <w:spacing w:before="80" w:after="80"/>
              <w:rPr>
                <w:rFonts w:cs="Arial"/>
                <w:bCs/>
                <w:sz w:val="18"/>
                <w:szCs w:val="18"/>
              </w:rPr>
            </w:pPr>
            <w:r w:rsidRPr="00A165F4">
              <w:rPr>
                <w:rFonts w:cs="Arial"/>
                <w:bCs/>
                <w:sz w:val="18"/>
                <w:szCs w:val="18"/>
              </w:rPr>
              <w:t xml:space="preserve">Elektronická tržiště pro subjekty veřejní správy (dále jen „E-tržiště“) </w:t>
            </w:r>
            <w:r w:rsidRPr="00F02320">
              <w:rPr>
                <w:rFonts w:cs="Arial"/>
                <w:bCs/>
                <w:sz w:val="18"/>
                <w:szCs w:val="18"/>
              </w:rPr>
              <w:t>-</w:t>
            </w:r>
            <w:r w:rsidRPr="00AF48A0">
              <w:rPr>
                <w:rFonts w:cs="Arial"/>
                <w:bCs/>
                <w:sz w:val="18"/>
                <w:szCs w:val="18"/>
              </w:rPr>
              <w:t xml:space="preserve"> Jedná se o webovou aplikaci, elektronický nástroj umožňující elektronické zadávání veřejných zakázek, která je určena pro rychlé operativní nákupy snadno </w:t>
            </w:r>
            <w:proofErr w:type="spellStart"/>
            <w:r w:rsidRPr="00AF48A0">
              <w:rPr>
                <w:rFonts w:cs="Arial"/>
                <w:bCs/>
                <w:sz w:val="18"/>
                <w:szCs w:val="18"/>
              </w:rPr>
              <w:t>standardizovatelných</w:t>
            </w:r>
            <w:proofErr w:type="spellEnd"/>
            <w:r w:rsidRPr="00AF48A0">
              <w:rPr>
                <w:rFonts w:cs="Arial"/>
                <w:bCs/>
                <w:sz w:val="18"/>
                <w:szCs w:val="18"/>
              </w:rPr>
              <w:t xml:space="preserve"> komodit v určených zadávacích řízeních. E-tržiště je plně elektronický systém, v němž jsou úkony zadávacího řízení prováděny elektronicky a nahrazují dosavadní listinný způsob zadávání veřejných zakázek. Systém spuštěn 1. 7. 2012.</w:t>
            </w:r>
          </w:p>
          <w:p w:rsidR="00944C44" w:rsidRPr="00AF48A0" w:rsidRDefault="00944C44" w:rsidP="00944C44">
            <w:pPr>
              <w:pStyle w:val="DAVA"/>
              <w:spacing w:before="80" w:after="80"/>
              <w:rPr>
                <w:rFonts w:cs="Arial"/>
                <w:bCs/>
                <w:sz w:val="18"/>
                <w:szCs w:val="18"/>
              </w:rPr>
            </w:pPr>
            <w:r w:rsidRPr="00AF48A0">
              <w:rPr>
                <w:rFonts w:cs="Arial"/>
                <w:bCs/>
                <w:sz w:val="18"/>
                <w:szCs w:val="18"/>
              </w:rPr>
              <w:t>E-tržiště podporuje zadávání:</w:t>
            </w:r>
          </w:p>
          <w:p w:rsidR="00944C44" w:rsidRPr="00AF48A0" w:rsidRDefault="00944C44" w:rsidP="00944C44">
            <w:pPr>
              <w:pStyle w:val="DAVA"/>
              <w:numPr>
                <w:ilvl w:val="0"/>
                <w:numId w:val="64"/>
              </w:numPr>
              <w:spacing w:before="80" w:after="80"/>
              <w:rPr>
                <w:rFonts w:cs="Arial"/>
                <w:bCs/>
                <w:sz w:val="18"/>
                <w:szCs w:val="18"/>
              </w:rPr>
            </w:pPr>
            <w:r w:rsidRPr="00AF48A0">
              <w:rPr>
                <w:rFonts w:cs="Arial"/>
                <w:bCs/>
                <w:sz w:val="18"/>
                <w:szCs w:val="18"/>
              </w:rPr>
              <w:t> veřejných zakázek malého rozsahu,</w:t>
            </w:r>
          </w:p>
          <w:p w:rsidR="00944C44" w:rsidRPr="00AF48A0" w:rsidRDefault="00944C44" w:rsidP="00944C44">
            <w:pPr>
              <w:pStyle w:val="DAVA"/>
              <w:numPr>
                <w:ilvl w:val="0"/>
                <w:numId w:val="64"/>
              </w:numPr>
              <w:spacing w:before="80" w:after="80"/>
              <w:rPr>
                <w:rFonts w:cs="Arial"/>
                <w:bCs/>
                <w:sz w:val="18"/>
                <w:szCs w:val="18"/>
              </w:rPr>
            </w:pPr>
            <w:r w:rsidRPr="00AF48A0">
              <w:rPr>
                <w:rFonts w:cs="Arial"/>
                <w:bCs/>
                <w:sz w:val="18"/>
                <w:szCs w:val="18"/>
              </w:rPr>
              <w:t xml:space="preserve"> podlimitních veřejných zakázek zadávaných ve zjednodušeném podlimitním </w:t>
            </w:r>
            <w:r w:rsidRPr="00AF48A0">
              <w:rPr>
                <w:rFonts w:cs="Arial"/>
                <w:bCs/>
                <w:sz w:val="18"/>
                <w:szCs w:val="18"/>
              </w:rPr>
              <w:lastRenderedPageBreak/>
              <w:t>řízení,</w:t>
            </w:r>
          </w:p>
          <w:p w:rsidR="00944C44" w:rsidRPr="00C20C75" w:rsidRDefault="00944C44" w:rsidP="00C36EE6">
            <w:pPr>
              <w:pStyle w:val="DAVA"/>
              <w:numPr>
                <w:ilvl w:val="0"/>
                <w:numId w:val="64"/>
              </w:numPr>
              <w:spacing w:before="80" w:after="80"/>
              <w:rPr>
                <w:rFonts w:cs="Arial"/>
                <w:bCs/>
                <w:sz w:val="18"/>
                <w:szCs w:val="18"/>
              </w:rPr>
            </w:pPr>
            <w:r w:rsidRPr="00AF48A0">
              <w:rPr>
                <w:rFonts w:cs="Arial"/>
                <w:bCs/>
                <w:sz w:val="18"/>
                <w:szCs w:val="18"/>
              </w:rPr>
              <w:t> veřejných zakázek zadávaných na základě rámcové smlouvy s více uchazeči dle § 92 odst. 3 ZVZ.</w:t>
            </w:r>
          </w:p>
          <w:p w:rsidR="0083711E" w:rsidRDefault="0083711E" w:rsidP="00C36EE6">
            <w:pPr>
              <w:pStyle w:val="DAVA"/>
              <w:spacing w:before="80" w:after="80"/>
              <w:rPr>
                <w:rFonts w:cs="Arial"/>
                <w:sz w:val="18"/>
                <w:szCs w:val="18"/>
                <w:lang w:val="cs-CZ" w:eastAsia="cs-CZ"/>
              </w:rPr>
            </w:pPr>
            <w:r w:rsidRPr="009B41F6">
              <w:rPr>
                <w:rFonts w:cs="Arial"/>
                <w:sz w:val="18"/>
                <w:szCs w:val="18"/>
                <w:lang w:val="cs-CZ" w:eastAsia="cs-CZ"/>
              </w:rPr>
              <w:t xml:space="preserve">Na </w:t>
            </w:r>
            <w:r w:rsidRPr="008B0F31">
              <w:rPr>
                <w:rFonts w:cs="Arial"/>
                <w:b/>
                <w:sz w:val="18"/>
                <w:szCs w:val="18"/>
                <w:lang w:val="cs-CZ" w:eastAsia="cs-CZ"/>
              </w:rPr>
              <w:t xml:space="preserve"> </w:t>
            </w:r>
            <w:hyperlink r:id="rId90" w:history="1">
              <w:r w:rsidRPr="008B0F31">
                <w:rPr>
                  <w:rStyle w:val="Hypertextovodkaz"/>
                  <w:rFonts w:cs="Arial"/>
                  <w:b/>
                  <w:sz w:val="18"/>
                  <w:szCs w:val="18"/>
                  <w:lang w:val="cs-CZ" w:eastAsia="cs-CZ"/>
                </w:rPr>
                <w:t>https://nen.nipez.cz</w:t>
              </w:r>
            </w:hyperlink>
            <w:r>
              <w:rPr>
                <w:rFonts w:cs="Arial"/>
                <w:b/>
                <w:sz w:val="18"/>
                <w:szCs w:val="18"/>
                <w:lang w:val="cs-CZ" w:eastAsia="cs-CZ"/>
              </w:rPr>
              <w:t xml:space="preserve"> </w:t>
            </w:r>
            <w:r w:rsidRPr="009B41F6">
              <w:rPr>
                <w:rFonts w:cs="Arial"/>
                <w:sz w:val="18"/>
                <w:szCs w:val="18"/>
                <w:lang w:val="cs-CZ" w:eastAsia="cs-CZ"/>
              </w:rPr>
              <w:t>byly uveřejněny dokumenty a soubory popisující způsob propojení individuálních elektronických nástrojů a elektronických tržišť veřejné správy na Národní elektronický nástroj pro zadávání veřejných zakázek.</w:t>
            </w:r>
          </w:p>
          <w:p w:rsidR="00944C44" w:rsidRDefault="0083711E" w:rsidP="00A62FD2">
            <w:pPr>
              <w:pStyle w:val="DAVA"/>
              <w:rPr>
                <w:rFonts w:cs="Arial"/>
                <w:sz w:val="18"/>
                <w:szCs w:val="18"/>
                <w:lang w:val="cs-CZ"/>
              </w:rPr>
            </w:pPr>
            <w:r w:rsidRPr="00EB5A02">
              <w:rPr>
                <w:rFonts w:cs="Arial"/>
                <w:sz w:val="18"/>
                <w:szCs w:val="18"/>
              </w:rPr>
              <w:t>Mezi další nástroje, které budou v souvislosti s transparentností využívány, patří zejména jednotný monitorovací systém</w:t>
            </w:r>
            <w:r w:rsidRPr="00EB5A02">
              <w:rPr>
                <w:rFonts w:cs="Arial"/>
                <w:sz w:val="18"/>
                <w:szCs w:val="18"/>
                <w:lang w:val="cs-CZ"/>
              </w:rPr>
              <w:t xml:space="preserve"> MS2014+, v němž budou uchovávány dostupné dokumenty (ve formě odkazů nebo příloh) související s daným zadávacím řízením</w:t>
            </w:r>
            <w:r w:rsidRPr="00EB5A02">
              <w:rPr>
                <w:rFonts w:cs="Arial"/>
                <w:sz w:val="18"/>
                <w:szCs w:val="18"/>
              </w:rPr>
              <w:t xml:space="preserve">. </w:t>
            </w:r>
            <w:r w:rsidRPr="00EB5A02">
              <w:rPr>
                <w:rFonts w:cs="Arial"/>
                <w:sz w:val="18"/>
                <w:szCs w:val="18"/>
                <w:lang w:val="cs-CZ"/>
              </w:rPr>
              <w:t xml:space="preserve">V souladu s Dohodou o partnerství je také </w:t>
            </w:r>
            <w:r w:rsidRPr="00634B59">
              <w:rPr>
                <w:rFonts w:cs="Arial"/>
                <w:sz w:val="18"/>
                <w:szCs w:val="18"/>
                <w:lang w:val="cs-CZ"/>
              </w:rPr>
              <w:t xml:space="preserve">zvažováno využití nástroje ARACHNE pro detekci </w:t>
            </w:r>
            <w:r w:rsidR="00A62FD2">
              <w:rPr>
                <w:rFonts w:cs="Arial"/>
                <w:sz w:val="18"/>
                <w:szCs w:val="18"/>
                <w:lang w:val="cs-CZ"/>
              </w:rPr>
              <w:t xml:space="preserve">podvodu. </w:t>
            </w:r>
          </w:p>
          <w:p w:rsidR="00C20C75" w:rsidRDefault="00C20C75" w:rsidP="00A62FD2">
            <w:pPr>
              <w:pStyle w:val="DAVA"/>
              <w:rPr>
                <w:rFonts w:cs="Arial"/>
                <w:sz w:val="18"/>
                <w:szCs w:val="18"/>
                <w:lang w:val="cs-CZ"/>
              </w:rPr>
            </w:pPr>
          </w:p>
          <w:p w:rsidR="00944C44" w:rsidRDefault="00944C44" w:rsidP="00C20C75">
            <w:pPr>
              <w:jc w:val="both"/>
              <w:rPr>
                <w:rFonts w:cs="Arial"/>
                <w:sz w:val="18"/>
                <w:szCs w:val="18"/>
              </w:rPr>
            </w:pPr>
            <w:r w:rsidRPr="00796AB4">
              <w:rPr>
                <w:rFonts w:ascii="Arial" w:hAnsi="Arial" w:cs="Arial"/>
                <w:sz w:val="18"/>
                <w:szCs w:val="18"/>
                <w:lang w:val="x-none" w:eastAsia="x-none"/>
              </w:rPr>
              <w:t>S ohledem na princip transparentnosti a zamezení potenciálního střetu zájmů budou žadatelé</w:t>
            </w:r>
            <w:r>
              <w:rPr>
                <w:rFonts w:ascii="Arial" w:hAnsi="Arial" w:cs="Arial"/>
                <w:sz w:val="18"/>
                <w:szCs w:val="18"/>
                <w:lang w:eastAsia="x-none"/>
              </w:rPr>
              <w:t xml:space="preserve"> mající právní formu obchodní společnosti</w:t>
            </w:r>
            <w:r w:rsidRPr="00796AB4">
              <w:rPr>
                <w:rFonts w:ascii="Arial" w:hAnsi="Arial" w:cs="Arial"/>
                <w:sz w:val="18"/>
                <w:szCs w:val="18"/>
                <w:lang w:val="x-none" w:eastAsia="x-none"/>
              </w:rPr>
              <w:t xml:space="preserve"> povinni odkrýt jejich vlastnickou strukturu na základě principu proporcionality dle metodického pokynu upravujícího oblast finančních toků při předložení projektové žádosti nebo během procesu výběru projektu. Projekty, resp. jejich předkladatelé, u nichž by došlo ke střetu zájmu, nebo nebudou moci vlastnickou strukturu prokázat, nebudou moci získat podporu.“</w:t>
            </w:r>
          </w:p>
          <w:p w:rsidR="00944C44" w:rsidRPr="00944C44" w:rsidRDefault="00944C44" w:rsidP="00C20C75">
            <w:pPr>
              <w:jc w:val="both"/>
              <w:rPr>
                <w:rFonts w:cs="Arial"/>
                <w:sz w:val="18"/>
                <w:szCs w:val="18"/>
              </w:rPr>
            </w:pPr>
          </w:p>
          <w:p w:rsidR="00DC1508" w:rsidRDefault="00DC1508" w:rsidP="00C36EE6">
            <w:pPr>
              <w:pStyle w:val="DAVA"/>
              <w:spacing w:before="80" w:after="80"/>
              <w:rPr>
                <w:rFonts w:cs="Arial"/>
                <w:color w:val="000000"/>
                <w:sz w:val="18"/>
                <w:szCs w:val="18"/>
                <w:lang w:val="cs-CZ" w:eastAsia="cs-CZ"/>
              </w:rPr>
            </w:pPr>
            <w:r>
              <w:rPr>
                <w:rFonts w:cs="Arial"/>
                <w:color w:val="000000"/>
                <w:sz w:val="18"/>
                <w:szCs w:val="18"/>
                <w:lang w:val="cs-CZ" w:eastAsia="cs-CZ"/>
              </w:rPr>
              <w:t xml:space="preserve">ŘO OP PIK: </w:t>
            </w:r>
          </w:p>
          <w:p w:rsidR="00DC1508" w:rsidRPr="00DC1508" w:rsidRDefault="00DC1508" w:rsidP="00DC1508">
            <w:pPr>
              <w:pStyle w:val="Tabulka"/>
              <w:rPr>
                <w:rFonts w:ascii="Arial" w:hAnsi="Arial" w:cs="Arial"/>
                <w:b w:val="0"/>
                <w:color w:val="auto"/>
              </w:rPr>
            </w:pPr>
            <w:r w:rsidRPr="00DC1508">
              <w:rPr>
                <w:rFonts w:ascii="Arial" w:hAnsi="Arial" w:cs="Arial"/>
                <w:b w:val="0"/>
                <w:color w:val="auto"/>
              </w:rPr>
              <w:t xml:space="preserve">Postupy zadávání veřejných zakázek v OP PIK jsou upraveny platnou legislativou a schválenými metodickými dokumenty a rozpracovány v řídící dokumentaci OP PIK a pokynech pro žadatele/příjemce podpory z OP PIK. </w:t>
            </w:r>
          </w:p>
          <w:p w:rsidR="00DC1508" w:rsidRPr="00770C11" w:rsidRDefault="00DC1508" w:rsidP="00DC1508">
            <w:pPr>
              <w:pStyle w:val="Tabulka"/>
              <w:rPr>
                <w:rFonts w:ascii="Arial" w:hAnsi="Arial" w:cs="Arial"/>
                <w:b w:val="0"/>
                <w:color w:val="auto"/>
                <w:sz w:val="20"/>
                <w:szCs w:val="20"/>
              </w:rPr>
            </w:pPr>
            <w:r w:rsidRPr="00DC1508">
              <w:rPr>
                <w:rFonts w:ascii="Arial" w:hAnsi="Arial" w:cs="Arial"/>
                <w:b w:val="0"/>
                <w:color w:val="auto"/>
              </w:rPr>
              <w:t xml:space="preserve">V OP PIK bude prováděna kontrola zadávacího řízení před vydáním rozhodnutí o poskytnutí dotace ve 2 fázích (před vyhlášením zakázky a po výběru nejvhodnější nabídky). </w:t>
            </w:r>
            <w:r w:rsidR="00770C11" w:rsidRPr="00770C11">
              <w:rPr>
                <w:rFonts w:ascii="Arial" w:hAnsi="Arial" w:cs="Arial"/>
                <w:b w:val="0"/>
                <w:color w:val="auto"/>
                <w:sz w:val="20"/>
                <w:szCs w:val="20"/>
              </w:rPr>
              <w:t xml:space="preserve">ŘO OP PIK bude i nadále využívat nástroje </w:t>
            </w:r>
            <w:proofErr w:type="spellStart"/>
            <w:r w:rsidR="00770C11" w:rsidRPr="00770C11">
              <w:rPr>
                <w:rFonts w:ascii="Arial" w:hAnsi="Arial" w:cs="Arial"/>
                <w:b w:val="0"/>
                <w:color w:val="auto"/>
                <w:sz w:val="20"/>
                <w:szCs w:val="20"/>
              </w:rPr>
              <w:t>Arachne</w:t>
            </w:r>
            <w:proofErr w:type="spellEnd"/>
            <w:r w:rsidR="00770C11">
              <w:rPr>
                <w:rFonts w:ascii="Arial" w:hAnsi="Arial" w:cs="Arial"/>
                <w:b w:val="0"/>
                <w:color w:val="auto"/>
                <w:sz w:val="20"/>
                <w:szCs w:val="20"/>
              </w:rPr>
              <w:t>.</w:t>
            </w:r>
          </w:p>
          <w:p w:rsidR="00DC1508" w:rsidRPr="00DC1508" w:rsidRDefault="00DC1508" w:rsidP="00DC1508">
            <w:pPr>
              <w:pStyle w:val="Tabulka"/>
              <w:rPr>
                <w:rFonts w:ascii="Arial" w:hAnsi="Arial" w:cs="Arial"/>
                <w:b w:val="0"/>
                <w:color w:val="auto"/>
              </w:rPr>
            </w:pPr>
            <w:r w:rsidRPr="00DC1508">
              <w:rPr>
                <w:rFonts w:ascii="Arial" w:hAnsi="Arial" w:cs="Arial"/>
                <w:b w:val="0"/>
                <w:color w:val="auto"/>
              </w:rPr>
              <w:t xml:space="preserve">V případě porušení zákona č. 137/2006 Sb. nebo metodického pokynu pro zadávání zakázek mimo režim zákona, budou uplatněny vůči příjemci sankce (sankce nebudou uplatněny, pokud porušení nenaplňuje znaky porušení legislativy ČR, EU a současně nemá finanční dopad). Příjemce bude mít možnost se odvolat k přezkumné komisi. ŘO bude pořádat školení pro pracovníky implementační struktury i žadatele vč. doporučení </w:t>
            </w:r>
            <w:r w:rsidRPr="00DC1508">
              <w:rPr>
                <w:rFonts w:ascii="Arial" w:hAnsi="Arial" w:cs="Arial"/>
                <w:b w:val="0"/>
                <w:color w:val="auto"/>
              </w:rPr>
              <w:lastRenderedPageBreak/>
              <w:t>jak předcházet chybám.</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vAlign w:val="center"/>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right w:val="single" w:sz="4" w:space="0" w:color="auto"/>
            </w:tcBorders>
            <w:shd w:val="clear" w:color="auto" w:fill="FFFFFF"/>
            <w:vAlign w:val="center"/>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right w:val="single" w:sz="4" w:space="0" w:color="auto"/>
            </w:tcBorders>
            <w:shd w:val="clear" w:color="auto" w:fill="FFFFFF"/>
            <w:vAlign w:val="center"/>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val="cs-CZ" w:eastAsia="cs-CZ"/>
              </w:rPr>
              <w:t>Opatření pro odbornou přípravu a šíření informací pro zaměstnance podílející se na provádění fondů ESI.</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A62FD2" w:rsidP="00C36EE6">
            <w:pPr>
              <w:pStyle w:val="DAVA"/>
              <w:spacing w:before="80" w:after="80"/>
              <w:rPr>
                <w:rFonts w:cs="Arial"/>
                <w:sz w:val="18"/>
                <w:szCs w:val="18"/>
                <w:lang w:val="cs-CZ" w:eastAsia="cs-CZ"/>
              </w:rPr>
            </w:pPr>
            <w:r>
              <w:rPr>
                <w:rFonts w:cs="Arial"/>
                <w:sz w:val="18"/>
                <w:szCs w:val="18"/>
                <w:lang w:val="cs-CZ" w:eastAsia="cs-CZ"/>
              </w:rPr>
              <w:t>částečně</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color w:val="000000"/>
                <w:sz w:val="18"/>
                <w:szCs w:val="18"/>
              </w:rPr>
            </w:pPr>
            <w:r w:rsidRPr="00A76D60">
              <w:rPr>
                <w:rFonts w:cs="Arial"/>
                <w:color w:val="000000"/>
                <w:sz w:val="18"/>
                <w:szCs w:val="18"/>
                <w:lang w:val="cs-CZ"/>
              </w:rPr>
              <w:t>P</w:t>
            </w:r>
            <w:proofErr w:type="spellStart"/>
            <w:r w:rsidRPr="00A76D60">
              <w:rPr>
                <w:rFonts w:cs="Arial"/>
                <w:color w:val="000000"/>
                <w:sz w:val="18"/>
                <w:szCs w:val="18"/>
              </w:rPr>
              <w:t>oskytování</w:t>
            </w:r>
            <w:proofErr w:type="spellEnd"/>
            <w:r w:rsidRPr="00A76D60">
              <w:rPr>
                <w:rFonts w:cs="Arial"/>
                <w:color w:val="000000"/>
                <w:sz w:val="18"/>
                <w:szCs w:val="18"/>
              </w:rPr>
              <w:t xml:space="preserve"> konzultací a právní podpory k zadávacím řízením na veřejné zakázky;</w:t>
            </w:r>
          </w:p>
          <w:p w:rsidR="0083711E" w:rsidRPr="00A76D60" w:rsidRDefault="003B3824" w:rsidP="00C36EE6">
            <w:pPr>
              <w:pStyle w:val="DAVA"/>
              <w:spacing w:before="80" w:after="80"/>
              <w:rPr>
                <w:rFonts w:cs="Arial"/>
                <w:color w:val="000000"/>
                <w:sz w:val="18"/>
                <w:szCs w:val="18"/>
              </w:rPr>
            </w:pPr>
            <w:r>
              <w:rPr>
                <w:rFonts w:cs="Arial"/>
                <w:color w:val="000000"/>
                <w:sz w:val="18"/>
                <w:szCs w:val="18"/>
                <w:lang w:val="cs-CZ"/>
              </w:rPr>
              <w:t>Š</w:t>
            </w:r>
            <w:proofErr w:type="spellStart"/>
            <w:r w:rsidR="0083711E" w:rsidRPr="00A76D60">
              <w:rPr>
                <w:rFonts w:cs="Arial"/>
                <w:color w:val="000000"/>
                <w:sz w:val="18"/>
                <w:szCs w:val="18"/>
              </w:rPr>
              <w:t>íření</w:t>
            </w:r>
            <w:proofErr w:type="spellEnd"/>
            <w:r w:rsidR="0083711E" w:rsidRPr="00A76D60">
              <w:rPr>
                <w:rFonts w:cs="Arial"/>
                <w:color w:val="000000"/>
                <w:sz w:val="18"/>
                <w:szCs w:val="18"/>
              </w:rPr>
              <w:t xml:space="preserve"> výkladových stanovisek k aplikaci zákona o veřejných zakázkách; </w:t>
            </w:r>
          </w:p>
          <w:p w:rsidR="0083711E" w:rsidRPr="00A76D60" w:rsidRDefault="0083711E" w:rsidP="00C36EE6">
            <w:pPr>
              <w:pStyle w:val="DAVA"/>
              <w:spacing w:before="80" w:after="80"/>
              <w:rPr>
                <w:rFonts w:cs="Arial"/>
                <w:color w:val="000000"/>
                <w:sz w:val="18"/>
                <w:szCs w:val="18"/>
              </w:rPr>
            </w:pPr>
          </w:p>
          <w:p w:rsidR="0083711E" w:rsidRPr="00A76D60" w:rsidRDefault="0083711E" w:rsidP="00C36EE6">
            <w:pPr>
              <w:pStyle w:val="DAVA"/>
              <w:spacing w:before="80" w:after="80"/>
              <w:rPr>
                <w:rFonts w:cs="Arial"/>
                <w:color w:val="000000"/>
                <w:sz w:val="18"/>
                <w:szCs w:val="18"/>
              </w:rPr>
            </w:pPr>
            <w:r w:rsidRPr="00A76D60">
              <w:rPr>
                <w:rFonts w:cs="Arial"/>
                <w:color w:val="000000"/>
                <w:sz w:val="18"/>
                <w:szCs w:val="18"/>
                <w:lang w:val="cs-CZ"/>
              </w:rPr>
              <w:t>P</w:t>
            </w:r>
            <w:proofErr w:type="spellStart"/>
            <w:r w:rsidRPr="00A76D60">
              <w:rPr>
                <w:rFonts w:cs="Arial"/>
                <w:color w:val="000000"/>
                <w:sz w:val="18"/>
                <w:szCs w:val="18"/>
              </w:rPr>
              <w:t>říprava</w:t>
            </w:r>
            <w:proofErr w:type="spellEnd"/>
            <w:r w:rsidRPr="00A76D60">
              <w:rPr>
                <w:rFonts w:cs="Arial"/>
                <w:color w:val="000000"/>
                <w:sz w:val="18"/>
                <w:szCs w:val="18"/>
              </w:rPr>
              <w:t xml:space="preserve"> a odesílání odpovědí na dotazy k zadávání veřejných zakázek; </w:t>
            </w:r>
          </w:p>
          <w:p w:rsidR="0083711E" w:rsidRPr="00A76D60" w:rsidRDefault="0083711E" w:rsidP="00C36EE6">
            <w:pPr>
              <w:pStyle w:val="DAVA"/>
              <w:spacing w:before="80" w:after="80"/>
              <w:rPr>
                <w:rFonts w:cs="Arial"/>
                <w:color w:val="000000"/>
                <w:sz w:val="18"/>
                <w:szCs w:val="18"/>
              </w:rPr>
            </w:pPr>
            <w:r w:rsidRPr="00A76D60">
              <w:rPr>
                <w:rFonts w:cs="Arial"/>
                <w:color w:val="000000"/>
                <w:sz w:val="18"/>
                <w:szCs w:val="18"/>
                <w:lang w:val="cs-CZ"/>
              </w:rPr>
              <w:t>Ú</w:t>
            </w:r>
            <w:proofErr w:type="spellStart"/>
            <w:r w:rsidRPr="00A76D60">
              <w:rPr>
                <w:rFonts w:cs="Arial"/>
                <w:color w:val="000000"/>
                <w:sz w:val="18"/>
                <w:szCs w:val="18"/>
              </w:rPr>
              <w:t>čast</w:t>
            </w:r>
            <w:proofErr w:type="spellEnd"/>
            <w:r w:rsidRPr="00A76D60">
              <w:rPr>
                <w:rFonts w:cs="Arial"/>
                <w:color w:val="000000"/>
                <w:sz w:val="18"/>
                <w:szCs w:val="18"/>
              </w:rPr>
              <w:t xml:space="preserve"> lektorů na seminářích a konferencích pro zaměstnance podílející se na provádění fondů;</w:t>
            </w:r>
          </w:p>
          <w:p w:rsidR="0083711E" w:rsidRPr="00A76D60" w:rsidRDefault="0083711E" w:rsidP="00C36EE6">
            <w:pPr>
              <w:pStyle w:val="DAVA"/>
              <w:spacing w:before="80" w:after="80"/>
              <w:rPr>
                <w:rFonts w:cs="Arial"/>
                <w:color w:val="000000"/>
                <w:sz w:val="18"/>
                <w:szCs w:val="18"/>
              </w:rPr>
            </w:pPr>
            <w:r w:rsidRPr="00A76D60">
              <w:rPr>
                <w:rFonts w:cs="Arial"/>
                <w:color w:val="000000"/>
                <w:sz w:val="18"/>
                <w:szCs w:val="18"/>
                <w:lang w:val="cs-CZ"/>
              </w:rPr>
              <w:t>R</w:t>
            </w:r>
            <w:proofErr w:type="spellStart"/>
            <w:r w:rsidRPr="00A76D60">
              <w:rPr>
                <w:rFonts w:cs="Arial"/>
                <w:color w:val="000000"/>
                <w:sz w:val="18"/>
                <w:szCs w:val="18"/>
              </w:rPr>
              <w:t>ealizace</w:t>
            </w:r>
            <w:proofErr w:type="spellEnd"/>
            <w:r w:rsidRPr="00A76D60">
              <w:rPr>
                <w:rFonts w:cs="Arial"/>
                <w:color w:val="000000"/>
                <w:sz w:val="18"/>
                <w:szCs w:val="18"/>
              </w:rPr>
              <w:t xml:space="preserve"> vzdělávacích </w:t>
            </w:r>
            <w:r w:rsidRPr="00A76D60">
              <w:rPr>
                <w:rFonts w:cs="Arial"/>
                <w:color w:val="000000"/>
                <w:sz w:val="18"/>
                <w:szCs w:val="18"/>
              </w:rPr>
              <w:lastRenderedPageBreak/>
              <w:t>seminářů k oblasti veřejného zadávání pro subjekty implementačních struktur operačních programů a dalších struktur, které se podílí na implementaci NSRR;</w:t>
            </w:r>
          </w:p>
          <w:p w:rsidR="0083711E" w:rsidRPr="00A76D60" w:rsidRDefault="0083711E" w:rsidP="00C36EE6">
            <w:pPr>
              <w:pStyle w:val="DAVA"/>
              <w:spacing w:before="80" w:after="80"/>
              <w:rPr>
                <w:rFonts w:cs="Arial"/>
                <w:color w:val="000000"/>
                <w:sz w:val="18"/>
                <w:szCs w:val="18"/>
              </w:rPr>
            </w:pPr>
            <w:r w:rsidRPr="00A76D60">
              <w:rPr>
                <w:rFonts w:cs="Arial"/>
                <w:color w:val="000000"/>
                <w:sz w:val="18"/>
                <w:szCs w:val="18"/>
                <w:lang w:val="cs-CZ"/>
              </w:rPr>
              <w:t>A</w:t>
            </w:r>
            <w:proofErr w:type="spellStart"/>
            <w:r w:rsidRPr="00A76D60">
              <w:rPr>
                <w:rFonts w:cs="Arial"/>
                <w:color w:val="000000"/>
                <w:sz w:val="18"/>
                <w:szCs w:val="18"/>
              </w:rPr>
              <w:t>ktivní</w:t>
            </w:r>
            <w:proofErr w:type="spellEnd"/>
            <w:r w:rsidRPr="00A76D60">
              <w:rPr>
                <w:rFonts w:cs="Arial"/>
                <w:color w:val="000000"/>
                <w:sz w:val="18"/>
                <w:szCs w:val="18"/>
              </w:rPr>
              <w:t xml:space="preserve"> účast v pracovních skupinách, kde je řešena problematika zadávání veřejných zakázek</w:t>
            </w:r>
          </w:p>
          <w:p w:rsidR="0083711E" w:rsidRPr="000A0DF6" w:rsidRDefault="0083711E" w:rsidP="00C36EE6">
            <w:pPr>
              <w:pStyle w:val="DAVA"/>
              <w:rPr>
                <w:rFonts w:cs="Arial"/>
                <w:color w:val="000000"/>
                <w:sz w:val="18"/>
                <w:szCs w:val="18"/>
                <w:lang w:val="cs-CZ"/>
              </w:rPr>
            </w:pPr>
            <w:r w:rsidRPr="000A0DF6">
              <w:rPr>
                <w:rFonts w:cs="Arial"/>
                <w:color w:val="000000"/>
                <w:sz w:val="18"/>
                <w:szCs w:val="18"/>
                <w:lang w:val="cs-CZ"/>
              </w:rPr>
              <w:t>Výměna informací a zkušeností s ostatními členskými státy EU</w:t>
            </w:r>
          </w:p>
          <w:p w:rsidR="0083711E" w:rsidRPr="00A76D60" w:rsidRDefault="0083711E" w:rsidP="00C36EE6">
            <w:pPr>
              <w:pStyle w:val="DAVA"/>
              <w:spacing w:before="80" w:after="80"/>
              <w:rPr>
                <w:rFonts w:cs="Arial"/>
                <w:color w:val="000000"/>
                <w:sz w:val="18"/>
                <w:szCs w:val="18"/>
              </w:rPr>
            </w:pPr>
          </w:p>
          <w:p w:rsidR="0083711E" w:rsidRPr="00A76D60" w:rsidRDefault="00400236" w:rsidP="00C36EE6">
            <w:pPr>
              <w:pStyle w:val="DAVA"/>
              <w:spacing w:before="80" w:after="80"/>
              <w:rPr>
                <w:rFonts w:cs="Arial"/>
                <w:sz w:val="18"/>
                <w:szCs w:val="18"/>
              </w:rPr>
            </w:pPr>
            <w:hyperlink r:id="rId91" w:history="1">
              <w:r w:rsidR="0083711E" w:rsidRPr="00A76D60">
                <w:rPr>
                  <w:rStyle w:val="Hypertextovodkaz"/>
                  <w:rFonts w:cs="Arial"/>
                  <w:sz w:val="18"/>
                  <w:szCs w:val="18"/>
                </w:rPr>
                <w:t>http://www.portal-vz.cz/cs/Spoluprace-a-vymena-informaci/Info-forum/Otazky-a-odpovedi</w:t>
              </w:r>
            </w:hyperlink>
          </w:p>
          <w:p w:rsidR="0083711E" w:rsidRPr="00A76D60" w:rsidRDefault="0083711E" w:rsidP="00C36EE6">
            <w:pPr>
              <w:pStyle w:val="DAVA"/>
              <w:spacing w:before="80" w:after="80"/>
              <w:rPr>
                <w:rFonts w:cs="Arial"/>
                <w:sz w:val="18"/>
                <w:szCs w:val="18"/>
                <w:highlight w:val="yellow"/>
              </w:rPr>
            </w:pPr>
          </w:p>
          <w:p w:rsidR="0083711E" w:rsidRPr="00A76D60" w:rsidRDefault="00400236" w:rsidP="00C36EE6">
            <w:pPr>
              <w:pStyle w:val="DAVA"/>
              <w:spacing w:before="80" w:after="80"/>
              <w:rPr>
                <w:rFonts w:cs="Arial"/>
                <w:sz w:val="18"/>
                <w:szCs w:val="18"/>
              </w:rPr>
            </w:pPr>
            <w:hyperlink r:id="rId92" w:history="1">
              <w:r w:rsidR="0083711E" w:rsidRPr="00A76D60">
                <w:rPr>
                  <w:rStyle w:val="Hypertextovodkaz"/>
                  <w:rFonts w:cs="Arial"/>
                  <w:sz w:val="18"/>
                  <w:szCs w:val="18"/>
                </w:rPr>
                <w:t>http://www.mmr.cz/cs/Verejne-zakazky/Verejne-zakazky-a-PPP/Informace-Udalosti/Konference</w:t>
              </w:r>
              <w:r w:rsidR="0083711E" w:rsidRPr="00A76D60">
                <w:rPr>
                  <w:rStyle w:val="Hypertextovodkaz"/>
                  <w:rFonts w:cs="Arial"/>
                  <w:sz w:val="18"/>
                  <w:szCs w:val="18"/>
                </w:rPr>
                <w:lastRenderedPageBreak/>
                <w:t>-Pripravovane-zmeny-v-oblasti-verejneho</w:t>
              </w:r>
            </w:hyperlink>
          </w:p>
          <w:p w:rsidR="0083711E" w:rsidRPr="00A76D60" w:rsidRDefault="00400236" w:rsidP="00C36EE6">
            <w:pPr>
              <w:rPr>
                <w:rFonts w:cs="Arial"/>
                <w:sz w:val="18"/>
                <w:szCs w:val="18"/>
              </w:rPr>
            </w:pPr>
            <w:hyperlink r:id="rId93" w:history="1">
              <w:r w:rsidR="0083711E" w:rsidRPr="00A76D60">
                <w:rPr>
                  <w:rStyle w:val="Hypertextovodkaz"/>
                  <w:rFonts w:ascii="Arial" w:hAnsi="Arial" w:cs="Arial"/>
                  <w:sz w:val="18"/>
                  <w:szCs w:val="18"/>
                </w:rPr>
                <w:t>http://www.strukturalni-fondy.cz/cs/Fondy-EU/2014-2020/Metodicke-pokyny/Metodika-rozvoje-lidskych-zdroju</w:t>
              </w:r>
            </w:hyperlink>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Prosttext"/>
              <w:spacing w:before="80" w:after="80"/>
              <w:jc w:val="both"/>
              <w:rPr>
                <w:rFonts w:ascii="Arial" w:hAnsi="Arial" w:cs="Arial"/>
                <w:color w:val="000000"/>
                <w:sz w:val="18"/>
                <w:szCs w:val="18"/>
                <w:lang w:val="cs-CZ"/>
              </w:rPr>
            </w:pPr>
            <w:r w:rsidRPr="00A76D60">
              <w:rPr>
                <w:rFonts w:ascii="Arial" w:hAnsi="Arial" w:cs="Arial"/>
                <w:color w:val="000000"/>
                <w:sz w:val="18"/>
                <w:szCs w:val="18"/>
                <w:lang w:val="cs-CZ"/>
              </w:rPr>
              <w:lastRenderedPageBreak/>
              <w:t>Z</w:t>
            </w:r>
            <w:r w:rsidRPr="00A76D60">
              <w:rPr>
                <w:rFonts w:ascii="Arial" w:hAnsi="Arial" w:cs="Arial"/>
                <w:color w:val="000000"/>
                <w:sz w:val="18"/>
                <w:szCs w:val="18"/>
              </w:rPr>
              <w:t>a účelem koordinace a projednávání společného průběžného zajišťování plnění</w:t>
            </w:r>
            <w:r w:rsidRPr="00A76D60">
              <w:rPr>
                <w:rFonts w:ascii="Arial" w:hAnsi="Arial" w:cs="Arial"/>
                <w:color w:val="000000"/>
                <w:sz w:val="18"/>
                <w:szCs w:val="18"/>
                <w:lang w:val="cs-CZ"/>
              </w:rPr>
              <w:t xml:space="preserve"> </w:t>
            </w:r>
            <w:proofErr w:type="spellStart"/>
            <w:r w:rsidRPr="00A76D60">
              <w:rPr>
                <w:rFonts w:ascii="Arial" w:hAnsi="Arial" w:cs="Arial"/>
                <w:color w:val="000000"/>
                <w:sz w:val="18"/>
                <w:szCs w:val="18"/>
                <w:lang w:val="cs-CZ"/>
              </w:rPr>
              <w:t>subkritérií</w:t>
            </w:r>
            <w:proofErr w:type="spellEnd"/>
            <w:r w:rsidRPr="00A76D60">
              <w:rPr>
                <w:rFonts w:ascii="Arial" w:hAnsi="Arial" w:cs="Arial"/>
                <w:color w:val="000000"/>
                <w:sz w:val="18"/>
                <w:szCs w:val="18"/>
              </w:rPr>
              <w:t xml:space="preserve"> předběžné podmínky</w:t>
            </w:r>
            <w:r w:rsidRPr="00A76D60">
              <w:rPr>
                <w:rFonts w:ascii="Arial" w:hAnsi="Arial" w:cs="Arial"/>
                <w:color w:val="000000"/>
                <w:sz w:val="18"/>
                <w:szCs w:val="18"/>
                <w:lang w:val="cs-CZ"/>
              </w:rPr>
              <w:t xml:space="preserve"> pracují národní orgány v pracovní skupině přímo zřízené pouze pro uvedený účel (Pracovní skupina k problematice veřejných zakázek nebo také jen PS Veřejné zakázky), práci této skupiny řídí MMR ČR</w:t>
            </w:r>
            <w:r w:rsidR="003B3824">
              <w:rPr>
                <w:rFonts w:ascii="Arial" w:hAnsi="Arial" w:cs="Arial"/>
                <w:color w:val="000000"/>
                <w:sz w:val="18"/>
                <w:szCs w:val="18"/>
                <w:lang w:val="cs-CZ"/>
              </w:rPr>
              <w:t xml:space="preserve"> a schází se minimálně čtyřikrát ročně</w:t>
            </w:r>
            <w:r w:rsidRPr="00A76D60">
              <w:rPr>
                <w:rFonts w:ascii="Arial" w:hAnsi="Arial" w:cs="Arial"/>
                <w:color w:val="000000"/>
                <w:sz w:val="18"/>
                <w:szCs w:val="18"/>
                <w:lang w:val="cs-CZ"/>
              </w:rPr>
              <w:t xml:space="preserve">, hlavními cíli činnosti PS Veřejné zakázky je zejména plnění </w:t>
            </w:r>
            <w:proofErr w:type="spellStart"/>
            <w:r w:rsidRPr="00A76D60">
              <w:rPr>
                <w:rFonts w:ascii="Arial" w:hAnsi="Arial" w:cs="Arial"/>
                <w:color w:val="000000"/>
                <w:sz w:val="18"/>
                <w:szCs w:val="18"/>
                <w:lang w:val="cs-CZ"/>
              </w:rPr>
              <w:t>subkritérií</w:t>
            </w:r>
            <w:proofErr w:type="spellEnd"/>
            <w:r w:rsidRPr="00A76D60">
              <w:rPr>
                <w:rFonts w:ascii="Arial" w:hAnsi="Arial" w:cs="Arial"/>
                <w:color w:val="000000"/>
                <w:sz w:val="18"/>
                <w:szCs w:val="18"/>
                <w:lang w:val="cs-CZ"/>
              </w:rPr>
              <w:t xml:space="preserve"> týkajících se odborné přípravy, sdílení informací o kontrolní činnosti řídících orgánů, odborná podpora řídích orgánů při jejich kontrolní činnosti v oblasti veřejných zakázek, možnost bezprostřední reakce při zjištění nových způsobů porušování předpisů upravujících zadávání veřejných zakázek, šíření informací a posílení správní kapacity. V rámci této skupiny předpokládáme mimo</w:t>
            </w:r>
            <w:r>
              <w:rPr>
                <w:rFonts w:ascii="Arial" w:hAnsi="Arial" w:cs="Arial"/>
                <w:color w:val="000000"/>
                <w:sz w:val="18"/>
                <w:szCs w:val="18"/>
                <w:lang w:val="cs-CZ"/>
              </w:rPr>
              <w:t xml:space="preserve"> </w:t>
            </w:r>
            <w:r w:rsidRPr="00736FEC">
              <w:rPr>
                <w:rFonts w:ascii="Arial" w:hAnsi="Arial" w:cs="Arial"/>
                <w:color w:val="000000"/>
                <w:sz w:val="18"/>
                <w:szCs w:val="18"/>
                <w:lang w:val="cs-CZ"/>
              </w:rPr>
              <w:t>jiné</w:t>
            </w:r>
            <w:r w:rsidRPr="00A76D60">
              <w:rPr>
                <w:rFonts w:ascii="Arial" w:hAnsi="Arial" w:cs="Arial"/>
                <w:color w:val="000000"/>
                <w:sz w:val="18"/>
                <w:szCs w:val="18"/>
                <w:lang w:val="cs-CZ"/>
              </w:rPr>
              <w:t xml:space="preserve"> sjednocení aplikační praxe při kontrolní činnosti řídících orgánů a ostatních subjektů implementační struktury</w:t>
            </w:r>
            <w:r>
              <w:rPr>
                <w:rFonts w:ascii="Arial" w:hAnsi="Arial" w:cs="Arial"/>
                <w:color w:val="000000"/>
                <w:sz w:val="18"/>
                <w:szCs w:val="18"/>
                <w:lang w:val="cs-CZ"/>
              </w:rPr>
              <w:t xml:space="preserve"> </w:t>
            </w:r>
            <w:r w:rsidRPr="00736FEC">
              <w:rPr>
                <w:rFonts w:ascii="Arial" w:hAnsi="Arial" w:cs="Arial"/>
                <w:color w:val="000000"/>
                <w:sz w:val="18"/>
                <w:szCs w:val="18"/>
                <w:lang w:val="cs-CZ"/>
              </w:rPr>
              <w:t>a</w:t>
            </w:r>
            <w:r w:rsidRPr="00A76D60">
              <w:rPr>
                <w:rFonts w:ascii="Arial" w:hAnsi="Arial" w:cs="Arial"/>
                <w:color w:val="000000"/>
                <w:sz w:val="18"/>
                <w:szCs w:val="18"/>
                <w:lang w:val="cs-CZ"/>
              </w:rPr>
              <w:t xml:space="preserve"> také identifikaci problémů při zadávání veřejných zakázek, zvýšení efektivity při řešení těchto problémů, přičemž na konci roku 2016 bude zpracována zpráva o činnosti skupiny obsahující výsledky její činnosti. V této souvislosti připomínáme, že s ohledem na dřívější legislativní úpravy je v ČR již od roku 2012 zásadně zvýšena transparentnost </w:t>
            </w:r>
            <w:r w:rsidRPr="00736FEC">
              <w:rPr>
                <w:rFonts w:ascii="Arial" w:hAnsi="Arial" w:cs="Arial"/>
                <w:color w:val="000000"/>
                <w:sz w:val="18"/>
                <w:szCs w:val="18"/>
                <w:lang w:val="cs-CZ"/>
              </w:rPr>
              <w:t>zadáván</w:t>
            </w:r>
            <w:r w:rsidRPr="008017DD">
              <w:rPr>
                <w:rFonts w:ascii="Arial" w:hAnsi="Arial" w:cs="Arial"/>
                <w:color w:val="000000"/>
                <w:sz w:val="18"/>
                <w:szCs w:val="18"/>
                <w:lang w:val="cs-CZ"/>
              </w:rPr>
              <w:t>í</w:t>
            </w:r>
            <w:r w:rsidRPr="00A76D60">
              <w:rPr>
                <w:rFonts w:ascii="Arial" w:hAnsi="Arial" w:cs="Arial"/>
                <w:color w:val="000000"/>
                <w:sz w:val="18"/>
                <w:szCs w:val="18"/>
                <w:lang w:val="cs-CZ"/>
              </w:rPr>
              <w:t xml:space="preserve"> veřejných zakázek, protože zadávací podmínky veřejných zakázek jsou povinně uveřejňovány na internetu, přičemž úprava obsažená ve směrnici</w:t>
            </w:r>
            <w:r>
              <w:rPr>
                <w:rFonts w:ascii="Arial" w:hAnsi="Arial" w:cs="Arial"/>
                <w:color w:val="000000"/>
                <w:sz w:val="18"/>
                <w:szCs w:val="18"/>
                <w:lang w:val="cs-CZ"/>
              </w:rPr>
              <w:t xml:space="preserve"> </w:t>
            </w:r>
            <w:r w:rsidRPr="00736FEC">
              <w:rPr>
                <w:rFonts w:ascii="Arial" w:hAnsi="Arial" w:cs="Arial"/>
                <w:color w:val="000000"/>
                <w:sz w:val="18"/>
                <w:szCs w:val="18"/>
                <w:lang w:val="cs-CZ"/>
              </w:rPr>
              <w:t>Evropského parlamentu a Rady 2014/24/EU</w:t>
            </w:r>
            <w:r w:rsidRPr="00A76D60">
              <w:rPr>
                <w:rFonts w:ascii="Arial" w:hAnsi="Arial" w:cs="Arial"/>
                <w:color w:val="000000"/>
                <w:sz w:val="18"/>
                <w:szCs w:val="18"/>
                <w:lang w:val="cs-CZ"/>
              </w:rPr>
              <w:t xml:space="preserve"> tuto povinnost zavádí až od roku 2016. </w:t>
            </w:r>
          </w:p>
          <w:p w:rsidR="0083711E" w:rsidRPr="00A76D60" w:rsidRDefault="0083711E" w:rsidP="00C36EE6">
            <w:pPr>
              <w:pStyle w:val="Prosttext"/>
              <w:spacing w:before="80" w:after="80"/>
              <w:jc w:val="both"/>
              <w:rPr>
                <w:rFonts w:ascii="Arial" w:hAnsi="Arial" w:cs="Arial"/>
                <w:color w:val="000000"/>
                <w:sz w:val="18"/>
                <w:szCs w:val="18"/>
                <w:lang w:val="cs-CZ"/>
              </w:rPr>
            </w:pPr>
            <w:r w:rsidRPr="004C04BC">
              <w:rPr>
                <w:rFonts w:ascii="Arial" w:hAnsi="Arial" w:cs="Arial"/>
                <w:color w:val="000000"/>
                <w:sz w:val="18"/>
                <w:szCs w:val="18"/>
                <w:lang w:val="cs-CZ"/>
              </w:rPr>
              <w:t>Činnost skupiny bude zejména preventivní, kdy na základě analýz jednotlivých zjištění budou vydávána doporučení pro ŘO ve věci kontroly veřejných zakázek, na jaké aspekty se při kontrole veřejných zakázek zaměřit. Zprostředkovaně přes ŘO budou vydávána doporučení pro příjemce (zadavatele) k tomu, jak správně postupovat při zadávání</w:t>
            </w:r>
            <w:r>
              <w:rPr>
                <w:rFonts w:ascii="Arial" w:hAnsi="Arial" w:cs="Arial"/>
                <w:color w:val="000000"/>
                <w:sz w:val="18"/>
                <w:szCs w:val="18"/>
                <w:lang w:val="cs-CZ"/>
              </w:rPr>
              <w:t xml:space="preserve"> </w:t>
            </w:r>
            <w:r w:rsidRPr="004C04BC">
              <w:rPr>
                <w:rFonts w:ascii="Arial" w:hAnsi="Arial" w:cs="Arial"/>
                <w:color w:val="000000"/>
                <w:sz w:val="18"/>
                <w:szCs w:val="18"/>
                <w:lang w:val="cs-CZ"/>
              </w:rPr>
              <w:t xml:space="preserve">veřejných zakázek a jakých postupů se naopak vyvarovat. Tato doporučení budou projednávána právě na PS Veřejné zakázky a formalizována aktualizací Metodického pokynu, který je pro ŘO závazný. V mezidobí provádění aktualizací budou (mohou být) v </w:t>
            </w:r>
            <w:r w:rsidRPr="004C04BC">
              <w:rPr>
                <w:rFonts w:ascii="Arial" w:hAnsi="Arial" w:cs="Arial"/>
                <w:color w:val="000000"/>
                <w:sz w:val="18"/>
                <w:szCs w:val="18"/>
                <w:lang w:val="cs-CZ"/>
              </w:rPr>
              <w:lastRenderedPageBreak/>
              <w:t>urgentních případech vydávána metodická stanoviska ministra pro místní rozvoj, která budou pro ŘO závazná.</w:t>
            </w:r>
            <w:r>
              <w:t xml:space="preserve"> </w:t>
            </w:r>
            <w:r w:rsidRPr="00591489">
              <w:rPr>
                <w:rFonts w:ascii="Arial" w:hAnsi="Arial" w:cs="Arial"/>
                <w:color w:val="000000"/>
                <w:sz w:val="18"/>
                <w:szCs w:val="18"/>
                <w:lang w:val="cs-CZ"/>
              </w:rPr>
              <w:t>Členy Pracovní skupiny Veřejné zakázky jsou řídící orgány, NOK, gestor ZVZ, ÚOHS, Úřad vlády ČR, Svaz měst a obcí ČR, Asociace krajů ČR, PCO, AO, stálým hostem jsou Samostatné oddělení administrativních kapacit na MMR a Odbor publicity EU na MMR.</w:t>
            </w:r>
          </w:p>
          <w:p w:rsidR="0083711E" w:rsidRPr="000A0DF6" w:rsidRDefault="0083711E" w:rsidP="00C36EE6">
            <w:pPr>
              <w:pStyle w:val="Prosttext"/>
              <w:rPr>
                <w:rFonts w:ascii="Arial" w:hAnsi="Arial" w:cs="Arial"/>
                <w:color w:val="000000"/>
                <w:sz w:val="18"/>
                <w:szCs w:val="18"/>
              </w:rPr>
            </w:pPr>
            <w:r w:rsidRPr="000A0DF6">
              <w:rPr>
                <w:rFonts w:ascii="Arial" w:hAnsi="Arial" w:cs="Arial"/>
                <w:color w:val="000000"/>
                <w:sz w:val="18"/>
                <w:szCs w:val="18"/>
              </w:rPr>
              <w:t>Pracovníci gestora zákona o veřejných zakázkách poskytují výklad ZVZ a metodických pokynů platných pro zadávání zakázek spolufinancovaných ze zdrojů EU, které nejsou zadávány podle ZVZ, národním kontrolním orgánům, orgánům činným v trestním řízení, posluchačům Justiční akademie a dalším.</w:t>
            </w:r>
          </w:p>
          <w:p w:rsidR="0083711E" w:rsidRPr="00A76D60" w:rsidRDefault="0083711E" w:rsidP="00C36EE6">
            <w:pPr>
              <w:pStyle w:val="Prosttext"/>
              <w:spacing w:before="80" w:after="80"/>
              <w:jc w:val="both"/>
              <w:rPr>
                <w:rFonts w:ascii="Arial" w:hAnsi="Arial" w:cs="Arial"/>
                <w:color w:val="000000"/>
                <w:sz w:val="18"/>
                <w:szCs w:val="18"/>
                <w:lang w:val="cs-CZ" w:eastAsia="cs-CZ"/>
              </w:rPr>
            </w:pPr>
            <w:r w:rsidRPr="00A76D60">
              <w:rPr>
                <w:rFonts w:ascii="Arial" w:hAnsi="Arial" w:cs="Arial"/>
                <w:color w:val="000000"/>
                <w:sz w:val="18"/>
                <w:szCs w:val="18"/>
                <w:lang w:val="cs-CZ" w:eastAsia="cs-CZ"/>
              </w:rPr>
              <w:t>Opatření je realizováno i v rámci Metodického pokynu k rozvoji lidských zdrojů v programovém období 2014-2020</w:t>
            </w:r>
            <w:r w:rsidRPr="00A76D60">
              <w:rPr>
                <w:rFonts w:ascii="Arial" w:hAnsi="Arial" w:cs="Arial"/>
                <w:sz w:val="18"/>
                <w:szCs w:val="18"/>
                <w:lang w:val="cs-CZ" w:eastAsia="cs-CZ"/>
              </w:rPr>
              <w:t>(UV ČR ze dne 16. června 2014 č. 444)</w:t>
            </w:r>
            <w:r w:rsidRPr="00A76D60">
              <w:rPr>
                <w:rFonts w:ascii="Arial" w:hAnsi="Arial" w:cs="Arial"/>
                <w:color w:val="000000"/>
                <w:sz w:val="18"/>
                <w:szCs w:val="18"/>
                <w:lang w:val="cs-CZ" w:eastAsia="cs-CZ"/>
              </w:rPr>
              <w:t>. Všechny oblasti Metodiky (tedy i odborná příprava resp. vzdělávání a nastavení administrativní kapacity) budou od r. 2014 projednávány na Pracovní skupině Administrativní kapacita.</w:t>
            </w:r>
          </w:p>
          <w:p w:rsidR="0083711E" w:rsidRDefault="0083711E" w:rsidP="00C36EE6">
            <w:pPr>
              <w:pStyle w:val="DAVA"/>
              <w:spacing w:before="80" w:after="80"/>
              <w:jc w:val="both"/>
              <w:rPr>
                <w:rFonts w:cs="Arial"/>
                <w:color w:val="000000"/>
                <w:sz w:val="18"/>
                <w:szCs w:val="18"/>
                <w:lang w:val="cs-CZ" w:eastAsia="cs-CZ"/>
              </w:rPr>
            </w:pPr>
            <w:r w:rsidRPr="00A76D60">
              <w:rPr>
                <w:rFonts w:cs="Arial"/>
                <w:color w:val="000000"/>
                <w:sz w:val="18"/>
                <w:szCs w:val="18"/>
                <w:lang w:val="cs-CZ" w:eastAsia="cs-CZ"/>
              </w:rPr>
              <w:t>MMR-NOK zajišťuje na horizontální úrovni proškolení zaměstnanců implementujících</w:t>
            </w:r>
            <w:r>
              <w:rPr>
                <w:rFonts w:cs="Arial"/>
                <w:color w:val="000000"/>
                <w:sz w:val="18"/>
                <w:szCs w:val="18"/>
                <w:lang w:val="cs-CZ" w:eastAsia="cs-CZ"/>
              </w:rPr>
              <w:t xml:space="preserve"> </w:t>
            </w:r>
            <w:r w:rsidRPr="00391289">
              <w:rPr>
                <w:rFonts w:cs="Arial"/>
                <w:color w:val="000000"/>
                <w:sz w:val="18"/>
                <w:szCs w:val="18"/>
                <w:lang w:val="cs-CZ" w:eastAsia="cs-CZ"/>
              </w:rPr>
              <w:t>čerpání příspěvků z fondů</w:t>
            </w:r>
            <w:r w:rsidRPr="00A76D60">
              <w:rPr>
                <w:rFonts w:cs="Arial"/>
                <w:color w:val="000000"/>
                <w:sz w:val="18"/>
                <w:szCs w:val="18"/>
                <w:lang w:val="cs-CZ" w:eastAsia="cs-CZ"/>
              </w:rPr>
              <w:t xml:space="preserve"> EU v rámci Systému vzdělávání, MMR OPVZK zajišťuje obsahovou náplň vzdělávání a lektorské zajištění.</w:t>
            </w:r>
          </w:p>
          <w:p w:rsidR="0083711E" w:rsidRPr="004575DA" w:rsidRDefault="004575DA" w:rsidP="004575DA">
            <w:pPr>
              <w:pStyle w:val="Prosttext"/>
              <w:rPr>
                <w:rFonts w:ascii="Arial" w:hAnsi="Arial" w:cs="Arial"/>
                <w:sz w:val="18"/>
                <w:szCs w:val="18"/>
                <w:lang w:val="cs-CZ"/>
              </w:rPr>
            </w:pPr>
            <w:r w:rsidRPr="00E517F2">
              <w:rPr>
                <w:rFonts w:ascii="Arial" w:hAnsi="Arial" w:cs="Arial"/>
                <w:sz w:val="18"/>
                <w:szCs w:val="18"/>
              </w:rPr>
              <w:t>V současné době stále funguje Systém vzdělávání 2007-2013, který bude ukončen v březnu 2015. Zároveň je připravován navazující Systém vzdělávání 2014-2020.</w:t>
            </w:r>
          </w:p>
          <w:p w:rsidR="0083711E" w:rsidRPr="00A76D60" w:rsidRDefault="0083711E" w:rsidP="00C36EE6">
            <w:pPr>
              <w:pStyle w:val="Prosttext"/>
              <w:spacing w:before="80" w:after="80"/>
              <w:jc w:val="both"/>
              <w:rPr>
                <w:rFonts w:ascii="Arial" w:hAnsi="Arial" w:cs="Arial"/>
                <w:sz w:val="18"/>
                <w:szCs w:val="18"/>
                <w:lang w:val="cs-CZ" w:eastAsia="cs-CZ"/>
              </w:rPr>
            </w:pPr>
            <w:r w:rsidRPr="00A76D60">
              <w:rPr>
                <w:rFonts w:ascii="Arial" w:hAnsi="Arial" w:cs="Arial"/>
                <w:sz w:val="18"/>
                <w:szCs w:val="18"/>
                <w:lang w:val="cs-CZ" w:eastAsia="cs-CZ"/>
              </w:rPr>
              <w:t xml:space="preserve">Obecným cílem Metodického pokynu k rozvoji lidských zdrojů je nastavení jednotných požadavků na zajištění kvalitní administrativní kapacity podílející se na realizaci cílů Dohody o partnerství a jednotlivých činností při implementaci programů </w:t>
            </w:r>
          </w:p>
          <w:p w:rsidR="0083711E" w:rsidRPr="00A76D60" w:rsidRDefault="0083711E" w:rsidP="00C36EE6">
            <w:pPr>
              <w:pStyle w:val="Prosttext"/>
              <w:spacing w:before="80" w:after="80"/>
              <w:jc w:val="both"/>
              <w:rPr>
                <w:rFonts w:ascii="Arial" w:hAnsi="Arial" w:cs="Arial"/>
                <w:sz w:val="18"/>
                <w:szCs w:val="18"/>
                <w:lang w:val="cs-CZ" w:eastAsia="cs-CZ"/>
              </w:rPr>
            </w:pPr>
            <w:r w:rsidRPr="00A76D60">
              <w:rPr>
                <w:rFonts w:ascii="Arial" w:hAnsi="Arial" w:cs="Arial"/>
                <w:sz w:val="18"/>
                <w:szCs w:val="18"/>
                <w:lang w:val="cs-CZ" w:eastAsia="cs-CZ"/>
              </w:rPr>
              <w:t xml:space="preserve">a jedním ze specifických cílů Metodického pokynu je vytvoření systému vzdělávání zaměstnanců, kteří se podílejí na implementaci fondů EU tak, aby odpovídal jejich potřebám na pracovních pozicích, popsaných v řídicích dokumentech programů, řízení a koordinace </w:t>
            </w:r>
            <w:proofErr w:type="spellStart"/>
            <w:r w:rsidRPr="00A76D60">
              <w:rPr>
                <w:rFonts w:ascii="Arial" w:hAnsi="Arial" w:cs="Arial"/>
                <w:sz w:val="18"/>
                <w:szCs w:val="18"/>
                <w:lang w:val="cs-CZ" w:eastAsia="cs-CZ"/>
              </w:rPr>
              <w:t>DoP</w:t>
            </w:r>
            <w:proofErr w:type="spellEnd"/>
            <w:r w:rsidRPr="00A76D60">
              <w:rPr>
                <w:rFonts w:ascii="Arial" w:hAnsi="Arial" w:cs="Arial"/>
                <w:sz w:val="18"/>
                <w:szCs w:val="18"/>
                <w:lang w:val="cs-CZ" w:eastAsia="cs-CZ"/>
              </w:rPr>
              <w:t xml:space="preserve">, </w:t>
            </w:r>
          </w:p>
          <w:p w:rsidR="0083711E" w:rsidRPr="00A76D60" w:rsidRDefault="0083711E" w:rsidP="00C36EE6">
            <w:pPr>
              <w:pStyle w:val="Prosttext"/>
              <w:spacing w:before="80" w:after="80"/>
              <w:jc w:val="both"/>
              <w:rPr>
                <w:rFonts w:ascii="Arial" w:hAnsi="Arial" w:cs="Arial"/>
                <w:sz w:val="18"/>
                <w:szCs w:val="18"/>
                <w:lang w:val="cs-CZ" w:eastAsia="cs-CZ"/>
              </w:rPr>
            </w:pPr>
            <w:r w:rsidRPr="00A76D60">
              <w:rPr>
                <w:rFonts w:ascii="Arial" w:hAnsi="Arial" w:cs="Arial"/>
                <w:sz w:val="18"/>
                <w:szCs w:val="18"/>
                <w:lang w:val="cs-CZ" w:eastAsia="cs-CZ"/>
              </w:rPr>
              <w:t xml:space="preserve">a zajistil podmínky pro prosazování principu transparentnosti a protikorupčního jednání. Vzdělávání zajišťuje podmínky pro stabilizaci a motivaci zaměstnanců implementační struktury v návaznosti na potřeby jejich odborného růstu a zvyšování znalostí a dovedností. </w:t>
            </w:r>
          </w:p>
          <w:p w:rsidR="0083711E" w:rsidRPr="00A76D60" w:rsidRDefault="0083711E" w:rsidP="00C36EE6">
            <w:pPr>
              <w:pStyle w:val="Prosttext"/>
              <w:spacing w:before="80" w:after="80"/>
              <w:jc w:val="both"/>
              <w:rPr>
                <w:rFonts w:ascii="Arial" w:hAnsi="Arial" w:cs="Arial"/>
                <w:sz w:val="18"/>
                <w:szCs w:val="18"/>
                <w:lang w:val="cs-CZ" w:eastAsia="cs-CZ"/>
              </w:rPr>
            </w:pPr>
            <w:r w:rsidRPr="00A76D60">
              <w:rPr>
                <w:rFonts w:ascii="Arial" w:hAnsi="Arial" w:cs="Arial"/>
                <w:sz w:val="18"/>
                <w:szCs w:val="18"/>
                <w:lang w:val="cs-CZ" w:eastAsia="cs-CZ"/>
              </w:rPr>
              <w:t xml:space="preserve">Nabídka vzdělávacích aktivit se odvíjí od cílů jednotlivých programů a individuálních vzdělávacích plánů vytvářených při hodnocení zaměstnanců. </w:t>
            </w:r>
          </w:p>
          <w:p w:rsidR="0083711E" w:rsidRPr="00A76D60" w:rsidRDefault="0083711E" w:rsidP="00C36EE6">
            <w:pPr>
              <w:pStyle w:val="Prosttext"/>
              <w:spacing w:before="80" w:after="80"/>
              <w:jc w:val="both"/>
              <w:rPr>
                <w:rFonts w:ascii="Arial" w:hAnsi="Arial" w:cs="Arial"/>
                <w:sz w:val="18"/>
                <w:szCs w:val="18"/>
                <w:lang w:val="cs-CZ" w:eastAsia="cs-CZ"/>
              </w:rPr>
            </w:pPr>
            <w:r w:rsidRPr="00A76D60">
              <w:rPr>
                <w:rFonts w:ascii="Arial" w:hAnsi="Arial" w:cs="Arial"/>
                <w:sz w:val="18"/>
                <w:szCs w:val="18"/>
                <w:lang w:val="cs-CZ" w:eastAsia="cs-CZ"/>
              </w:rPr>
              <w:t xml:space="preserve">Termíny vzdělávacích akcí jsou zveřejněny na webových stránkách Systému vzdělávání. </w:t>
            </w:r>
          </w:p>
          <w:p w:rsidR="0083711E" w:rsidRPr="00A76D60" w:rsidRDefault="0083711E" w:rsidP="00C36EE6">
            <w:pPr>
              <w:pStyle w:val="Prosttext"/>
              <w:spacing w:before="80" w:after="80"/>
              <w:jc w:val="both"/>
              <w:rPr>
                <w:rFonts w:ascii="Arial" w:hAnsi="Arial" w:cs="Arial"/>
                <w:sz w:val="18"/>
                <w:szCs w:val="18"/>
                <w:lang w:val="cs-CZ" w:eastAsia="cs-CZ"/>
              </w:rPr>
            </w:pPr>
            <w:r w:rsidRPr="00A76D60">
              <w:rPr>
                <w:rFonts w:ascii="Arial" w:hAnsi="Arial" w:cs="Arial"/>
                <w:sz w:val="18"/>
                <w:szCs w:val="18"/>
                <w:lang w:val="cs-CZ" w:eastAsia="cs-CZ"/>
              </w:rPr>
              <w:t xml:space="preserve">Vzdělávací akce jsou průběžně vyhodnocovány na základě zpětné vazby účastníků </w:t>
            </w:r>
            <w:r w:rsidRPr="00A76D60">
              <w:rPr>
                <w:rFonts w:ascii="Arial" w:hAnsi="Arial" w:cs="Arial"/>
                <w:sz w:val="18"/>
                <w:szCs w:val="18"/>
                <w:lang w:val="cs-CZ" w:eastAsia="cs-CZ"/>
              </w:rPr>
              <w:lastRenderedPageBreak/>
              <w:t>získávané prostřednictvím hodnotících dotazníků (s cílem optimalizovat efektivitu). Prezentace ze vzdělávacích akcí jsou účastníkům dále k dispozici v e-knihovně na webových stránkách Systému vzdělávání.</w:t>
            </w:r>
          </w:p>
          <w:p w:rsidR="0083711E" w:rsidRPr="00A76D60" w:rsidRDefault="0083711E" w:rsidP="00C36EE6">
            <w:pPr>
              <w:pStyle w:val="Prosttext"/>
              <w:spacing w:before="80" w:after="80"/>
              <w:jc w:val="both"/>
              <w:rPr>
                <w:rFonts w:ascii="Arial" w:hAnsi="Arial" w:cs="Arial"/>
                <w:color w:val="000000"/>
                <w:sz w:val="18"/>
                <w:szCs w:val="18"/>
                <w:lang w:val="cs-CZ"/>
              </w:rPr>
            </w:pPr>
            <w:r w:rsidRPr="00A76D60">
              <w:rPr>
                <w:rFonts w:ascii="Arial" w:hAnsi="Arial" w:cs="Arial"/>
                <w:sz w:val="18"/>
                <w:szCs w:val="18"/>
                <w:lang w:val="cs-CZ" w:eastAsia="cs-CZ"/>
              </w:rPr>
              <w:t>Realizace Systému vzdělávání probíhá na základě spolupráce MMR-NOK se zástupci (koordinátory vzdělávání) jednotlivých subjektů implementace, kteří 2x ročně zasílají MMR-NOK své požadavky na zajištění vzdělávacích akcí v rámci Systému vzdělávání pro programové období 2014-2020 budou projednávány na Pracovní skupině Administrativní kapacita (pro programové období 2007-2013 to byla PS Vzdělávání pro NSRR).</w:t>
            </w:r>
            <w:r w:rsidRPr="00A76D60">
              <w:rPr>
                <w:rFonts w:ascii="Arial" w:hAnsi="Arial" w:cs="Arial"/>
                <w:color w:val="000000"/>
                <w:sz w:val="18"/>
                <w:szCs w:val="18"/>
              </w:rPr>
              <w:t xml:space="preserve"> </w:t>
            </w:r>
          </w:p>
          <w:p w:rsidR="0083711E" w:rsidRPr="00A76D60" w:rsidRDefault="0083711E" w:rsidP="00C36EE6">
            <w:pPr>
              <w:pStyle w:val="Prosttext"/>
              <w:spacing w:before="80" w:after="80"/>
              <w:jc w:val="both"/>
              <w:rPr>
                <w:rFonts w:ascii="Arial" w:hAnsi="Arial" w:cs="Arial"/>
                <w:sz w:val="18"/>
                <w:szCs w:val="18"/>
                <w:lang w:val="cs-CZ" w:eastAsia="cs-CZ"/>
              </w:rPr>
            </w:pPr>
            <w:r w:rsidRPr="00A76D60">
              <w:rPr>
                <w:rFonts w:ascii="Arial" w:hAnsi="Arial" w:cs="Arial"/>
                <w:sz w:val="18"/>
                <w:szCs w:val="18"/>
                <w:lang w:val="cs-CZ" w:eastAsia="cs-CZ"/>
              </w:rPr>
              <w:t>Byly uskutečněny tři konference k připravovaným změnám v oblasti veřejného zadávání.</w:t>
            </w:r>
          </w:p>
          <w:p w:rsidR="004575DA" w:rsidRDefault="00DC1508" w:rsidP="004575DA">
            <w:pPr>
              <w:pStyle w:val="DAVA"/>
              <w:spacing w:before="80" w:after="80"/>
              <w:jc w:val="both"/>
              <w:rPr>
                <w:rFonts w:cs="Arial"/>
                <w:color w:val="000000"/>
                <w:sz w:val="18"/>
                <w:szCs w:val="18"/>
                <w:lang w:val="cs-CZ" w:eastAsia="cs-CZ"/>
              </w:rPr>
            </w:pPr>
            <w:r w:rsidRPr="00DC1508">
              <w:rPr>
                <w:rFonts w:cs="Arial"/>
                <w:color w:val="000000"/>
                <w:sz w:val="18"/>
                <w:szCs w:val="18"/>
                <w:lang w:val="cs-CZ" w:eastAsia="cs-CZ"/>
              </w:rPr>
              <w:t xml:space="preserve">ŘO OP PIK: </w:t>
            </w:r>
          </w:p>
          <w:p w:rsidR="001A192E" w:rsidRPr="004575DA" w:rsidRDefault="00DC1508" w:rsidP="004575DA">
            <w:pPr>
              <w:pStyle w:val="DAVA"/>
              <w:spacing w:before="80" w:after="80"/>
              <w:jc w:val="both"/>
              <w:rPr>
                <w:rFonts w:cs="Arial"/>
                <w:sz w:val="18"/>
                <w:szCs w:val="18"/>
              </w:rPr>
            </w:pPr>
            <w:r w:rsidRPr="004575DA">
              <w:rPr>
                <w:rFonts w:cs="Arial"/>
                <w:sz w:val="18"/>
                <w:szCs w:val="18"/>
              </w:rPr>
              <w:t>MPO jako Řídící orgán OP PIK průběžně proškoluje zaměstnance v závislosti na aktuální potřebě. Důraz je kladen především na proškolení zaměstnanců v oblasti nových právních předpisů a jejich aplikace do praxe. Zaměstnanci OP PIK jsou zapojeni do Systému vzdělávání.</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vAlign w:val="center"/>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bottom w:val="single" w:sz="4" w:space="0" w:color="auto"/>
              <w:right w:val="single" w:sz="4" w:space="0" w:color="auto"/>
            </w:tcBorders>
            <w:shd w:val="clear" w:color="auto" w:fill="FFFFFF"/>
            <w:vAlign w:val="center"/>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bottom w:val="single" w:sz="4" w:space="0" w:color="auto"/>
              <w:right w:val="single" w:sz="4" w:space="0" w:color="auto"/>
            </w:tcBorders>
            <w:shd w:val="clear" w:color="auto" w:fill="FFFFFF"/>
            <w:vAlign w:val="center"/>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412654" w:rsidRDefault="0083711E" w:rsidP="00C36EE6">
            <w:pPr>
              <w:pStyle w:val="DAVA"/>
              <w:spacing w:before="80" w:after="80"/>
              <w:rPr>
                <w:rFonts w:cs="Arial"/>
                <w:sz w:val="18"/>
                <w:szCs w:val="18"/>
                <w:lang w:val="cs-CZ" w:eastAsia="cs-CZ"/>
              </w:rPr>
            </w:pPr>
            <w:r w:rsidRPr="00412654">
              <w:rPr>
                <w:rFonts w:cs="Arial"/>
                <w:color w:val="000000"/>
                <w:sz w:val="18"/>
                <w:szCs w:val="18"/>
                <w:lang w:eastAsia="cs-CZ"/>
              </w:rPr>
              <w:t>Opatření k posílení správní kapacity pro provádění a uplatňování právních předpisů Unie o veřejných zakázkách.</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412654" w:rsidRDefault="004575DA" w:rsidP="00C36EE6">
            <w:pPr>
              <w:pStyle w:val="DAVA"/>
              <w:spacing w:before="80" w:after="80"/>
              <w:rPr>
                <w:rFonts w:cs="Arial"/>
                <w:sz w:val="18"/>
                <w:szCs w:val="18"/>
                <w:lang w:val="cs-CZ" w:eastAsia="cs-CZ"/>
              </w:rPr>
            </w:pPr>
            <w:r>
              <w:rPr>
                <w:rFonts w:cs="Arial"/>
                <w:sz w:val="18"/>
                <w:szCs w:val="18"/>
                <w:lang w:val="cs-CZ" w:eastAsia="cs-CZ"/>
              </w:rPr>
              <w:t>částečně</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Částečné doplnění pracovníků na pracovní pozice v odboru práva veřejných zakázek a koncesí na Ministerstvu pro místní rozvoj ČR</w:t>
            </w: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5E7867" w:rsidRDefault="005E7867" w:rsidP="00C36EE6">
            <w:pPr>
              <w:pStyle w:val="DAVA"/>
              <w:spacing w:before="80" w:after="80"/>
              <w:rPr>
                <w:rFonts w:cs="Arial"/>
                <w:sz w:val="18"/>
                <w:szCs w:val="18"/>
                <w:lang w:val="cs-CZ"/>
              </w:rPr>
            </w:pPr>
            <w:r>
              <w:rPr>
                <w:rFonts w:cs="Arial"/>
                <w:sz w:val="18"/>
                <w:szCs w:val="18"/>
                <w:lang w:val="cs-CZ"/>
              </w:rPr>
              <w:t>Gestor PP: Plnění NE</w:t>
            </w:r>
          </w:p>
          <w:p w:rsidR="0083711E" w:rsidRPr="00A76D60" w:rsidRDefault="0083711E" w:rsidP="00C36EE6">
            <w:pPr>
              <w:pStyle w:val="DAVA"/>
              <w:spacing w:before="80" w:after="80"/>
              <w:rPr>
                <w:rFonts w:cs="Arial"/>
                <w:sz w:val="18"/>
                <w:szCs w:val="18"/>
              </w:rPr>
            </w:pPr>
            <w:r w:rsidRPr="00A76D60">
              <w:rPr>
                <w:rFonts w:cs="Arial"/>
                <w:sz w:val="18"/>
                <w:szCs w:val="18"/>
              </w:rPr>
              <w:t>Nové povinnosti stanovené zákonem o veřejných zakázkách a větší počet veřejných zakázek zadávaných podle zákona o veřejných zakázkách si vyžádaly doplnění pracovníků do útvaru OPVZK na MMR</w:t>
            </w:r>
            <w:r>
              <w:rPr>
                <w:rFonts w:cs="Arial"/>
                <w:sz w:val="18"/>
                <w:szCs w:val="18"/>
                <w:lang w:val="cs-CZ"/>
              </w:rPr>
              <w:t xml:space="preserve"> </w:t>
            </w:r>
            <w:r w:rsidRPr="008017DD">
              <w:rPr>
                <w:rFonts w:cs="Arial"/>
                <w:sz w:val="18"/>
                <w:szCs w:val="18"/>
                <w:lang w:val="cs-CZ"/>
              </w:rPr>
              <w:t>(</w:t>
            </w:r>
            <w:r w:rsidRPr="00391289">
              <w:rPr>
                <w:rFonts w:cs="Arial"/>
                <w:sz w:val="18"/>
                <w:szCs w:val="18"/>
                <w:lang w:val="cs-CZ"/>
              </w:rPr>
              <w:t>gestor zákona o veřejných zakázkách</w:t>
            </w:r>
            <w:r w:rsidRPr="008017DD">
              <w:rPr>
                <w:rFonts w:cs="Arial"/>
                <w:sz w:val="18"/>
                <w:szCs w:val="18"/>
                <w:lang w:val="cs-CZ"/>
              </w:rPr>
              <w:t>)</w:t>
            </w:r>
            <w:r w:rsidRPr="008017DD">
              <w:rPr>
                <w:rFonts w:cs="Arial"/>
                <w:sz w:val="18"/>
                <w:szCs w:val="18"/>
              </w:rPr>
              <w:t>.</w:t>
            </w:r>
          </w:p>
          <w:p w:rsidR="0083711E" w:rsidRPr="00A76D60" w:rsidRDefault="0083711E" w:rsidP="00C36EE6">
            <w:pPr>
              <w:pStyle w:val="DAVA"/>
              <w:spacing w:before="80" w:after="80"/>
              <w:rPr>
                <w:rFonts w:cs="Arial"/>
                <w:sz w:val="18"/>
                <w:szCs w:val="18"/>
              </w:rPr>
            </w:pPr>
            <w:r w:rsidRPr="00A76D60">
              <w:rPr>
                <w:rFonts w:cs="Arial"/>
                <w:sz w:val="18"/>
                <w:szCs w:val="18"/>
              </w:rPr>
              <w:t xml:space="preserve">V současné době je opatření ze strany ŘO </w:t>
            </w:r>
            <w:r>
              <w:rPr>
                <w:rFonts w:cs="Arial"/>
                <w:sz w:val="18"/>
                <w:szCs w:val="18"/>
                <w:lang w:val="cs-CZ"/>
              </w:rPr>
              <w:t xml:space="preserve">průběžně </w:t>
            </w:r>
            <w:r w:rsidRPr="00A76D60">
              <w:rPr>
                <w:rFonts w:cs="Arial"/>
                <w:sz w:val="18"/>
                <w:szCs w:val="18"/>
              </w:rPr>
              <w:t>naplňováno, bude kromě jiného záviset na vývoji a počtu vyhlašovaných výzev.</w:t>
            </w:r>
          </w:p>
          <w:p w:rsidR="0083711E" w:rsidRDefault="0083711E" w:rsidP="00C36EE6">
            <w:pPr>
              <w:pStyle w:val="DAVA"/>
              <w:spacing w:before="80" w:after="80"/>
              <w:rPr>
                <w:rFonts w:cs="Arial"/>
                <w:sz w:val="18"/>
                <w:szCs w:val="18"/>
                <w:lang w:val="cs-CZ"/>
              </w:rPr>
            </w:pPr>
            <w:r w:rsidRPr="00A76D60">
              <w:rPr>
                <w:rFonts w:cs="Arial"/>
                <w:sz w:val="18"/>
                <w:szCs w:val="18"/>
              </w:rPr>
              <w:t>Termín doplnění správních kapacit bude u jednotlivých programů rozdílný</w:t>
            </w:r>
            <w:r w:rsidRPr="008017DD">
              <w:rPr>
                <w:rFonts w:cs="Arial"/>
                <w:sz w:val="18"/>
                <w:szCs w:val="18"/>
              </w:rPr>
              <w:t xml:space="preserve">. </w:t>
            </w:r>
            <w:r>
              <w:rPr>
                <w:rFonts w:cs="Arial"/>
                <w:sz w:val="18"/>
                <w:szCs w:val="18"/>
                <w:lang w:val="cs-CZ"/>
              </w:rPr>
              <w:t xml:space="preserve"> </w:t>
            </w:r>
            <w:r w:rsidRPr="00391289">
              <w:rPr>
                <w:rFonts w:cs="Arial"/>
                <w:sz w:val="18"/>
                <w:szCs w:val="18"/>
                <w:lang w:val="cs-CZ"/>
              </w:rPr>
              <w:t>P</w:t>
            </w:r>
            <w:proofErr w:type="spellStart"/>
            <w:r w:rsidRPr="008017DD">
              <w:rPr>
                <w:rFonts w:cs="Arial"/>
                <w:sz w:val="18"/>
                <w:szCs w:val="18"/>
              </w:rPr>
              <w:t>růběžné</w:t>
            </w:r>
            <w:proofErr w:type="spellEnd"/>
            <w:r w:rsidRPr="008017DD">
              <w:rPr>
                <w:rFonts w:cs="Arial"/>
                <w:sz w:val="18"/>
                <w:szCs w:val="18"/>
              </w:rPr>
              <w:t xml:space="preserve"> plnění</w:t>
            </w:r>
            <w:r w:rsidRPr="00391289">
              <w:rPr>
                <w:rFonts w:cs="Arial"/>
                <w:sz w:val="18"/>
                <w:szCs w:val="18"/>
                <w:lang w:val="cs-CZ"/>
              </w:rPr>
              <w:t xml:space="preserve"> probíhá</w:t>
            </w:r>
            <w:r w:rsidRPr="00A76D60">
              <w:rPr>
                <w:rFonts w:cs="Arial"/>
                <w:sz w:val="18"/>
                <w:szCs w:val="18"/>
              </w:rPr>
              <w:t xml:space="preserve"> počínaje od 1. pololetí 2014, rovněž v závislosti na nabídce trhu práce.</w:t>
            </w:r>
            <w:r w:rsidRPr="00A76D60">
              <w:rPr>
                <w:rFonts w:cs="Arial"/>
                <w:sz w:val="18"/>
                <w:szCs w:val="18"/>
                <w:lang w:val="cs-CZ"/>
              </w:rPr>
              <w:t xml:space="preserve"> Do útvaru OPVZK na MMR (gestor zákona o veřejných zakázkách) byly již částečně doplněny potřebné správní kapacity</w:t>
            </w:r>
            <w:r>
              <w:t xml:space="preserve"> </w:t>
            </w:r>
            <w:r w:rsidRPr="0001485E">
              <w:rPr>
                <w:rFonts w:cs="Arial"/>
                <w:sz w:val="18"/>
                <w:szCs w:val="18"/>
                <w:lang w:val="cs-CZ"/>
              </w:rPr>
              <w:t>další kapacity budou přijaty pro potřeby účinné aplikace nových zadávacích směrnic EU a pro tvorbu výkazů pro EK o plnění předběžné podmínky a pro intenzivnější poskytování pomoci řídícím orgánům a dalším národním subjektům (např. kontrolním orgánům).</w:t>
            </w:r>
            <w:r w:rsidRPr="00A76D60">
              <w:rPr>
                <w:rFonts w:cs="Arial"/>
                <w:sz w:val="18"/>
                <w:szCs w:val="18"/>
              </w:rPr>
              <w:t xml:space="preserve"> </w:t>
            </w:r>
          </w:p>
          <w:p w:rsidR="0083711E" w:rsidRDefault="0083711E" w:rsidP="00C36EE6">
            <w:pPr>
              <w:pStyle w:val="DAVA"/>
              <w:spacing w:before="80" w:after="80"/>
              <w:rPr>
                <w:rFonts w:cs="Arial"/>
                <w:sz w:val="18"/>
                <w:szCs w:val="18"/>
                <w:lang w:val="cs-CZ"/>
              </w:rPr>
            </w:pPr>
            <w:r w:rsidRPr="00A76D60">
              <w:rPr>
                <w:rFonts w:cs="Arial"/>
                <w:sz w:val="18"/>
                <w:szCs w:val="18"/>
              </w:rPr>
              <w:t>Problematika opatření, které se týká správních kapacit, b</w:t>
            </w:r>
            <w:r w:rsidRPr="00A76D60">
              <w:rPr>
                <w:rFonts w:cs="Arial"/>
                <w:sz w:val="18"/>
                <w:szCs w:val="18"/>
                <w:lang w:val="cs-CZ"/>
              </w:rPr>
              <w:t>yla</w:t>
            </w:r>
            <w:r w:rsidRPr="00A76D60">
              <w:rPr>
                <w:rFonts w:cs="Arial"/>
                <w:sz w:val="18"/>
                <w:szCs w:val="18"/>
              </w:rPr>
              <w:t xml:space="preserve"> </w:t>
            </w:r>
            <w:r w:rsidRPr="00A76D60">
              <w:rPr>
                <w:rFonts w:cs="Arial"/>
                <w:sz w:val="18"/>
                <w:szCs w:val="18"/>
                <w:lang w:val="cs-CZ"/>
              </w:rPr>
              <w:t xml:space="preserve">se zástupci všech řídících orgánů </w:t>
            </w:r>
            <w:r w:rsidRPr="00A76D60">
              <w:rPr>
                <w:rFonts w:cs="Arial"/>
                <w:sz w:val="18"/>
                <w:szCs w:val="18"/>
              </w:rPr>
              <w:t>řešena na zasedání národní Pracovní skupiny Veřejné zakázky, včetně aspektů, které by měly být vzaty na zřetel při volbě počtu kapacit. Při stanovování konkrétních opatření jednotlivých řídících orgánů</w:t>
            </w:r>
            <w:r w:rsidRPr="00A76D60">
              <w:rPr>
                <w:rFonts w:cs="Arial"/>
                <w:sz w:val="18"/>
                <w:szCs w:val="18"/>
                <w:lang w:val="cs-CZ"/>
              </w:rPr>
              <w:t xml:space="preserve"> je</w:t>
            </w:r>
            <w:r w:rsidRPr="00A76D60">
              <w:rPr>
                <w:rFonts w:cs="Arial"/>
                <w:sz w:val="18"/>
                <w:szCs w:val="18"/>
              </w:rPr>
              <w:t xml:space="preserve">  zejména přihlédnuto ke specifikům jednotlivých programů, která mají dopad na počet a složitost veřejných zakázek, a tedy i na počet </w:t>
            </w:r>
            <w:r w:rsidRPr="00A76D60">
              <w:rPr>
                <w:rFonts w:cs="Arial"/>
                <w:sz w:val="18"/>
                <w:szCs w:val="18"/>
              </w:rPr>
              <w:lastRenderedPageBreak/>
              <w:t>správních kapacit</w:t>
            </w:r>
          </w:p>
          <w:p w:rsidR="0083711E" w:rsidRDefault="0083711E" w:rsidP="00C36EE6">
            <w:pPr>
              <w:pStyle w:val="DAVA"/>
              <w:spacing w:before="80" w:after="80"/>
              <w:rPr>
                <w:rFonts w:cs="Arial"/>
                <w:sz w:val="18"/>
                <w:szCs w:val="18"/>
                <w:lang w:val="cs-CZ"/>
              </w:rPr>
            </w:pPr>
            <w:r>
              <w:rPr>
                <w:rFonts w:cs="Arial"/>
                <w:sz w:val="18"/>
                <w:szCs w:val="18"/>
              </w:rPr>
              <w:t xml:space="preserve">ŘO </w:t>
            </w:r>
            <w:r w:rsidR="00DE60E4">
              <w:rPr>
                <w:rFonts w:cs="Arial"/>
                <w:sz w:val="18"/>
                <w:szCs w:val="18"/>
                <w:lang w:val="cs-CZ"/>
              </w:rPr>
              <w:t xml:space="preserve">zpracovaly </w:t>
            </w:r>
            <w:r>
              <w:rPr>
                <w:rFonts w:cs="Arial"/>
                <w:sz w:val="18"/>
                <w:szCs w:val="18"/>
              </w:rPr>
              <w:t>analýzy potřeb administrativní kapacity</w:t>
            </w:r>
            <w:r>
              <w:rPr>
                <w:rFonts w:cs="Arial"/>
                <w:sz w:val="18"/>
                <w:szCs w:val="18"/>
                <w:lang w:val="cs-CZ"/>
              </w:rPr>
              <w:t xml:space="preserve"> v</w:t>
            </w:r>
            <w:r w:rsidRPr="0091354C">
              <w:rPr>
                <w:rFonts w:cs="Arial"/>
                <w:sz w:val="18"/>
                <w:szCs w:val="18"/>
              </w:rPr>
              <w:t xml:space="preserve"> rámci nichž </w:t>
            </w:r>
            <w:r w:rsidR="00DE60E4">
              <w:rPr>
                <w:rFonts w:cs="Arial"/>
                <w:sz w:val="18"/>
                <w:szCs w:val="18"/>
                <w:lang w:val="cs-CZ"/>
              </w:rPr>
              <w:t xml:space="preserve">naplánovaly </w:t>
            </w:r>
            <w:r w:rsidRPr="0091354C">
              <w:rPr>
                <w:rFonts w:cs="Arial"/>
                <w:sz w:val="18"/>
                <w:szCs w:val="18"/>
              </w:rPr>
              <w:t>administrativní kapacity při zohlednění plynulého převodu administrativních kapacit mezi programová období 2007-2013 a 2014-2020 (zajištění koncentrace lidských zdrojů na klíčových činnostech, kontinuitu a stabilitu týmů).</w:t>
            </w:r>
          </w:p>
          <w:p w:rsidR="00DE60E4" w:rsidRPr="00F76E4B" w:rsidRDefault="00DE60E4" w:rsidP="00DE60E4">
            <w:pPr>
              <w:pStyle w:val="DAVA"/>
              <w:spacing w:before="80" w:after="80"/>
              <w:rPr>
                <w:rFonts w:cs="Arial"/>
                <w:sz w:val="18"/>
                <w:szCs w:val="18"/>
              </w:rPr>
            </w:pPr>
            <w:r>
              <w:rPr>
                <w:rFonts w:cs="Arial"/>
                <w:sz w:val="18"/>
                <w:szCs w:val="18"/>
                <w:lang w:val="cs-CZ"/>
              </w:rPr>
              <w:t>MMR-NOK ze zaslaných analýz zpracoval Souhrnnou závěrečnou zprávu, která bude v průběhu března 2015 předložena vládě ČR pro informaci a také bude zaslána Evropské komisi. MMR-NOK doporučil jednotlivým ŘO pro proces vyjednávání a schvalování programů v období 2014-2020 využít jednotlivých analýz administrativních kapacit za každý program zvlášť.</w:t>
            </w:r>
          </w:p>
          <w:p w:rsidR="00DE60E4" w:rsidRPr="00DE60E4" w:rsidRDefault="00DE60E4" w:rsidP="00C36EE6">
            <w:pPr>
              <w:pStyle w:val="DAVA"/>
              <w:spacing w:before="80" w:after="80"/>
              <w:rPr>
                <w:rFonts w:cs="Arial"/>
                <w:sz w:val="18"/>
                <w:szCs w:val="18"/>
                <w:lang w:val="cs-CZ"/>
              </w:rPr>
            </w:pPr>
          </w:p>
          <w:p w:rsidR="004575DA" w:rsidRDefault="00412654" w:rsidP="004575DA">
            <w:pPr>
              <w:pStyle w:val="Tabulka"/>
              <w:rPr>
                <w:rFonts w:ascii="Arial" w:hAnsi="Arial" w:cs="Arial"/>
                <w:b w:val="0"/>
                <w:color w:val="auto"/>
              </w:rPr>
            </w:pPr>
            <w:r>
              <w:rPr>
                <w:rFonts w:ascii="Arial" w:hAnsi="Arial" w:cs="Arial"/>
                <w:b w:val="0"/>
                <w:color w:val="auto"/>
              </w:rPr>
              <w:t xml:space="preserve">ŘO OP PIK: </w:t>
            </w:r>
          </w:p>
          <w:p w:rsidR="0083711E" w:rsidRPr="004575DA" w:rsidRDefault="00412654" w:rsidP="004575DA">
            <w:pPr>
              <w:pStyle w:val="Tabulka"/>
              <w:rPr>
                <w:rFonts w:ascii="Arial" w:hAnsi="Arial" w:cs="Arial"/>
                <w:b w:val="0"/>
              </w:rPr>
            </w:pPr>
            <w:r w:rsidRPr="004575DA">
              <w:rPr>
                <w:rFonts w:ascii="Arial" w:hAnsi="Arial" w:cs="Arial"/>
                <w:b w:val="0"/>
                <w:color w:val="auto"/>
              </w:rPr>
              <w:t>V rámci OP PIK je správní kapacita zajištěna, průběžné doplnění administrativní kapacity bude řešeno dle potřeb. V souvislosti se vzrůstající náročností agendy týkající se zadávání veřejných zakázek existuje v rámci organizační struktury ŘO oddělení kontroly výběrových řízení s kapacitou 8 zaměstnanců. V případě potřeby bude v budoucnosti posílen o další zaměstnance.</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r w:rsidRPr="00A76D60">
              <w:rPr>
                <w:rFonts w:ascii="Arial" w:hAnsi="Arial" w:cs="Arial"/>
                <w:b/>
                <w:sz w:val="18"/>
                <w:szCs w:val="18"/>
              </w:rPr>
              <w:lastRenderedPageBreak/>
              <w:t>5.</w:t>
            </w:r>
          </w:p>
          <w:p w:rsidR="0083711E" w:rsidRPr="00A76D60" w:rsidRDefault="0083711E" w:rsidP="00C36EE6">
            <w:pPr>
              <w:spacing w:before="80" w:after="80"/>
              <w:rPr>
                <w:rFonts w:ascii="Arial" w:hAnsi="Arial" w:cs="Arial"/>
                <w:b/>
                <w:sz w:val="18"/>
                <w:szCs w:val="18"/>
              </w:rPr>
            </w:pPr>
            <w:r w:rsidRPr="00A76D60">
              <w:rPr>
                <w:rFonts w:ascii="Arial" w:hAnsi="Arial" w:cs="Arial"/>
                <w:b/>
                <w:sz w:val="18"/>
                <w:szCs w:val="18"/>
              </w:rPr>
              <w:t>Existence opatření pro účinné uplatňování právních předpisů Unie pro veřejnou podporu v oblasti fondů ESI.</w:t>
            </w:r>
          </w:p>
        </w:tc>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Uplatnitelnost bude dokladována v relevantních programech</w:t>
            </w:r>
          </w:p>
        </w:tc>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r w:rsidRPr="00A76D60">
              <w:rPr>
                <w:rFonts w:cs="Arial"/>
                <w:sz w:val="18"/>
                <w:szCs w:val="18"/>
                <w:lang w:val="cs-CZ" w:eastAsia="cs-CZ"/>
              </w:rPr>
              <w:t>Částečně – (plnění probíhá průběžně v závislosti na schvalování předpisů EK)</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Opatření pro účinné uplatňování pravidel Unie pro veřejnou podporu</w:t>
            </w:r>
            <w:r w:rsidRPr="0099251F">
              <w:rPr>
                <w:rFonts w:cs="Arial"/>
                <w:sz w:val="18"/>
                <w:szCs w:val="18"/>
                <w:lang w:val="cs-CZ" w:eastAsia="cs-CZ"/>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4575DA" w:rsidP="00C36EE6">
            <w:pPr>
              <w:pStyle w:val="DAVA"/>
              <w:spacing w:before="80" w:after="80"/>
              <w:rPr>
                <w:rFonts w:cs="Arial"/>
                <w:sz w:val="18"/>
                <w:szCs w:val="18"/>
                <w:lang w:val="cs-CZ" w:eastAsia="cs-CZ"/>
              </w:rPr>
            </w:pPr>
            <w:r>
              <w:rPr>
                <w:rFonts w:cs="Arial"/>
                <w:sz w:val="18"/>
                <w:szCs w:val="18"/>
                <w:lang w:val="cs-CZ" w:eastAsia="cs-CZ"/>
              </w:rPr>
              <w:t>částečně</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0"/>
              <w:rPr>
                <w:rFonts w:cs="Arial"/>
                <w:sz w:val="18"/>
                <w:szCs w:val="18"/>
                <w:lang w:val="cs-CZ"/>
              </w:rPr>
            </w:pPr>
            <w:r w:rsidRPr="00A76D60">
              <w:rPr>
                <w:rFonts w:cs="Arial"/>
                <w:sz w:val="18"/>
                <w:szCs w:val="18"/>
                <w:lang w:val="cs-CZ"/>
              </w:rPr>
              <w:t>Zákon č. 215/2004 Sb., o úpravě některých vztahů v oblasti veřejné podpory a o změně zákona o podpoře výzkumu a vývoje (</w:t>
            </w:r>
            <w:hyperlink r:id="rId94" w:history="1">
              <w:r w:rsidRPr="00A76D60">
                <w:rPr>
                  <w:rStyle w:val="Hypertextovodkaz"/>
                  <w:rFonts w:cs="Arial"/>
                  <w:sz w:val="18"/>
                  <w:szCs w:val="18"/>
                  <w:lang w:val="cs-CZ"/>
                </w:rPr>
                <w:t>http://www.uohs.cz/cs/legislativa/verejna-podpora.html</w:t>
              </w:r>
            </w:hyperlink>
            <w:r w:rsidRPr="00A76D60">
              <w:rPr>
                <w:rFonts w:cs="Arial"/>
                <w:sz w:val="18"/>
                <w:szCs w:val="18"/>
                <w:lang w:val="cs-CZ"/>
              </w:rPr>
              <w:t>)</w:t>
            </w:r>
          </w:p>
          <w:p w:rsidR="0083711E" w:rsidRPr="00A76D60" w:rsidRDefault="0083711E" w:rsidP="00C36EE6">
            <w:pPr>
              <w:pStyle w:val="DAVA"/>
              <w:spacing w:before="0"/>
              <w:rPr>
                <w:rFonts w:cs="Arial"/>
                <w:sz w:val="18"/>
                <w:szCs w:val="18"/>
                <w:lang w:val="cs-CZ"/>
              </w:rPr>
            </w:pPr>
          </w:p>
          <w:p w:rsidR="0083711E" w:rsidRPr="00A76D60" w:rsidRDefault="0083711E" w:rsidP="00C36EE6">
            <w:pPr>
              <w:pStyle w:val="DAVA"/>
              <w:spacing w:before="0"/>
              <w:rPr>
                <w:rFonts w:cs="Arial"/>
                <w:sz w:val="18"/>
                <w:szCs w:val="18"/>
                <w:lang w:val="cs-CZ"/>
              </w:rPr>
            </w:pPr>
            <w:r w:rsidRPr="00A76D60">
              <w:rPr>
                <w:rFonts w:cs="Arial"/>
                <w:sz w:val="18"/>
                <w:szCs w:val="18"/>
                <w:lang w:val="cs-CZ"/>
              </w:rPr>
              <w:t xml:space="preserve">Vyhláška č. 456/2009 Sb. o údajích zaznamenávaných do centrálního </w:t>
            </w:r>
            <w:r w:rsidRPr="00A76D60">
              <w:rPr>
                <w:rFonts w:cs="Arial"/>
                <w:sz w:val="18"/>
                <w:szCs w:val="18"/>
                <w:lang w:val="cs-CZ"/>
              </w:rPr>
              <w:lastRenderedPageBreak/>
              <w:t>registru</w:t>
            </w:r>
          </w:p>
          <w:p w:rsidR="0083711E" w:rsidRPr="00A76D60" w:rsidRDefault="0083711E" w:rsidP="00C36EE6">
            <w:pPr>
              <w:pStyle w:val="DAVA"/>
              <w:spacing w:before="0"/>
              <w:rPr>
                <w:rFonts w:cs="Arial"/>
                <w:sz w:val="18"/>
                <w:szCs w:val="18"/>
                <w:lang w:val="cs-CZ"/>
              </w:rPr>
            </w:pPr>
          </w:p>
          <w:p w:rsidR="0083711E" w:rsidRPr="00A76D60" w:rsidRDefault="0083711E" w:rsidP="00C36EE6">
            <w:pPr>
              <w:pStyle w:val="DAVA"/>
              <w:spacing w:before="0"/>
              <w:rPr>
                <w:rFonts w:cs="Arial"/>
                <w:sz w:val="18"/>
                <w:szCs w:val="18"/>
                <w:lang w:val="cs-CZ"/>
              </w:rPr>
            </w:pPr>
            <w:r w:rsidRPr="00A76D60">
              <w:rPr>
                <w:rFonts w:cs="Arial"/>
                <w:sz w:val="18"/>
                <w:szCs w:val="18"/>
                <w:lang w:val="cs-CZ"/>
              </w:rPr>
              <w:t>Zákon č. 218/2000 Sb., o rozpočtových pravidlech a změně některých souvisejících zákonů (ve znění pozdějších předpisů)</w:t>
            </w:r>
          </w:p>
          <w:p w:rsidR="0083711E" w:rsidRPr="00A76D60" w:rsidRDefault="0083711E" w:rsidP="00C36EE6">
            <w:pPr>
              <w:pStyle w:val="DAVA"/>
              <w:spacing w:before="0"/>
              <w:rPr>
                <w:rFonts w:cs="Arial"/>
                <w:sz w:val="18"/>
                <w:szCs w:val="18"/>
                <w:lang w:val="cs-CZ"/>
              </w:rPr>
            </w:pPr>
          </w:p>
          <w:p w:rsidR="0083711E" w:rsidRPr="00A76D60" w:rsidRDefault="0083711E" w:rsidP="00C36EE6">
            <w:pPr>
              <w:pStyle w:val="DAVA"/>
              <w:spacing w:before="0"/>
              <w:rPr>
                <w:rFonts w:cs="Arial"/>
                <w:sz w:val="18"/>
                <w:szCs w:val="18"/>
                <w:lang w:val="cs-CZ"/>
              </w:rPr>
            </w:pPr>
            <w:r w:rsidRPr="00A76D60">
              <w:rPr>
                <w:rFonts w:cs="Arial"/>
                <w:sz w:val="18"/>
                <w:szCs w:val="18"/>
                <w:lang w:val="cs-CZ"/>
              </w:rPr>
              <w:t>Zákon č. 250/2000 Sb., o rozpočtových pravidlech územních rozpočtů (ve znění pozdějších předpisů)</w:t>
            </w:r>
          </w:p>
          <w:p w:rsidR="0083711E" w:rsidRPr="00A76D60" w:rsidRDefault="0083711E" w:rsidP="00C36EE6">
            <w:pPr>
              <w:pStyle w:val="DAVA"/>
              <w:spacing w:before="0"/>
              <w:rPr>
                <w:rFonts w:cs="Arial"/>
                <w:sz w:val="18"/>
                <w:szCs w:val="18"/>
                <w:lang w:val="cs-CZ"/>
              </w:rPr>
            </w:pPr>
          </w:p>
          <w:p w:rsidR="0083711E" w:rsidRPr="00A76D60" w:rsidRDefault="0083711E" w:rsidP="00C36EE6">
            <w:pPr>
              <w:pStyle w:val="DAVA"/>
              <w:spacing w:before="0"/>
              <w:rPr>
                <w:rFonts w:cs="Arial"/>
                <w:sz w:val="18"/>
                <w:szCs w:val="18"/>
                <w:lang w:val="cs-CZ"/>
              </w:rPr>
            </w:pPr>
            <w:r w:rsidRPr="00A76D60">
              <w:rPr>
                <w:rFonts w:cs="Arial"/>
                <w:sz w:val="18"/>
                <w:szCs w:val="18"/>
                <w:lang w:val="cs-CZ"/>
              </w:rPr>
              <w:t>Zákon č. 320/2001 Sb., o finanční kontrole ve veřejné správě a o změně některých zákonů (ve znění pozdějších předpisů)</w:t>
            </w:r>
          </w:p>
          <w:p w:rsidR="0083711E" w:rsidRPr="00A76D60" w:rsidRDefault="0083711E" w:rsidP="00C36EE6">
            <w:pPr>
              <w:pStyle w:val="DAVA"/>
              <w:spacing w:before="0"/>
              <w:rPr>
                <w:rFonts w:cs="Arial"/>
                <w:sz w:val="18"/>
                <w:szCs w:val="18"/>
                <w:lang w:val="cs-CZ"/>
              </w:rPr>
            </w:pPr>
          </w:p>
          <w:p w:rsidR="0083711E" w:rsidRPr="00A76D60" w:rsidRDefault="0083711E" w:rsidP="00C36EE6">
            <w:pPr>
              <w:pStyle w:val="DAVA"/>
              <w:spacing w:before="0"/>
              <w:rPr>
                <w:rFonts w:cs="Arial"/>
                <w:sz w:val="18"/>
                <w:szCs w:val="18"/>
                <w:lang w:val="cs-CZ"/>
              </w:rPr>
            </w:pPr>
            <w:r w:rsidRPr="00A76D60">
              <w:rPr>
                <w:rFonts w:cs="Arial"/>
                <w:sz w:val="18"/>
                <w:szCs w:val="18"/>
                <w:lang w:val="cs-CZ"/>
              </w:rPr>
              <w:t>Zákon č. 456/2011 Sb., o Finanční správě České republiky</w:t>
            </w:r>
          </w:p>
          <w:p w:rsidR="0083711E" w:rsidRPr="00A76D60" w:rsidRDefault="0083711E" w:rsidP="00C36EE6">
            <w:pPr>
              <w:pStyle w:val="DAVA"/>
              <w:spacing w:before="0"/>
              <w:rPr>
                <w:rFonts w:cs="Arial"/>
                <w:sz w:val="18"/>
                <w:szCs w:val="18"/>
                <w:lang w:val="cs-CZ"/>
              </w:rPr>
            </w:pPr>
          </w:p>
          <w:p w:rsidR="0083711E" w:rsidRPr="00A76D60" w:rsidRDefault="0083711E" w:rsidP="00C36EE6">
            <w:pPr>
              <w:pStyle w:val="DAVA"/>
              <w:spacing w:before="0"/>
              <w:rPr>
                <w:rFonts w:cs="Arial"/>
                <w:sz w:val="18"/>
                <w:szCs w:val="18"/>
                <w:lang w:val="cs-CZ"/>
              </w:rPr>
            </w:pPr>
            <w:r w:rsidRPr="00A76D60">
              <w:rPr>
                <w:rFonts w:cs="Arial"/>
                <w:sz w:val="18"/>
                <w:szCs w:val="18"/>
                <w:lang w:val="cs-CZ"/>
              </w:rPr>
              <w:t>Metodika finančních toků a kontroly (</w:t>
            </w:r>
            <w:hyperlink r:id="rId95" w:history="1">
              <w:r w:rsidRPr="00A76D60">
                <w:rPr>
                  <w:rStyle w:val="Hypertextovodkaz"/>
                  <w:rFonts w:cs="Arial"/>
                  <w:sz w:val="18"/>
                  <w:szCs w:val="18"/>
                  <w:lang w:val="cs-CZ"/>
                </w:rPr>
                <w:t>http://www.mfcr.cz/</w:t>
              </w:r>
              <w:r w:rsidRPr="00A76D60">
                <w:rPr>
                  <w:rStyle w:val="Hypertextovodkaz"/>
                  <w:rFonts w:cs="Arial"/>
                  <w:sz w:val="18"/>
                  <w:szCs w:val="18"/>
                  <w:lang w:val="cs-CZ"/>
                </w:rPr>
                <w:lastRenderedPageBreak/>
                <w:t>cs/legislativa/metodiky/2014/metodika-financnich-toku-a-kontroly-prog-17121</w:t>
              </w:r>
            </w:hyperlink>
            <w:r w:rsidRPr="00A76D60">
              <w:rPr>
                <w:rFonts w:cs="Arial"/>
                <w:sz w:val="18"/>
                <w:szCs w:val="18"/>
                <w:lang w:val="cs-CZ"/>
              </w:rPr>
              <w:t>)</w:t>
            </w:r>
          </w:p>
          <w:p w:rsidR="0083711E" w:rsidRPr="00A76D60" w:rsidRDefault="0083711E" w:rsidP="00C36EE6">
            <w:pPr>
              <w:pStyle w:val="DAVA"/>
              <w:spacing w:before="0"/>
              <w:rPr>
                <w:rFonts w:cs="Arial"/>
                <w:sz w:val="18"/>
                <w:szCs w:val="18"/>
                <w:lang w:val="cs-CZ"/>
              </w:rPr>
            </w:pPr>
          </w:p>
          <w:p w:rsidR="0083711E" w:rsidRPr="00A76D60" w:rsidRDefault="0083711E" w:rsidP="00C36EE6">
            <w:pPr>
              <w:pStyle w:val="DAVA"/>
              <w:spacing w:before="0"/>
              <w:rPr>
                <w:rFonts w:cs="Arial"/>
                <w:sz w:val="18"/>
                <w:szCs w:val="18"/>
                <w:lang w:val="cs-CZ"/>
              </w:rPr>
            </w:pPr>
            <w:r w:rsidRPr="00A76D60">
              <w:rPr>
                <w:rFonts w:cs="Arial"/>
                <w:sz w:val="18"/>
                <w:szCs w:val="18"/>
                <w:lang w:val="cs-CZ"/>
              </w:rPr>
              <w:t>Manuál služeb obecného hospodářského zájmu (</w:t>
            </w:r>
            <w:hyperlink r:id="rId96" w:history="1">
              <w:r w:rsidRPr="00A76D60">
                <w:rPr>
                  <w:rStyle w:val="Hypertextovodkaz"/>
                  <w:rFonts w:cs="Arial"/>
                  <w:sz w:val="18"/>
                  <w:szCs w:val="18"/>
                  <w:lang w:val="cs-CZ"/>
                </w:rPr>
                <w:t>http://www.uohs.cz/cs/verejna-podpora/manualy-metodiky-a-dalsi-dokumenty.html</w:t>
              </w:r>
            </w:hyperlink>
            <w:r w:rsidRPr="00A76D60">
              <w:rPr>
                <w:rFonts w:cs="Arial"/>
                <w:sz w:val="18"/>
                <w:szCs w:val="18"/>
                <w:lang w:val="cs-CZ"/>
              </w:rPr>
              <w:t>)</w:t>
            </w:r>
          </w:p>
          <w:p w:rsidR="0083711E" w:rsidRPr="00A76D60" w:rsidRDefault="0083711E" w:rsidP="00C36EE6">
            <w:pPr>
              <w:pStyle w:val="DAVA"/>
              <w:spacing w:before="0"/>
              <w:rPr>
                <w:rFonts w:cs="Arial"/>
                <w:sz w:val="18"/>
                <w:szCs w:val="18"/>
                <w:lang w:val="cs-CZ"/>
              </w:rPr>
            </w:pPr>
          </w:p>
          <w:p w:rsidR="0083711E" w:rsidRPr="00A76D60" w:rsidRDefault="0083711E" w:rsidP="00C36EE6">
            <w:pPr>
              <w:pStyle w:val="DAVA"/>
              <w:spacing w:before="0"/>
              <w:rPr>
                <w:rFonts w:cs="Arial"/>
                <w:sz w:val="18"/>
                <w:szCs w:val="18"/>
                <w:lang w:val="cs-CZ"/>
              </w:rPr>
            </w:pPr>
            <w:r w:rsidRPr="00A76D60">
              <w:rPr>
                <w:rFonts w:cs="Arial"/>
                <w:sz w:val="18"/>
                <w:szCs w:val="18"/>
                <w:lang w:val="cs-CZ"/>
              </w:rPr>
              <w:t>Centrální registr podpor malého rozsahu</w:t>
            </w:r>
          </w:p>
          <w:p w:rsidR="0083711E" w:rsidRPr="00A76D60" w:rsidRDefault="0083711E" w:rsidP="00C36EE6">
            <w:pPr>
              <w:pStyle w:val="DAVA"/>
              <w:spacing w:before="0"/>
              <w:rPr>
                <w:rFonts w:cs="Arial"/>
                <w:sz w:val="18"/>
                <w:szCs w:val="18"/>
                <w:lang w:val="cs-CZ"/>
              </w:rPr>
            </w:pPr>
            <w:r w:rsidRPr="00A76D60">
              <w:rPr>
                <w:rFonts w:cs="Arial"/>
                <w:sz w:val="18"/>
                <w:szCs w:val="18"/>
                <w:lang w:val="cs-CZ"/>
              </w:rPr>
              <w:t>(</w:t>
            </w:r>
            <w:hyperlink r:id="rId97" w:history="1">
              <w:r w:rsidRPr="00A76D60">
                <w:rPr>
                  <w:rStyle w:val="Hypertextovodkaz"/>
                  <w:rFonts w:cs="Arial"/>
                  <w:sz w:val="18"/>
                  <w:szCs w:val="18"/>
                  <w:lang w:val="cs-CZ"/>
                </w:rPr>
                <w:t>http://eagri.cz/public/web/mze/farmar/registr-podpor-de-minimis/</w:t>
              </w:r>
            </w:hyperlink>
            <w:r w:rsidRPr="00A76D60">
              <w:rPr>
                <w:rFonts w:cs="Arial"/>
                <w:sz w:val="18"/>
                <w:szCs w:val="18"/>
                <w:lang w:val="cs-CZ"/>
              </w:rPr>
              <w:t>)</w:t>
            </w:r>
          </w:p>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rPr>
              <w:t xml:space="preserve"> </w:t>
            </w:r>
            <w:r>
              <w:rPr>
                <w:rFonts w:cs="Arial"/>
                <w:sz w:val="18"/>
                <w:szCs w:val="18"/>
                <w:lang w:val="cs-CZ"/>
              </w:rPr>
              <w:t xml:space="preserve">Metodické doporučení pro implementaci finančních nástrojů v programovém období 2014 – 2020. Dokončeno a zveřejněno dne 31.10.2014 na centrální úrovni.  </w:t>
            </w: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rPr>
                <w:rFonts w:cs="Arial"/>
                <w:sz w:val="18"/>
                <w:szCs w:val="18"/>
                <w:lang w:val="cs-CZ"/>
              </w:rPr>
            </w:pPr>
            <w:r w:rsidRPr="00A76D60">
              <w:rPr>
                <w:rFonts w:cs="Arial"/>
                <w:sz w:val="18"/>
                <w:szCs w:val="18"/>
                <w:lang w:val="cs-CZ"/>
              </w:rPr>
              <w:lastRenderedPageBreak/>
              <w:t xml:space="preserve">Česká republika má již od 1. 1. 2010 zřízený centrální registr podpor malého rozsahu, který monitoruje všechny poskytnuté podpory malého rozsahu na území státu a byl zřízen za účelem nepřekročení maximálního stropu pro podporu </w:t>
            </w:r>
            <w:r w:rsidRPr="009E7A61">
              <w:rPr>
                <w:rFonts w:cs="Arial"/>
                <w:i/>
                <w:sz w:val="18"/>
                <w:szCs w:val="18"/>
                <w:lang w:val="cs-CZ"/>
              </w:rPr>
              <w:t xml:space="preserve">de </w:t>
            </w:r>
            <w:proofErr w:type="spellStart"/>
            <w:r w:rsidRPr="009E7A61">
              <w:rPr>
                <w:rFonts w:cs="Arial"/>
                <w:i/>
                <w:sz w:val="18"/>
                <w:szCs w:val="18"/>
                <w:lang w:val="cs-CZ"/>
              </w:rPr>
              <w:t>minimis</w:t>
            </w:r>
            <w:proofErr w:type="spellEnd"/>
            <w:r w:rsidRPr="00A76D60">
              <w:rPr>
                <w:rFonts w:cs="Arial"/>
                <w:sz w:val="18"/>
                <w:szCs w:val="18"/>
                <w:lang w:val="cs-CZ"/>
              </w:rPr>
              <w:t xml:space="preserve"> za rozhodné období tří fiskálních let poskytnutou jednomu příjemci. Jeho existence je zakotvena ve vnitrostátním právním řádu konkrétně v zákoně č. 215/2004 Sb. K centrálnímu registru existuje také vyhláška č. 465/2009 Sb. o údajích zaznamenávaných do centrálního registru. Centrální registr zahrnuje všechny 4 nařízení na podporu </w:t>
            </w:r>
            <w:r w:rsidRPr="009E7A61">
              <w:rPr>
                <w:rFonts w:cs="Arial"/>
                <w:i/>
                <w:sz w:val="18"/>
                <w:szCs w:val="18"/>
                <w:lang w:val="cs-CZ"/>
              </w:rPr>
              <w:t xml:space="preserve">de </w:t>
            </w:r>
            <w:proofErr w:type="spellStart"/>
            <w:r w:rsidRPr="009E7A61">
              <w:rPr>
                <w:rFonts w:cs="Arial"/>
                <w:i/>
                <w:sz w:val="18"/>
                <w:szCs w:val="18"/>
                <w:lang w:val="cs-CZ"/>
              </w:rPr>
              <w:t>minimis</w:t>
            </w:r>
            <w:proofErr w:type="spellEnd"/>
            <w:r w:rsidRPr="00A76D60">
              <w:rPr>
                <w:rFonts w:cs="Arial"/>
                <w:sz w:val="18"/>
                <w:szCs w:val="18"/>
                <w:lang w:val="cs-CZ"/>
              </w:rPr>
              <w:t>, tj. nařízení</w:t>
            </w:r>
            <w:r>
              <w:rPr>
                <w:rFonts w:cs="Arial"/>
                <w:sz w:val="18"/>
                <w:szCs w:val="18"/>
                <w:lang w:val="cs-CZ"/>
              </w:rPr>
              <w:t xml:space="preserve"> Komise (EU) č. 1407/2013, nařízení Komise (EU) č. 1408/2013 a </w:t>
            </w:r>
            <w:r w:rsidRPr="00A76D60">
              <w:rPr>
                <w:rFonts w:cs="Arial"/>
                <w:sz w:val="18"/>
                <w:szCs w:val="18"/>
                <w:lang w:val="cs-CZ"/>
              </w:rPr>
              <w:t>nařízení</w:t>
            </w:r>
            <w:r>
              <w:rPr>
                <w:rFonts w:cs="Arial"/>
                <w:sz w:val="18"/>
                <w:szCs w:val="18"/>
                <w:lang w:val="cs-CZ"/>
              </w:rPr>
              <w:t xml:space="preserve"> Komise (EU) č. 717/2014</w:t>
            </w:r>
            <w:r w:rsidRPr="00A76D60">
              <w:rPr>
                <w:rFonts w:cs="Arial"/>
                <w:sz w:val="18"/>
                <w:szCs w:val="18"/>
                <w:lang w:val="cs-CZ"/>
              </w:rPr>
              <w:t xml:space="preserve">,  a nařízení č. 1535/2007. Poskytovatel je povinen si před poskytnutím podpory malého rozsahu ověřit v centrálním registru, zda poskytnutím podpory nedojde u daného příjemce k překročení limitu pro podporu </w:t>
            </w:r>
            <w:r w:rsidRPr="009E7A61">
              <w:rPr>
                <w:rFonts w:cs="Arial"/>
                <w:i/>
                <w:sz w:val="18"/>
                <w:szCs w:val="18"/>
                <w:lang w:val="cs-CZ"/>
              </w:rPr>
              <w:t xml:space="preserve">de </w:t>
            </w:r>
            <w:proofErr w:type="spellStart"/>
            <w:r w:rsidRPr="009E7A61">
              <w:rPr>
                <w:rFonts w:cs="Arial"/>
                <w:i/>
                <w:sz w:val="18"/>
                <w:szCs w:val="18"/>
                <w:lang w:val="cs-CZ"/>
              </w:rPr>
              <w:t>minimis</w:t>
            </w:r>
            <w:proofErr w:type="spellEnd"/>
            <w:r w:rsidRPr="00A76D60">
              <w:rPr>
                <w:rFonts w:cs="Arial"/>
                <w:sz w:val="18"/>
                <w:szCs w:val="18"/>
                <w:lang w:val="cs-CZ"/>
              </w:rPr>
              <w:t xml:space="preserve"> a zaznamenat údaje o poskytnuté podpoře a o příjemci do centrálního registru ve lhůtě 5-ti pracovních dnů ode dne poskytnutí dané podpory. Nesplnění výše uvedené povinnosti je považováno za správní delikt a poskytovatel za daný správní delikt obdrží pokutu, a to až do výše 100 000 CZK. Kontrola nepřekročení maximálního limitu u podpor </w:t>
            </w:r>
            <w:r w:rsidRPr="009E7A61">
              <w:rPr>
                <w:rFonts w:cs="Arial"/>
                <w:i/>
                <w:sz w:val="18"/>
                <w:szCs w:val="18"/>
                <w:lang w:val="cs-CZ"/>
              </w:rPr>
              <w:t xml:space="preserve">de </w:t>
            </w:r>
            <w:proofErr w:type="spellStart"/>
            <w:r w:rsidRPr="009E7A61">
              <w:rPr>
                <w:rFonts w:cs="Arial"/>
                <w:i/>
                <w:sz w:val="18"/>
                <w:szCs w:val="18"/>
                <w:lang w:val="cs-CZ"/>
              </w:rPr>
              <w:t>minimis</w:t>
            </w:r>
            <w:proofErr w:type="spellEnd"/>
            <w:r w:rsidRPr="00A76D60">
              <w:rPr>
                <w:rFonts w:cs="Arial"/>
                <w:sz w:val="18"/>
                <w:szCs w:val="18"/>
                <w:lang w:val="cs-CZ"/>
              </w:rPr>
              <w:t xml:space="preserve"> je tedy zajištěna </w:t>
            </w:r>
            <w:r w:rsidRPr="00A76D60">
              <w:rPr>
                <w:rFonts w:cs="Arial"/>
                <w:sz w:val="18"/>
                <w:szCs w:val="18"/>
                <w:lang w:val="cs-CZ"/>
              </w:rPr>
              <w:lastRenderedPageBreak/>
              <w:t xml:space="preserve">prostřednictvím tohoto centrálního registru. Centrální registr podpor malého rozsahu má také svou veřejnou verzi, která je k dispozici široké veřejnosti bez přihlašovacích údajů. Poskytovatel má povinnost poskytovat podporu v souladu s pravidly veřejné podpory (včetně pravidel kumulace), ať již vnitrostátními, tak komunitárními. </w:t>
            </w:r>
          </w:p>
          <w:p w:rsidR="0083711E" w:rsidRPr="00A76D60" w:rsidRDefault="0083711E" w:rsidP="00C36EE6">
            <w:pPr>
              <w:pStyle w:val="DAVA"/>
              <w:rPr>
                <w:rFonts w:cs="Arial"/>
                <w:sz w:val="18"/>
                <w:szCs w:val="18"/>
                <w:lang w:val="cs-CZ"/>
              </w:rPr>
            </w:pPr>
            <w:r w:rsidRPr="00A76D60">
              <w:rPr>
                <w:rFonts w:cs="Arial"/>
                <w:sz w:val="18"/>
                <w:szCs w:val="18"/>
                <w:lang w:val="cs-CZ"/>
              </w:rPr>
              <w:t>Centrální registr podpor malého rozsahu byl aktualizován a uveden do souladu s požadavky dle revidované legislativy EU.</w:t>
            </w:r>
          </w:p>
          <w:p w:rsidR="0083711E" w:rsidRPr="003408AB" w:rsidRDefault="0083711E" w:rsidP="00C36EE6">
            <w:pPr>
              <w:pStyle w:val="DAVA"/>
              <w:spacing w:after="120"/>
              <w:rPr>
                <w:sz w:val="18"/>
                <w:szCs w:val="18"/>
                <w:lang w:val="cs-CZ"/>
              </w:rPr>
            </w:pPr>
            <w:r w:rsidRPr="00A76D60">
              <w:rPr>
                <w:rFonts w:cs="Arial"/>
                <w:sz w:val="18"/>
                <w:szCs w:val="18"/>
                <w:lang w:val="cs-CZ"/>
              </w:rPr>
              <w:t xml:space="preserve">Údaje o poskytnutých veřejných podporách z ESI  fondů </w:t>
            </w:r>
            <w:r w:rsidR="00196EC2">
              <w:rPr>
                <w:rFonts w:cs="Arial"/>
                <w:sz w:val="18"/>
                <w:szCs w:val="18"/>
                <w:lang w:val="cs-CZ"/>
              </w:rPr>
              <w:t xml:space="preserve">jsou </w:t>
            </w:r>
            <w:r w:rsidRPr="00A76D60">
              <w:rPr>
                <w:rFonts w:cs="Arial"/>
                <w:sz w:val="18"/>
                <w:szCs w:val="18"/>
                <w:lang w:val="cs-CZ"/>
              </w:rPr>
              <w:t>souhrnně obsaženy v monitorovacím systému MS2014+  a budou též k dispozici na tzv. centrální webové stránce</w:t>
            </w:r>
            <w:r w:rsidR="00196EC2">
              <w:rPr>
                <w:rFonts w:cs="Arial"/>
                <w:sz w:val="18"/>
                <w:szCs w:val="18"/>
                <w:lang w:val="cs-CZ"/>
              </w:rPr>
              <w:t xml:space="preserve"> </w:t>
            </w:r>
            <w:r w:rsidR="00196EC2" w:rsidRPr="00F91337">
              <w:rPr>
                <w:rFonts w:cs="Arial"/>
                <w:sz w:val="18"/>
                <w:szCs w:val="18"/>
                <w:lang w:val="cs-CZ"/>
              </w:rPr>
              <w:t>v souladu s požadavky dle revidované legislativy EU</w:t>
            </w:r>
            <w:r>
              <w:rPr>
                <w:rFonts w:cs="Arial"/>
                <w:sz w:val="18"/>
                <w:szCs w:val="18"/>
                <w:lang w:val="cs-CZ"/>
              </w:rPr>
              <w:t xml:space="preserve">. </w:t>
            </w:r>
            <w:r w:rsidRPr="00A76D60">
              <w:rPr>
                <w:rFonts w:cs="Arial"/>
                <w:sz w:val="18"/>
                <w:szCs w:val="18"/>
                <w:lang w:val="cs-CZ"/>
              </w:rPr>
              <w:t xml:space="preserve">Systém MS2014+ pokrývá údaje od úrovně příjemců, poskytovatelů (řídících orgánů), až po platební a certifikační orgán a je následně propojen se systémem EK pro ESI fondy (SFC). MS2014+ slouží k administraci všech žádostí o podporu z příslušných operačních programů a pro nové programové období 2014-2020 </w:t>
            </w:r>
            <w:r w:rsidR="00196EC2">
              <w:rPr>
                <w:rFonts w:cs="Arial"/>
                <w:sz w:val="18"/>
                <w:szCs w:val="18"/>
                <w:lang w:val="cs-CZ"/>
              </w:rPr>
              <w:t xml:space="preserve">je </w:t>
            </w:r>
            <w:r w:rsidRPr="00A76D60">
              <w:rPr>
                <w:rFonts w:cs="Arial"/>
                <w:sz w:val="18"/>
                <w:szCs w:val="18"/>
                <w:lang w:val="cs-CZ"/>
              </w:rPr>
              <w:t xml:space="preserve">rovněž propojen s centrálním registrem </w:t>
            </w:r>
            <w:r w:rsidRPr="009E7A61">
              <w:rPr>
                <w:rFonts w:cs="Arial"/>
                <w:i/>
                <w:sz w:val="18"/>
                <w:szCs w:val="18"/>
                <w:lang w:val="cs-CZ"/>
              </w:rPr>
              <w:t xml:space="preserve">de </w:t>
            </w:r>
            <w:proofErr w:type="spellStart"/>
            <w:r w:rsidRPr="009E7A61">
              <w:rPr>
                <w:rFonts w:cs="Arial"/>
                <w:i/>
                <w:sz w:val="18"/>
                <w:szCs w:val="18"/>
                <w:lang w:val="cs-CZ"/>
              </w:rPr>
              <w:t>minimis</w:t>
            </w:r>
            <w:proofErr w:type="spellEnd"/>
            <w:r w:rsidRPr="00A76D60">
              <w:rPr>
                <w:rFonts w:cs="Arial"/>
                <w:sz w:val="18"/>
                <w:szCs w:val="18"/>
                <w:lang w:val="cs-CZ"/>
              </w:rPr>
              <w:t xml:space="preserve"> - poskytovatelé tak </w:t>
            </w:r>
            <w:r w:rsidR="00196EC2">
              <w:rPr>
                <w:rFonts w:cs="Arial"/>
                <w:sz w:val="18"/>
                <w:szCs w:val="18"/>
                <w:lang w:val="cs-CZ"/>
              </w:rPr>
              <w:t xml:space="preserve">zadávají </w:t>
            </w:r>
            <w:r w:rsidRPr="00A76D60">
              <w:rPr>
                <w:rFonts w:cs="Arial"/>
                <w:sz w:val="18"/>
                <w:szCs w:val="18"/>
                <w:lang w:val="cs-CZ"/>
              </w:rPr>
              <w:t xml:space="preserve">údaje pouze do jednoho systému, ze kterého se následně </w:t>
            </w:r>
            <w:r w:rsidR="00196EC2">
              <w:rPr>
                <w:rFonts w:cs="Arial"/>
                <w:sz w:val="18"/>
                <w:szCs w:val="18"/>
                <w:lang w:val="cs-CZ"/>
              </w:rPr>
              <w:t>přenášejí do druhého systému.</w:t>
            </w:r>
            <w:r w:rsidRPr="00A76D60">
              <w:rPr>
                <w:rFonts w:cs="Arial"/>
                <w:sz w:val="18"/>
                <w:szCs w:val="18"/>
                <w:lang w:val="cs-CZ"/>
              </w:rPr>
              <w:t xml:space="preserve"> Tento systém </w:t>
            </w:r>
            <w:r w:rsidR="00196EC2">
              <w:rPr>
                <w:rFonts w:cs="Arial"/>
                <w:sz w:val="18"/>
                <w:szCs w:val="18"/>
                <w:lang w:val="cs-CZ"/>
              </w:rPr>
              <w:t xml:space="preserve">slouží </w:t>
            </w:r>
            <w:r w:rsidRPr="00A76D60">
              <w:rPr>
                <w:rFonts w:cs="Arial"/>
                <w:sz w:val="18"/>
                <w:szCs w:val="18"/>
                <w:lang w:val="cs-CZ"/>
              </w:rPr>
              <w:t>centrálnímu koordinátorovi (MMR-NOK) k monitoringu veřejné podpory poskytované na projekty spolufinancované z ESI fondů.</w:t>
            </w:r>
            <w:r>
              <w:rPr>
                <w:rFonts w:cs="Arial"/>
                <w:sz w:val="18"/>
                <w:szCs w:val="18"/>
                <w:lang w:val="cs-CZ"/>
              </w:rPr>
              <w:t xml:space="preserve"> </w:t>
            </w:r>
            <w:r w:rsidR="00196EC2">
              <w:rPr>
                <w:rFonts w:cs="Arial"/>
                <w:sz w:val="18"/>
                <w:szCs w:val="18"/>
                <w:lang w:val="cs-CZ"/>
              </w:rPr>
              <w:t xml:space="preserve">Nezbytná funkčnost systému v oblasti veřejné podpory je zajištěna (např. zapracováním datových položek k oblasti poskytnuté veřejné podpory, funkční kontrolou na limit podpory v registru de </w:t>
            </w:r>
            <w:proofErr w:type="spellStart"/>
            <w:r w:rsidR="00196EC2">
              <w:rPr>
                <w:rFonts w:cs="Arial"/>
                <w:sz w:val="18"/>
                <w:szCs w:val="18"/>
                <w:lang w:val="cs-CZ"/>
              </w:rPr>
              <w:t>minimis</w:t>
            </w:r>
            <w:proofErr w:type="spellEnd"/>
            <w:r w:rsidR="00196EC2">
              <w:rPr>
                <w:rFonts w:cs="Arial"/>
                <w:sz w:val="18"/>
                <w:szCs w:val="18"/>
                <w:lang w:val="cs-CZ"/>
              </w:rPr>
              <w:t xml:space="preserve">). </w:t>
            </w:r>
            <w:r w:rsidRPr="00B92286">
              <w:rPr>
                <w:sz w:val="18"/>
                <w:szCs w:val="18"/>
                <w:lang w:val="cs-CZ"/>
              </w:rPr>
              <w:t xml:space="preserve">Česká republika si je vědoma povinnosti vyplývající z článku 9 nařízení Komise (EU) č. 651/2014 ze dne 17. června 2014, kterým se v souladu s články 107 a 108 Smlouvy prohlašují určité kategorie podpory za slučitelné s vnitřním trhem, které je nutné splnit nejpozději do dvou let od vstupu nařízení v platnost, tj. </w:t>
            </w:r>
            <w:r w:rsidRPr="009E7A61">
              <w:rPr>
                <w:bCs/>
                <w:sz w:val="18"/>
                <w:szCs w:val="18"/>
                <w:lang w:val="cs-CZ"/>
              </w:rPr>
              <w:t>do 1. 7. 2016.</w:t>
            </w:r>
            <w:r w:rsidRPr="00B92286">
              <w:rPr>
                <w:b/>
                <w:bCs/>
                <w:sz w:val="18"/>
                <w:szCs w:val="18"/>
                <w:lang w:val="cs-CZ"/>
              </w:rPr>
              <w:t xml:space="preserve"> </w:t>
            </w:r>
            <w:r w:rsidRPr="00B92286">
              <w:rPr>
                <w:bCs/>
                <w:sz w:val="18"/>
                <w:szCs w:val="18"/>
                <w:lang w:val="cs-CZ"/>
              </w:rPr>
              <w:t xml:space="preserve">Ze strany ÚOHS jako centrálního koordinačního orgánu v oblasti veřejné podpory byly již zahájeny </w:t>
            </w:r>
            <w:r w:rsidRPr="00B92286">
              <w:rPr>
                <w:sz w:val="18"/>
                <w:szCs w:val="18"/>
                <w:lang w:val="cs-CZ"/>
              </w:rPr>
              <w:t>kroky nezbytné pro realizaci centrální webové stránky.  Vzhledem k tomu, že výše uvedené nařízení vstoupilo v platnost dne 1. 7. 2014, probíhá v současné chvíli ze strany ÚOHS analýza možných řešení tak, aby bylo vybráno nejvhodnější z nich, které bude v rámci České republiky realizováno. Řešení této otázky je probíráno i v rámci probíhajících jednání Pracovní skupiny pro implementaci pravidel pro veřejnou podporu, kterých se účastní ostatní členské státy a zástupci Evropské komise</w:t>
            </w:r>
          </w:p>
          <w:p w:rsidR="0083711E" w:rsidRPr="004B168F" w:rsidRDefault="0083711E" w:rsidP="00C36EE6">
            <w:pPr>
              <w:pStyle w:val="DAVA"/>
              <w:spacing w:after="120"/>
              <w:rPr>
                <w:rFonts w:cs="Arial"/>
                <w:sz w:val="18"/>
                <w:szCs w:val="18"/>
                <w:lang w:val="cs-CZ"/>
              </w:rPr>
            </w:pPr>
            <w:r w:rsidRPr="009E7A61">
              <w:rPr>
                <w:sz w:val="18"/>
                <w:szCs w:val="18"/>
                <w:lang w:val="cs-CZ"/>
              </w:rPr>
              <w:t xml:space="preserve">Informační povinnost je v rámci České republiky zajištěna prostřednictvím zákona č. 215/2004 Sb. ze dne 2. dubna 2004 o úpravě některých vztahů v oblasti veřejné podpory a o změně zákona o podpoře výzkumu a vývoje. § 5 odst. 1 písm. a) Poskytovatel je povinen koordinačnímu orgánu předložit do 30. dubna kalendářního roku informace o veřejných podporách poskytnutých v předcházejícím kalendářním roce a o probíhajících </w:t>
            </w:r>
            <w:r w:rsidRPr="009E7A61">
              <w:rPr>
                <w:sz w:val="18"/>
                <w:szCs w:val="18"/>
                <w:lang w:val="cs-CZ"/>
              </w:rPr>
              <w:lastRenderedPageBreak/>
              <w:t>programech veřejné podpory; informace, které je poskytovatel povinen koordinačnímu orgánu předložit, stanoví přímo použitelný předpis Evropské unie. Koordinační orgán – Úřad pro ochranu hospodářské soutěže poskytuje některým poskytovatelům přístup do elektronického systému SARI (</w:t>
            </w:r>
            <w:proofErr w:type="spellStart"/>
            <w:r w:rsidRPr="009E7A61">
              <w:rPr>
                <w:sz w:val="18"/>
                <w:szCs w:val="18"/>
                <w:lang w:val="cs-CZ"/>
              </w:rPr>
              <w:t>State</w:t>
            </w:r>
            <w:proofErr w:type="spellEnd"/>
            <w:r w:rsidRPr="009E7A61">
              <w:rPr>
                <w:sz w:val="18"/>
                <w:szCs w:val="18"/>
                <w:lang w:val="cs-CZ"/>
              </w:rPr>
              <w:t xml:space="preserve"> Aid Reporting </w:t>
            </w:r>
            <w:proofErr w:type="spellStart"/>
            <w:r w:rsidRPr="009E7A61">
              <w:rPr>
                <w:sz w:val="18"/>
                <w:szCs w:val="18"/>
                <w:lang w:val="cs-CZ"/>
              </w:rPr>
              <w:t>Interactive</w:t>
            </w:r>
            <w:proofErr w:type="spellEnd"/>
            <w:r w:rsidRPr="009E7A61">
              <w:rPr>
                <w:sz w:val="18"/>
                <w:szCs w:val="18"/>
                <w:lang w:val="cs-CZ"/>
              </w:rPr>
              <w:t>), který eviduje podpory i mimo ESI fondy financované výhradně z veřejných rozpočtů.</w:t>
            </w:r>
          </w:p>
          <w:p w:rsidR="0083711E" w:rsidRPr="00A76D60" w:rsidRDefault="0083711E" w:rsidP="00C36EE6">
            <w:pPr>
              <w:pStyle w:val="DAVA"/>
              <w:pBdr>
                <w:bottom w:val="dashed" w:sz="4" w:space="1" w:color="auto"/>
              </w:pBdr>
              <w:spacing w:before="0"/>
              <w:rPr>
                <w:rFonts w:cs="Arial"/>
                <w:sz w:val="18"/>
                <w:szCs w:val="18"/>
                <w:lang w:val="cs-CZ"/>
              </w:rPr>
            </w:pPr>
            <w:r w:rsidRPr="00A76D60">
              <w:rPr>
                <w:rFonts w:cs="Arial"/>
                <w:sz w:val="18"/>
                <w:szCs w:val="18"/>
                <w:lang w:val="cs-CZ"/>
              </w:rPr>
              <w:t xml:space="preserve">Postupy administrace projektů, kterými je zajištěno dodržování pravidel kumulace, jsou stanoveny v řídící dokumentaci každého programu (např. v operačních manuálech, pracovních postupech). V této dokumentaci jsou přesně vymezeny činnosti a osoby za jejich provádění odpovědné. Současně jsou pravidla kumulace detailně nastavena v příslušných výzvách, ve kterých řídící orgány předpokládají poskytování veřejné podpory a její kumulaci. K zajištění plnění podmínky vyplývající z judikatury ve věci </w:t>
            </w:r>
            <w:proofErr w:type="spellStart"/>
            <w:r w:rsidRPr="00A76D60">
              <w:rPr>
                <w:rFonts w:cs="Arial"/>
                <w:sz w:val="18"/>
                <w:szCs w:val="18"/>
                <w:lang w:val="cs-CZ"/>
              </w:rPr>
              <w:t>Deggendorf</w:t>
            </w:r>
            <w:proofErr w:type="spellEnd"/>
            <w:r w:rsidRPr="00A76D60">
              <w:rPr>
                <w:rFonts w:cs="Arial"/>
                <w:sz w:val="18"/>
                <w:szCs w:val="18"/>
                <w:lang w:val="cs-CZ"/>
              </w:rPr>
              <w:t xml:space="preserve"> musí před poskytnutím podpory žadatel podepsat čestné prohlášení, že nemá nevypořádané finanční závazky (z jiných projektů nebo z rozhodnutí EK k navrácení finančních prostředků).</w:t>
            </w:r>
          </w:p>
          <w:p w:rsidR="0083711E" w:rsidRPr="00A76D60" w:rsidRDefault="0083711E" w:rsidP="00C36EE6">
            <w:pPr>
              <w:pStyle w:val="DAVA"/>
              <w:spacing w:after="120"/>
              <w:rPr>
                <w:rFonts w:cs="Arial"/>
                <w:sz w:val="18"/>
                <w:szCs w:val="18"/>
                <w:lang w:val="cs-CZ"/>
              </w:rPr>
            </w:pPr>
            <w:r w:rsidRPr="00A76D60">
              <w:rPr>
                <w:rFonts w:cs="Arial"/>
                <w:sz w:val="18"/>
                <w:szCs w:val="18"/>
                <w:lang w:val="cs-CZ"/>
              </w:rPr>
              <w:t xml:space="preserve">Ustálená praxe je taková, že v případě novelizace EK schváleného programu nebo programu dle GBER se poskytovatelé obrací na centrální koordinační orgány v oblasti veřejné podpory (ÚOHS, </w:t>
            </w:r>
            <w:proofErr w:type="spellStart"/>
            <w:r w:rsidRPr="00A76D60">
              <w:rPr>
                <w:rFonts w:cs="Arial"/>
                <w:sz w:val="18"/>
                <w:szCs w:val="18"/>
                <w:lang w:val="cs-CZ"/>
              </w:rPr>
              <w:t>MZe</w:t>
            </w:r>
            <w:proofErr w:type="spellEnd"/>
            <w:r w:rsidRPr="00A76D60">
              <w:rPr>
                <w:rFonts w:cs="Arial"/>
                <w:sz w:val="18"/>
                <w:szCs w:val="18"/>
                <w:lang w:val="cs-CZ"/>
              </w:rPr>
              <w:t>) s žádostí o konzultaci v dané věci. Koordinační orgán doporučí takový postup, který respektuje pravidla veřejné podpory (např. "</w:t>
            </w:r>
            <w:proofErr w:type="spellStart"/>
            <w:r w:rsidRPr="00A76D60">
              <w:rPr>
                <w:rFonts w:cs="Arial"/>
                <w:sz w:val="18"/>
                <w:szCs w:val="18"/>
                <w:lang w:val="cs-CZ"/>
              </w:rPr>
              <w:t>přeoznámení</w:t>
            </w:r>
            <w:proofErr w:type="spellEnd"/>
            <w:r w:rsidRPr="00A76D60">
              <w:rPr>
                <w:rFonts w:cs="Arial"/>
                <w:sz w:val="18"/>
                <w:szCs w:val="18"/>
                <w:lang w:val="cs-CZ"/>
              </w:rPr>
              <w:t>" programu EK na základě GBER, realizace zjednodušeného oznámení atp.).</w:t>
            </w:r>
          </w:p>
          <w:p w:rsidR="0083711E" w:rsidRPr="00A76D60" w:rsidRDefault="0083711E" w:rsidP="00C36EE6">
            <w:pPr>
              <w:pStyle w:val="DAVA"/>
              <w:pBdr>
                <w:bottom w:val="dashed" w:sz="4" w:space="1" w:color="auto"/>
              </w:pBdr>
              <w:spacing w:before="0"/>
              <w:rPr>
                <w:rFonts w:cs="Arial"/>
                <w:sz w:val="18"/>
                <w:szCs w:val="18"/>
                <w:lang w:val="cs-CZ"/>
              </w:rPr>
            </w:pPr>
            <w:r w:rsidRPr="00A76D60">
              <w:rPr>
                <w:rFonts w:cs="Arial"/>
                <w:sz w:val="18"/>
                <w:szCs w:val="18"/>
                <w:lang w:val="cs-CZ"/>
              </w:rPr>
              <w:t xml:space="preserve">Poskytovatelé se mohou na koordinační orgány v oblasti veřejné podpory obracet i průběžně s dotazy, zdali opatření, které se chystají poskytnout, zakládá veřejnou podporu či nikoliv. Koordinační orgány se také v rámci mezirezortního připomínkového řízení vyjadřují k předkládaným návrhům právních předpisů, kde analyzují navrhované právní předpisy z pohledu pravidel veřejné podpory a dávají připomínky, jak právní předpis upravit v souladu s pravidly veřejné podpory a doporučují poskytovateli v případech, kdy nelze využít GBER, institut služeb obecného hospodářského zájmu či režim </w:t>
            </w:r>
            <w:r w:rsidRPr="009A2B6B">
              <w:rPr>
                <w:rFonts w:cs="Arial"/>
                <w:i/>
                <w:sz w:val="18"/>
                <w:szCs w:val="18"/>
                <w:lang w:val="cs-CZ"/>
              </w:rPr>
              <w:t xml:space="preserve">de </w:t>
            </w:r>
            <w:proofErr w:type="spellStart"/>
            <w:r w:rsidRPr="009A2B6B">
              <w:rPr>
                <w:rFonts w:cs="Arial"/>
                <w:i/>
                <w:sz w:val="18"/>
                <w:szCs w:val="18"/>
                <w:lang w:val="cs-CZ"/>
              </w:rPr>
              <w:t>minimis</w:t>
            </w:r>
            <w:proofErr w:type="spellEnd"/>
            <w:r w:rsidRPr="00A76D60">
              <w:rPr>
                <w:rFonts w:cs="Arial"/>
                <w:sz w:val="18"/>
                <w:szCs w:val="18"/>
                <w:lang w:val="cs-CZ"/>
              </w:rPr>
              <w:t>, provést notifikaci EK.</w:t>
            </w:r>
          </w:p>
          <w:p w:rsidR="0083711E" w:rsidRDefault="0083711E" w:rsidP="00C36EE6">
            <w:pPr>
              <w:pStyle w:val="DAVA"/>
              <w:rPr>
                <w:rFonts w:cs="Arial"/>
                <w:sz w:val="18"/>
                <w:szCs w:val="18"/>
                <w:lang w:val="cs-CZ"/>
              </w:rPr>
            </w:pPr>
            <w:r w:rsidRPr="00A76D60">
              <w:rPr>
                <w:rFonts w:cs="Arial"/>
                <w:sz w:val="18"/>
                <w:szCs w:val="18"/>
                <w:lang w:val="cs-CZ"/>
              </w:rPr>
              <w:t xml:space="preserve">O využití finančních nástrojů v programech nebylo </w:t>
            </w:r>
            <w:r>
              <w:rPr>
                <w:rFonts w:cs="Arial"/>
                <w:sz w:val="18"/>
                <w:szCs w:val="18"/>
                <w:lang w:val="cs-CZ"/>
              </w:rPr>
              <w:t xml:space="preserve">na úrovni programů </w:t>
            </w:r>
            <w:r w:rsidRPr="00A76D60">
              <w:rPr>
                <w:rFonts w:cs="Arial"/>
                <w:sz w:val="18"/>
                <w:szCs w:val="18"/>
                <w:lang w:val="cs-CZ"/>
              </w:rPr>
              <w:t>doposud finálně rozhodnuto - příslušné řídící orgány rozhodnou o jejich implementaci na základě ex-ante hodnocení</w:t>
            </w:r>
            <w:r>
              <w:rPr>
                <w:rFonts w:cs="Arial"/>
                <w:sz w:val="18"/>
                <w:szCs w:val="18"/>
                <w:lang w:val="cs-CZ"/>
              </w:rPr>
              <w:t>.</w:t>
            </w:r>
          </w:p>
          <w:p w:rsidR="0083711E" w:rsidRDefault="0083711E" w:rsidP="00C36EE6">
            <w:pPr>
              <w:pStyle w:val="DAVA"/>
              <w:rPr>
                <w:rFonts w:cs="Arial"/>
                <w:sz w:val="18"/>
                <w:szCs w:val="18"/>
                <w:lang w:val="cs-CZ"/>
              </w:rPr>
            </w:pPr>
            <w:r>
              <w:rPr>
                <w:rFonts w:cs="Arial"/>
                <w:sz w:val="18"/>
                <w:szCs w:val="18"/>
                <w:lang w:val="cs-CZ"/>
              </w:rPr>
              <w:t>Podle výsledků tohoto hodnocení řídící orgány  rozhodnou zda a jakou formou budou finanční nástroje realizovat.</w:t>
            </w:r>
            <w:r w:rsidRPr="00A76D60">
              <w:rPr>
                <w:rFonts w:cs="Arial"/>
                <w:sz w:val="18"/>
                <w:szCs w:val="18"/>
                <w:lang w:val="cs-CZ"/>
              </w:rPr>
              <w:t xml:space="preserve"> </w:t>
            </w:r>
            <w:r>
              <w:rPr>
                <w:rFonts w:cs="Arial"/>
                <w:sz w:val="18"/>
                <w:szCs w:val="18"/>
                <w:lang w:val="cs-CZ"/>
              </w:rPr>
              <w:t xml:space="preserve">  V případě rozhodnutí o implementaci </w:t>
            </w:r>
            <w:r w:rsidRPr="00A76D60">
              <w:rPr>
                <w:rFonts w:cs="Arial"/>
                <w:sz w:val="18"/>
                <w:szCs w:val="18"/>
                <w:lang w:val="cs-CZ"/>
              </w:rPr>
              <w:t xml:space="preserve"> nastaví podrobné postupy administrace těchto projektů v řídící dokumentaci programu. </w:t>
            </w:r>
          </w:p>
          <w:p w:rsidR="0083711E" w:rsidRDefault="0083711E" w:rsidP="00C36EE6">
            <w:pPr>
              <w:pStyle w:val="DAVA"/>
              <w:rPr>
                <w:rFonts w:cs="Arial"/>
                <w:sz w:val="18"/>
                <w:szCs w:val="18"/>
                <w:lang w:val="cs-CZ"/>
              </w:rPr>
            </w:pPr>
            <w:r>
              <w:rPr>
                <w:rFonts w:cs="Arial"/>
                <w:sz w:val="18"/>
                <w:szCs w:val="18"/>
                <w:lang w:val="cs-CZ"/>
              </w:rPr>
              <w:lastRenderedPageBreak/>
              <w:t xml:space="preserve">V případě výběru varianty implementace finančního nástroje z úrovně Komise, </w:t>
            </w:r>
            <w:proofErr w:type="spellStart"/>
            <w:r>
              <w:rPr>
                <w:rFonts w:cs="Arial"/>
                <w:sz w:val="18"/>
                <w:szCs w:val="18"/>
                <w:lang w:val="cs-CZ"/>
              </w:rPr>
              <w:t>tzv</w:t>
            </w:r>
            <w:proofErr w:type="spellEnd"/>
            <w:r>
              <w:rPr>
                <w:rFonts w:cs="Arial"/>
                <w:sz w:val="18"/>
                <w:szCs w:val="18"/>
                <w:lang w:val="cs-CZ"/>
              </w:rPr>
              <w:t>: „</w:t>
            </w:r>
            <w:proofErr w:type="spellStart"/>
            <w:r>
              <w:rPr>
                <w:rFonts w:cs="Arial"/>
                <w:sz w:val="18"/>
                <w:szCs w:val="18"/>
                <w:lang w:val="cs-CZ"/>
              </w:rPr>
              <w:t>Off</w:t>
            </w:r>
            <w:proofErr w:type="spellEnd"/>
            <w:r>
              <w:rPr>
                <w:rFonts w:cs="Arial"/>
                <w:sz w:val="18"/>
                <w:szCs w:val="18"/>
                <w:lang w:val="cs-CZ"/>
              </w:rPr>
              <w:t xml:space="preserve"> </w:t>
            </w:r>
            <w:proofErr w:type="spellStart"/>
            <w:r>
              <w:rPr>
                <w:rFonts w:cs="Arial"/>
                <w:sz w:val="18"/>
                <w:szCs w:val="18"/>
                <w:lang w:val="cs-CZ"/>
              </w:rPr>
              <w:t>the</w:t>
            </w:r>
            <w:proofErr w:type="spellEnd"/>
            <w:r>
              <w:rPr>
                <w:rFonts w:cs="Arial"/>
                <w:sz w:val="18"/>
                <w:szCs w:val="18"/>
                <w:lang w:val="cs-CZ"/>
              </w:rPr>
              <w:t xml:space="preserve"> </w:t>
            </w:r>
            <w:proofErr w:type="spellStart"/>
            <w:r>
              <w:rPr>
                <w:rFonts w:cs="Arial"/>
                <w:sz w:val="18"/>
                <w:szCs w:val="18"/>
                <w:lang w:val="cs-CZ"/>
              </w:rPr>
              <w:t>shelf</w:t>
            </w:r>
            <w:proofErr w:type="spellEnd"/>
            <w:r>
              <w:rPr>
                <w:rFonts w:cs="Arial"/>
                <w:sz w:val="18"/>
                <w:szCs w:val="18"/>
                <w:lang w:val="cs-CZ"/>
              </w:rPr>
              <w:t>“, je problematika veřejné podpory u takovýchto finančních nástrojů Evropskou komisí přímo uznávána jako „s trhem slučitelná veřejná podpora“.</w:t>
            </w:r>
          </w:p>
          <w:p w:rsidR="0083711E" w:rsidRDefault="0083711E" w:rsidP="00C36EE6">
            <w:pPr>
              <w:pStyle w:val="DAVA"/>
              <w:rPr>
                <w:rFonts w:cs="Arial"/>
                <w:sz w:val="18"/>
                <w:szCs w:val="18"/>
                <w:lang w:val="cs-CZ"/>
              </w:rPr>
            </w:pPr>
            <w:r>
              <w:rPr>
                <w:rFonts w:cs="Arial"/>
                <w:sz w:val="18"/>
                <w:szCs w:val="18"/>
                <w:lang w:val="cs-CZ"/>
              </w:rPr>
              <w:t>V případě výběru národní varianty přizpůsobené zvolenému finančnímu nástroji „ na míru“, (</w:t>
            </w:r>
            <w:proofErr w:type="spellStart"/>
            <w:r>
              <w:rPr>
                <w:rFonts w:cs="Arial"/>
                <w:sz w:val="18"/>
                <w:szCs w:val="18"/>
                <w:lang w:val="cs-CZ"/>
              </w:rPr>
              <w:t>tailor</w:t>
            </w:r>
            <w:proofErr w:type="spellEnd"/>
            <w:r>
              <w:rPr>
                <w:rFonts w:cs="Arial"/>
                <w:sz w:val="18"/>
                <w:szCs w:val="18"/>
                <w:lang w:val="cs-CZ"/>
              </w:rPr>
              <w:t xml:space="preserve"> made), bude řídící orgán programu řešit problematiku veřejné podpory na všech úrovních implementace individuálně, a to podle charakteru finančního nástroje, zvolené formy podpory a typu příjemců.</w:t>
            </w:r>
          </w:p>
          <w:p w:rsidR="0083711E" w:rsidRPr="00A76D60" w:rsidRDefault="0083711E" w:rsidP="00C36EE6">
            <w:pPr>
              <w:pStyle w:val="DAVA"/>
              <w:rPr>
                <w:rFonts w:cs="Arial"/>
                <w:sz w:val="18"/>
                <w:szCs w:val="18"/>
                <w:lang w:val="cs-CZ"/>
              </w:rPr>
            </w:pPr>
            <w:r w:rsidRPr="00A76D60">
              <w:rPr>
                <w:rFonts w:cs="Arial"/>
                <w:sz w:val="18"/>
                <w:szCs w:val="18"/>
                <w:lang w:val="cs-CZ"/>
              </w:rPr>
              <w:t xml:space="preserve">Poskytovatelé budou při nastavování pravidel pro použití finančních nástrojů konzultovat koordinační orgány v oblasti veřejné podpory, aby byla pravidla v souladu s předpisy pro veřejnou podporu. </w:t>
            </w:r>
          </w:p>
          <w:p w:rsidR="0083711E" w:rsidRPr="00A76D60" w:rsidRDefault="0083711E" w:rsidP="00C36EE6">
            <w:pPr>
              <w:pStyle w:val="DAVA"/>
              <w:pBdr>
                <w:bottom w:val="dashed" w:sz="4" w:space="1" w:color="auto"/>
              </w:pBdr>
              <w:spacing w:after="120"/>
              <w:rPr>
                <w:rFonts w:cs="Arial"/>
                <w:sz w:val="18"/>
                <w:szCs w:val="18"/>
                <w:lang w:val="cs-CZ"/>
              </w:rPr>
            </w:pPr>
            <w:r w:rsidRPr="00A76D60">
              <w:rPr>
                <w:rFonts w:cs="Arial"/>
                <w:sz w:val="18"/>
                <w:szCs w:val="18"/>
                <w:lang w:val="cs-CZ"/>
              </w:rPr>
              <w:t>Výzvy obsahující podporu ve formě finančních nástrojů budou obsahovat podmínky stanovené pravidly pro VP</w:t>
            </w:r>
            <w:r>
              <w:rPr>
                <w:rFonts w:cs="Arial"/>
                <w:sz w:val="18"/>
                <w:szCs w:val="18"/>
                <w:lang w:val="cs-CZ"/>
              </w:rPr>
              <w:t>. V</w:t>
            </w:r>
            <w:r w:rsidRPr="00A76D60">
              <w:rPr>
                <w:rFonts w:cs="Arial"/>
                <w:sz w:val="18"/>
                <w:szCs w:val="18"/>
                <w:lang w:val="cs-CZ"/>
              </w:rPr>
              <w:t xml:space="preserve">šechny tyto výzvy budou před vyhlášením kontrolovány. Pravidla pro VP jsou se subjekty implementujícími finanční nástroje pravidelně konzultována.  Příjemci podpory ve formě finančních nástrojů jsou před jejím poskytnutím povinni podepsat právní akt, kde jsou taktéž pravidla pro VP uvedena a taktéž čestně prohlašují, že je jim znám právní rámec pro veřejnou podporu. </w:t>
            </w:r>
          </w:p>
          <w:p w:rsidR="00E83F36" w:rsidRDefault="0083711E" w:rsidP="00C36EE6">
            <w:pPr>
              <w:pStyle w:val="DAVA"/>
              <w:pBdr>
                <w:bottom w:val="dashed" w:sz="4" w:space="1" w:color="auto"/>
              </w:pBdr>
              <w:spacing w:after="120"/>
              <w:rPr>
                <w:rFonts w:cs="Arial"/>
                <w:sz w:val="18"/>
                <w:szCs w:val="18"/>
                <w:lang w:val="cs-CZ"/>
              </w:rPr>
            </w:pPr>
            <w:r w:rsidRPr="00A76D60">
              <w:rPr>
                <w:rFonts w:cs="Arial"/>
                <w:sz w:val="18"/>
                <w:szCs w:val="18"/>
                <w:lang w:val="cs-CZ"/>
              </w:rPr>
              <w:t>MMR-NOK jako centrální koordinátor připrav</w:t>
            </w:r>
            <w:r>
              <w:rPr>
                <w:rFonts w:cs="Arial"/>
                <w:sz w:val="18"/>
                <w:szCs w:val="18"/>
                <w:lang w:val="cs-CZ"/>
              </w:rPr>
              <w:t>il</w:t>
            </w:r>
            <w:r w:rsidRPr="00A76D60">
              <w:rPr>
                <w:rFonts w:cs="Arial"/>
                <w:sz w:val="18"/>
                <w:szCs w:val="18"/>
                <w:lang w:val="cs-CZ"/>
              </w:rPr>
              <w:t xml:space="preserve"> dokument </w:t>
            </w:r>
            <w:r w:rsidR="00196EC2" w:rsidRPr="00C26CDC">
              <w:rPr>
                <w:rFonts w:cs="Arial"/>
                <w:sz w:val="18"/>
                <w:szCs w:val="18"/>
                <w:lang w:val="cs-CZ"/>
              </w:rPr>
              <w:t>„Metodické doporučení pro implementaci finančních nástrojů v programovém období 2014-2020“.</w:t>
            </w:r>
            <w:r w:rsidR="00196EC2" w:rsidRPr="00A76D60">
              <w:rPr>
                <w:rFonts w:cs="Arial"/>
                <w:sz w:val="18"/>
                <w:szCs w:val="18"/>
                <w:lang w:val="cs-CZ"/>
              </w:rPr>
              <w:t xml:space="preserve"> </w:t>
            </w:r>
          </w:p>
          <w:p w:rsidR="0083711E" w:rsidRPr="00A76D60" w:rsidRDefault="0083711E" w:rsidP="00C36EE6">
            <w:pPr>
              <w:pStyle w:val="DAVA"/>
              <w:pBdr>
                <w:bottom w:val="dashed" w:sz="4" w:space="1" w:color="auto"/>
              </w:pBdr>
              <w:spacing w:after="120"/>
              <w:rPr>
                <w:rFonts w:cs="Arial"/>
                <w:sz w:val="18"/>
                <w:szCs w:val="18"/>
                <w:lang w:val="cs-CZ"/>
              </w:rPr>
            </w:pPr>
            <w:r>
              <w:rPr>
                <w:rFonts w:cs="Arial"/>
                <w:sz w:val="18"/>
                <w:szCs w:val="18"/>
                <w:lang w:val="cs-CZ"/>
              </w:rPr>
              <w:t>Tento materiál byl projednán na úrovni vlády ČR a je zveřejněn  na webu národního orgánu pro koordinaci dostupný všem řídícím orgánům, které analyzují, nebo připravují možnost implementace finančních nástrojů.</w:t>
            </w:r>
          </w:p>
          <w:p w:rsidR="0083711E" w:rsidRPr="00A76D60" w:rsidRDefault="0083711E" w:rsidP="00C36EE6">
            <w:pPr>
              <w:pStyle w:val="DAVA"/>
              <w:rPr>
                <w:rFonts w:cs="Arial"/>
                <w:sz w:val="18"/>
                <w:szCs w:val="18"/>
                <w:lang w:val="cs-CZ"/>
              </w:rPr>
            </w:pPr>
            <w:r w:rsidRPr="00A76D60">
              <w:rPr>
                <w:rFonts w:cs="Arial"/>
                <w:sz w:val="18"/>
                <w:szCs w:val="18"/>
                <w:lang w:val="cs-CZ"/>
              </w:rPr>
              <w:t>Dle vnitrostátního zákona (zákon č. 215/2004 Sb.) je poskytovatel povinen bez zbytečného odkladu učinit veškerá nezbytná opatření k zajištění splnění povinnosti navrácení podpory. Za tím účelem poskytovatel příjemce neprodleně vyzve k navrácení podpory; nevyplývá-li lhůta k navrácení nebo prozatímnímu navrácení veřejné podpory z rozhodnutí Komise, poskytovatel lhůtu zároveň ve výzvě stanoví. Po marném uplynutí lhůty k navrácení nebo prozatímnímu navrácení veřejné podpory poskytovatel rozhodne o jejím odnětí příjemci podle zvláštního vnitrostátního právního předpisu, popřípadě, nelze-li takto postupovat, podá proti příjemci žalobu u soudu.  Za porušení dané povinnosti se uloží poskytovateli pokuta ve výši do 1 000 000 Kč (§8a odst. 3 písm. d) zákona č. 215/2004 Sb.).</w:t>
            </w:r>
          </w:p>
          <w:p w:rsidR="0083711E" w:rsidRPr="00A76D60" w:rsidRDefault="0083711E" w:rsidP="00C36EE6">
            <w:pPr>
              <w:pStyle w:val="DAVA"/>
              <w:rPr>
                <w:rFonts w:cs="Arial"/>
                <w:sz w:val="18"/>
                <w:szCs w:val="18"/>
                <w:lang w:val="cs-CZ"/>
              </w:rPr>
            </w:pPr>
            <w:r w:rsidRPr="00A76D60">
              <w:rPr>
                <w:rFonts w:cs="Arial"/>
                <w:sz w:val="18"/>
                <w:szCs w:val="18"/>
                <w:lang w:val="cs-CZ"/>
              </w:rPr>
              <w:t xml:space="preserve">Pravidla pro finanční kontrolu jsou stanovena v národní legislativě. Základním předpisem </w:t>
            </w:r>
            <w:r w:rsidRPr="00A76D60">
              <w:rPr>
                <w:rFonts w:cs="Arial"/>
                <w:sz w:val="18"/>
                <w:szCs w:val="18"/>
                <w:lang w:val="cs-CZ"/>
              </w:rPr>
              <w:lastRenderedPageBreak/>
              <w:t xml:space="preserve">pro využívání prostředků státního rozpočtu je zákon č. 218/2000 Sb. (tzv. rozpočtová pravidla), na regionální úrovni jsou tyto postupy ošetřeny zákonem č. 250/2000 Sb. Oblast finanční kontroly ve veřejné správě je dále upravena zákonem č. 320/2001 Sb. Tento zákon vymezuje uspořádání a rozsah finanční kontroly vykonávané mezi orgány veřejné správy, mezi orgány veřejné správy a žadateli nebo příjemci veřejné finanční podpory a uvnitř orgánů veřejné správy. Stanoví předmět, hlavní cíle a zásady finanční kontroly. </w:t>
            </w:r>
          </w:p>
          <w:p w:rsidR="0083711E" w:rsidRPr="00A76D60" w:rsidRDefault="0083711E" w:rsidP="00C36EE6">
            <w:pPr>
              <w:pStyle w:val="DAVA"/>
              <w:rPr>
                <w:rFonts w:cs="Arial"/>
                <w:sz w:val="18"/>
                <w:szCs w:val="18"/>
                <w:lang w:val="cs-CZ"/>
              </w:rPr>
            </w:pPr>
            <w:r w:rsidRPr="00A76D60">
              <w:rPr>
                <w:rFonts w:cs="Arial"/>
                <w:sz w:val="18"/>
                <w:szCs w:val="18"/>
                <w:lang w:val="cs-CZ"/>
              </w:rPr>
              <w:t>Na čerpání nelegální či neslučitelné podpory se pohlíží stejně jako na zneužití dotace, což vyplývá přímo z právního aktu o poskytnutí podpory. Navracení zneužitých prostředků probíhá v režimu shodném pro všechny případy zneužití prostředků státního rozpočtu, tj. orgán finanční správy ukládá příjemci odvod. Podrobné postupy při šetření a vymáhání nesrovnalostí (mezi něž se řadí i poskytnutí nelegální nebo neslučitelné podpory) jsou popsány v Metodice finančních toků a kontroly, kterou zpracovává Ministerstvo financí, a která je závazná pro všechny řídící orgány (MFTK pro programové období 2014-2020 je v realizaci). Poskytovatel je v případě zjištění nesrovnalosti povinen předat případ bezodkladně příslušnému orgánu finanční správy k dalšímu řízení a tento orgán finanční správy následně vymáhá neoprávněně nebo nelegálně poskytnutou podporu od příjemce. V případě, že se mu podporu vymoct nepodaří, předá případ k vyřešení příslušnému soudu. Orgány finanční správy vykonávají svou činnost dle místní příslušnosti, čímž je zajištěna jejich dostatečná administrativní kapacita. Jsou zřízeny zákonem č. 456/2011 Sb., o Finanční správě České republiky, ve znění pozdějších předpisů, který vymezuje jejich kompetence a činnosti a jejich územní působnost je stanovena v § 8 tohoto zákona.</w:t>
            </w:r>
          </w:p>
          <w:p w:rsidR="0083711E" w:rsidRPr="00A76D60" w:rsidRDefault="0083711E" w:rsidP="00C36EE6">
            <w:pPr>
              <w:pStyle w:val="DAVA"/>
              <w:rPr>
                <w:rFonts w:cs="Arial"/>
                <w:sz w:val="18"/>
                <w:szCs w:val="18"/>
                <w:lang w:val="cs-CZ"/>
              </w:rPr>
            </w:pPr>
            <w:r w:rsidRPr="00A76D60">
              <w:rPr>
                <w:rFonts w:cs="Arial"/>
                <w:sz w:val="18"/>
                <w:szCs w:val="18"/>
                <w:lang w:val="cs-CZ"/>
              </w:rPr>
              <w:t>Finanční kontroly prostředků spolufinancovaných z ESI fondů jsou zajišťovány na všech úrovních implementace; strukturu řídících a kontrolních systémů završují příslušná ministerstva s odpovědností řídících orgánů, MF s odpovědností platebního orgánu a odpovědností funkčně nezávislého útvaru auditorského typu (tzv. „</w:t>
            </w:r>
            <w:proofErr w:type="spellStart"/>
            <w:r w:rsidRPr="00A76D60">
              <w:rPr>
                <w:rFonts w:cs="Arial"/>
                <w:sz w:val="18"/>
                <w:szCs w:val="18"/>
                <w:lang w:val="cs-CZ"/>
              </w:rPr>
              <w:t>winding</w:t>
            </w:r>
            <w:proofErr w:type="spellEnd"/>
            <w:r w:rsidRPr="00A76D60">
              <w:rPr>
                <w:rFonts w:cs="Arial"/>
                <w:sz w:val="18"/>
                <w:szCs w:val="18"/>
                <w:lang w:val="cs-CZ"/>
              </w:rPr>
              <w:t>-up“), který na základě výsledků všech provedených auditů a kontrol zpracovává prohlášení při ukončení pomoci nebo projektu požadované EK před vyplacením závěrečné platby z fondů EU.</w:t>
            </w:r>
          </w:p>
          <w:p w:rsidR="0083711E" w:rsidRPr="00A76D60" w:rsidRDefault="0083711E" w:rsidP="00C36EE6">
            <w:pPr>
              <w:pStyle w:val="DAVA"/>
              <w:pBdr>
                <w:bottom w:val="dashed" w:sz="4" w:space="1" w:color="auto"/>
              </w:pBdr>
              <w:spacing w:after="120"/>
              <w:rPr>
                <w:rFonts w:cs="Arial"/>
                <w:sz w:val="18"/>
                <w:szCs w:val="18"/>
                <w:lang w:val="cs-CZ"/>
              </w:rPr>
            </w:pPr>
            <w:r w:rsidRPr="00A76D60">
              <w:rPr>
                <w:rFonts w:cs="Arial"/>
                <w:sz w:val="18"/>
                <w:szCs w:val="18"/>
                <w:lang w:val="cs-CZ"/>
              </w:rPr>
              <w:t>Povinnost a postupy při navracení veřejné podpory jsou dále popsány v řídící dokumentaci programů (manuály, podmínky rozhodnutí, smlouvy apod.), která podléhá schválení centrálním koordinačním orgánem (v tomto případě MMR-NOK, jako koordinátor jednotného metodického prostředí).</w:t>
            </w:r>
          </w:p>
          <w:p w:rsidR="0083711E" w:rsidRPr="00A76D60" w:rsidRDefault="0083711E" w:rsidP="00C36EE6">
            <w:pPr>
              <w:pStyle w:val="DAVA"/>
              <w:rPr>
                <w:rFonts w:cs="Arial"/>
                <w:sz w:val="18"/>
                <w:szCs w:val="18"/>
                <w:lang w:val="cs-CZ"/>
              </w:rPr>
            </w:pPr>
            <w:r w:rsidRPr="00A76D60">
              <w:rPr>
                <w:rFonts w:cs="Arial"/>
                <w:sz w:val="18"/>
                <w:szCs w:val="18"/>
                <w:lang w:val="cs-CZ"/>
              </w:rPr>
              <w:t xml:space="preserve">Poskytovatel má povinnost poskytovat podporu v souladu se všemi  pravidly veřejné podpory, ať již vnitrostátními, či unijními. Poskytovatel podpory, která podléhá pravidlům </w:t>
            </w:r>
            <w:r w:rsidRPr="00A76D60">
              <w:rPr>
                <w:rFonts w:cs="Arial"/>
                <w:sz w:val="18"/>
                <w:szCs w:val="18"/>
                <w:lang w:val="cs-CZ"/>
              </w:rPr>
              <w:lastRenderedPageBreak/>
              <w:t xml:space="preserve">veřejné podpory, spolupracuje s centrálním koordinačním orgánem (ÚOHS, </w:t>
            </w:r>
            <w:proofErr w:type="spellStart"/>
            <w:r w:rsidRPr="00A76D60">
              <w:rPr>
                <w:rFonts w:cs="Arial"/>
                <w:sz w:val="18"/>
                <w:szCs w:val="18"/>
                <w:lang w:val="cs-CZ"/>
              </w:rPr>
              <w:t>MZe</w:t>
            </w:r>
            <w:proofErr w:type="spellEnd"/>
            <w:r w:rsidRPr="00A76D60">
              <w:rPr>
                <w:rFonts w:cs="Arial"/>
                <w:sz w:val="18"/>
                <w:szCs w:val="18"/>
                <w:lang w:val="cs-CZ"/>
              </w:rPr>
              <w:t>). Koordinační orgány nastavují spolu s poskytovateli programy v souladu s konkrétními právními předpisy v oblasti pravidel veřejné podpory. Před přijetím programu na vnitrostátní úrovni konzultuje poskytovatel nastavení podmínek programu s koordinačním orgánem, aby byl zajištěn soulad s pravidly pro veřejnou podporu. Koordinační orgán při konzultacích k jednotlivým opatřením podpory upozorňuje poskytovatele na rizika spojená s protiprávně poskytnutou veřejnou podporou. Při realizaci programu provádí poskytovatel pravidelně kontroly plnění podmínek programu. Tyto kontroly jsou vykonávány i ze strany finančních úřadů.</w:t>
            </w:r>
          </w:p>
          <w:p w:rsidR="0083711E" w:rsidRPr="00A76D60" w:rsidRDefault="0083711E" w:rsidP="00C36EE6">
            <w:pPr>
              <w:pStyle w:val="DAVA"/>
              <w:spacing w:after="120"/>
              <w:rPr>
                <w:rFonts w:cs="Arial"/>
                <w:sz w:val="18"/>
                <w:szCs w:val="18"/>
                <w:lang w:val="cs-CZ"/>
              </w:rPr>
            </w:pPr>
            <w:r w:rsidRPr="00A76D60">
              <w:rPr>
                <w:rFonts w:cs="Arial"/>
                <w:sz w:val="18"/>
                <w:szCs w:val="18"/>
                <w:lang w:val="cs-CZ"/>
              </w:rPr>
              <w:t>V případě programů spolufinancovaných z ESI fondů se při jejich přípravě řídící orgány obrací rovněž na koordinátora MMR-NOK, který zhodnocuje programy i následnou řídící dokumentaci (obsahující podrobné nastavení kontrol a administrace projektů) s ohledem na soulad s pravidly veřejné podpory.</w:t>
            </w:r>
          </w:p>
          <w:p w:rsidR="0083711E" w:rsidRPr="00A76D60" w:rsidRDefault="0083711E" w:rsidP="00C36EE6">
            <w:pPr>
              <w:pStyle w:val="DAVA"/>
              <w:pBdr>
                <w:bottom w:val="dashed" w:sz="4" w:space="1" w:color="auto"/>
              </w:pBdr>
              <w:spacing w:before="0"/>
              <w:rPr>
                <w:rFonts w:cs="Arial"/>
                <w:sz w:val="18"/>
                <w:szCs w:val="18"/>
                <w:lang w:val="cs-CZ"/>
              </w:rPr>
            </w:pPr>
            <w:r w:rsidRPr="00A76D60">
              <w:rPr>
                <w:rFonts w:cs="Arial"/>
                <w:sz w:val="18"/>
                <w:szCs w:val="18"/>
                <w:lang w:val="cs-CZ"/>
              </w:rPr>
              <w:t>Kontroly projektů ze strany poskytovatele probíhají před poskytnutím dotace, jakož i v průběhu realizace projektu. Využívány jsou kontrolní listy i čestné prohlášení žadatele. Poskytovatelé zaznamenávají a sledují poskytnuté podpory v informačním systému MS2014+, případně i ve svých interních informačních systémech. Postupy pro administraci veřejné podpory jsou nastaveny v řídící dokumentaci  programů (manuály, výzvy, příručky pro příjemce), v rámci které je nastaveno omezení podpory v souladu s mírou intensity podpory, je nastavena způsobilost výdajů v rámci příslušných režimů, stanovena definice malých a středních podniků a s tím související omezení míry podpory (dle velikosti podniků), pravidla podniků poskytujících služby obecného hospodářského zájmu apod.</w:t>
            </w:r>
          </w:p>
          <w:p w:rsidR="0083711E" w:rsidRPr="00A76D60" w:rsidRDefault="0083711E" w:rsidP="00C36EE6">
            <w:pPr>
              <w:pStyle w:val="DAVA"/>
              <w:rPr>
                <w:rFonts w:cs="Arial"/>
                <w:sz w:val="18"/>
                <w:szCs w:val="18"/>
                <w:lang w:val="cs-CZ"/>
              </w:rPr>
            </w:pPr>
            <w:r w:rsidRPr="00A76D60">
              <w:rPr>
                <w:rFonts w:cs="Arial"/>
                <w:sz w:val="18"/>
                <w:szCs w:val="18"/>
                <w:lang w:val="cs-CZ"/>
              </w:rPr>
              <w:t xml:space="preserve">V případě poskytování podpor </w:t>
            </w:r>
            <w:r w:rsidRPr="009E7A61">
              <w:rPr>
                <w:rFonts w:cs="Arial"/>
                <w:i/>
                <w:sz w:val="18"/>
                <w:szCs w:val="18"/>
                <w:lang w:val="cs-CZ"/>
              </w:rPr>
              <w:t xml:space="preserve">de </w:t>
            </w:r>
            <w:proofErr w:type="spellStart"/>
            <w:r w:rsidRPr="009E7A61">
              <w:rPr>
                <w:rFonts w:cs="Arial"/>
                <w:i/>
                <w:sz w:val="18"/>
                <w:szCs w:val="18"/>
                <w:lang w:val="cs-CZ"/>
              </w:rPr>
              <w:t>minimis</w:t>
            </w:r>
            <w:proofErr w:type="spellEnd"/>
            <w:r w:rsidRPr="00A76D60">
              <w:rPr>
                <w:rFonts w:cs="Arial"/>
                <w:sz w:val="18"/>
                <w:szCs w:val="18"/>
                <w:lang w:val="cs-CZ"/>
              </w:rPr>
              <w:t xml:space="preserve">, tak jak je uvedeno výše, má ČR od r. 2010 zřízen centrální registr podpor malého rozsahu. Poskytovatel je povinen si před poskytnutím podpory malého rozsahu ověřit v centrálním registru, zdali poskytnutím podpory nedojde u daného příjemce k překročením limitu pro podporu </w:t>
            </w:r>
            <w:r w:rsidRPr="009E7A61">
              <w:rPr>
                <w:rFonts w:cs="Arial"/>
                <w:i/>
                <w:sz w:val="18"/>
                <w:szCs w:val="18"/>
                <w:lang w:val="cs-CZ"/>
              </w:rPr>
              <w:t xml:space="preserve">de </w:t>
            </w:r>
            <w:proofErr w:type="spellStart"/>
            <w:r w:rsidRPr="009E7A61">
              <w:rPr>
                <w:rFonts w:cs="Arial"/>
                <w:i/>
                <w:sz w:val="18"/>
                <w:szCs w:val="18"/>
                <w:lang w:val="cs-CZ"/>
              </w:rPr>
              <w:t>minimis</w:t>
            </w:r>
            <w:proofErr w:type="spellEnd"/>
            <w:r w:rsidRPr="00A76D60">
              <w:rPr>
                <w:rFonts w:cs="Arial"/>
                <w:sz w:val="18"/>
                <w:szCs w:val="18"/>
                <w:lang w:val="cs-CZ"/>
              </w:rPr>
              <w:t xml:space="preserve"> a zaznamenat údaje o poskytnuté podpoře a o příjemci do Centrálního registru v zákonem stanovené lhůtě (5 pracovních dnů). Předmětná povinnost je také sankcionována kompetentním centrálním koordinačním orgánem (dle zákona č. 215/2004 Sb.) </w:t>
            </w:r>
          </w:p>
          <w:p w:rsidR="0083711E" w:rsidRPr="00A76D60" w:rsidRDefault="0083711E" w:rsidP="00C36EE6">
            <w:pPr>
              <w:pStyle w:val="DAVA"/>
              <w:rPr>
                <w:rFonts w:cs="Arial"/>
                <w:sz w:val="18"/>
                <w:szCs w:val="18"/>
                <w:lang w:val="cs-CZ"/>
              </w:rPr>
            </w:pPr>
            <w:r w:rsidRPr="00A76D60">
              <w:rPr>
                <w:rFonts w:cs="Arial"/>
                <w:sz w:val="18"/>
                <w:szCs w:val="18"/>
                <w:lang w:val="cs-CZ"/>
              </w:rPr>
              <w:t xml:space="preserve">Plnění oznamovacích povinností dle nařízení Komise č. 659/1999 (resp. nařízení Komise č. 794/2004) a rozhodnutí Komise o použití čl. 106 odst. 2 Smlouvy o fungování Evropské unie na státní podporu ve formě vyrovnávací platby za závazek veřejné služby poskytované určitým podnikům pověřeným poskytováním služeb obecného </w:t>
            </w:r>
            <w:r w:rsidRPr="00A76D60">
              <w:rPr>
                <w:rFonts w:cs="Arial"/>
                <w:sz w:val="18"/>
                <w:szCs w:val="18"/>
                <w:lang w:val="cs-CZ"/>
              </w:rPr>
              <w:lastRenderedPageBreak/>
              <w:t xml:space="preserve">hospodářského zájmu (2012/21/EU) je koordinováno ze strany ÚOHS. ÚOHS vyzývá poskytovatele podpory v dostatečném časovém předstihu k předložení údajů o podpoře poskytnuté na základě rozhodnutí 2012/21/EU, a to každé dva roky. Poskytovatelé mají povinnost předložit údaje o stávajících režimech podpor za kalendářní rok ÚOHS nejpozději do 30. dubna. Nesplnění dané povinnosti je také dle zákona 215/2004 Sb. považováno za správní delikt a je sankcionováno, až do výše 300 000 CZK. Tyto údaje ÚOHS následně zaznamenává do systému SARI, prostřednictvím kterého jsou v elektronické podobě předány Komisi. V případě velkých poskytovatelů jsou údaje do systému SARI zadávány přímo a ÚOHS pouze provádí jejich kontrolu před finálním odesláním na EK. Tato činnost ÚOHS, jakož i povinnost poskytnutí podkladů ze strany poskytovatelů je vymezena v zákoně č. 215/2004 Sb. </w:t>
            </w:r>
          </w:p>
          <w:p w:rsidR="0083711E" w:rsidRPr="00A76D60" w:rsidRDefault="0083711E" w:rsidP="00C36EE6">
            <w:pPr>
              <w:pStyle w:val="DAVA"/>
              <w:rPr>
                <w:rFonts w:cs="Arial"/>
                <w:sz w:val="18"/>
                <w:szCs w:val="18"/>
                <w:lang w:val="cs-CZ"/>
              </w:rPr>
            </w:pPr>
            <w:r w:rsidRPr="00A76D60">
              <w:rPr>
                <w:rFonts w:cs="Arial"/>
                <w:sz w:val="18"/>
                <w:szCs w:val="18"/>
                <w:lang w:val="cs-CZ"/>
              </w:rPr>
              <w:t>Na základě zákona č. 215/2004 Sb. jsou poskytovatelé i příjemci povinni předložit koordinačnímu orgánu na jeho písemné vyžádání veškeré dokumenty a jiné informace týkající se veřejné podpory nebo programů veřejné podpory. Nesplnění dané povinnosti je také dle zákona 215/2004 Sb. považováno za správní delikt a je sankcionováno, až do výše 300 000 CZK.</w:t>
            </w:r>
          </w:p>
          <w:p w:rsidR="0083711E" w:rsidRPr="00A76D60" w:rsidRDefault="0083711E" w:rsidP="00C36EE6">
            <w:pPr>
              <w:pStyle w:val="DAVA"/>
              <w:rPr>
                <w:rFonts w:cs="Arial"/>
                <w:sz w:val="18"/>
                <w:szCs w:val="18"/>
                <w:lang w:val="cs-CZ"/>
              </w:rPr>
            </w:pPr>
            <w:r w:rsidRPr="00A76D60">
              <w:rPr>
                <w:rFonts w:cs="Arial"/>
                <w:sz w:val="18"/>
                <w:szCs w:val="18"/>
                <w:lang w:val="cs-CZ"/>
              </w:rPr>
              <w:t>Údaje o poskytnutých veřejných podporách z ESI  fondů jsou souhrnně obsaženy v monitorovacím systému MS2014+ a budou také na tzv. centrální webové stránce</w:t>
            </w:r>
            <w:r w:rsidRPr="00A76D60">
              <w:rPr>
                <w:rFonts w:cs="Arial"/>
                <w:sz w:val="18"/>
                <w:szCs w:val="18"/>
              </w:rPr>
              <w:t xml:space="preserve"> </w:t>
            </w:r>
            <w:r w:rsidRPr="00A76D60">
              <w:rPr>
                <w:rFonts w:cs="Arial"/>
                <w:sz w:val="18"/>
                <w:szCs w:val="18"/>
                <w:lang w:val="cs-CZ"/>
              </w:rPr>
              <w:t>v souladu s požadavky dle revidované legislativy EU, , jak je popsáno v části 1.1. MS2014+ nahradí v současném období používaný systém MSC2007 (včetně jednotlivých IS Monit7+, čímž dojde k sjednocení systémů příslušných operačních programů, jakož i k zjednodušení administrace projektových žádostí).</w:t>
            </w:r>
          </w:p>
          <w:p w:rsidR="0083711E" w:rsidRDefault="00412654" w:rsidP="00C36EE6">
            <w:pPr>
              <w:pStyle w:val="DAVA"/>
              <w:spacing w:before="80" w:after="80"/>
              <w:rPr>
                <w:rFonts w:cs="Arial"/>
                <w:color w:val="000000"/>
                <w:sz w:val="18"/>
                <w:szCs w:val="18"/>
                <w:lang w:val="cs-CZ" w:eastAsia="cs-CZ"/>
              </w:rPr>
            </w:pPr>
            <w:r>
              <w:rPr>
                <w:rFonts w:cs="Arial"/>
                <w:color w:val="000000"/>
                <w:sz w:val="18"/>
                <w:szCs w:val="18"/>
                <w:lang w:val="cs-CZ" w:eastAsia="cs-CZ"/>
              </w:rPr>
              <w:t xml:space="preserve">ŘO OP PIK: </w:t>
            </w:r>
          </w:p>
          <w:p w:rsidR="00412654" w:rsidRPr="00412654" w:rsidRDefault="00412654" w:rsidP="00412654">
            <w:pPr>
              <w:pStyle w:val="Tabulka"/>
              <w:rPr>
                <w:rFonts w:ascii="Arial" w:hAnsi="Arial" w:cs="Arial"/>
                <w:b w:val="0"/>
                <w:color w:val="auto"/>
              </w:rPr>
            </w:pPr>
            <w:r w:rsidRPr="00412654">
              <w:rPr>
                <w:rFonts w:ascii="Arial" w:hAnsi="Arial" w:cs="Arial"/>
                <w:b w:val="0"/>
                <w:color w:val="auto"/>
              </w:rPr>
              <w:t xml:space="preserve">Oblast VP se řídí právem EU, zákonem č. 215/2004 Sb. V návaznosti na metodické pokyny ÚOHS a MMR a další uvedené předpisy v této tabulce vydává ŘO OPPIK interní metodický manuál, ve kterém upravuje postupy pro VP a zapracovává pravidla VP do dokumentace výzev včetně pravidel pro podpory malého rozsahu. </w:t>
            </w:r>
          </w:p>
          <w:p w:rsidR="00412654" w:rsidRPr="00412654" w:rsidRDefault="00412654" w:rsidP="00412654">
            <w:pPr>
              <w:pStyle w:val="Tabulka"/>
              <w:rPr>
                <w:rFonts w:ascii="Arial" w:hAnsi="Arial" w:cs="Arial"/>
                <w:b w:val="0"/>
                <w:color w:val="auto"/>
              </w:rPr>
            </w:pPr>
            <w:r w:rsidRPr="00E83F36">
              <w:rPr>
                <w:rFonts w:ascii="Arial" w:hAnsi="Arial" w:cs="Arial"/>
                <w:b w:val="0"/>
                <w:color w:val="auto"/>
              </w:rPr>
              <w:t xml:space="preserve">Kontrola souladu programů s pravidly VP </w:t>
            </w:r>
            <w:r w:rsidR="000968A9" w:rsidRPr="00E83F36">
              <w:rPr>
                <w:rFonts w:ascii="Arial" w:hAnsi="Arial" w:cs="Arial"/>
                <w:b w:val="0"/>
                <w:color w:val="auto"/>
              </w:rPr>
              <w:t xml:space="preserve">byla </w:t>
            </w:r>
            <w:r w:rsidRPr="00E83F36">
              <w:rPr>
                <w:rFonts w:ascii="Arial" w:hAnsi="Arial" w:cs="Arial"/>
                <w:b w:val="0"/>
                <w:color w:val="auto"/>
              </w:rPr>
              <w:t>provedena dle schválení programů podpory vládou ČR</w:t>
            </w:r>
            <w:r w:rsidR="008D3778" w:rsidRPr="00E83F36">
              <w:rPr>
                <w:rFonts w:ascii="Arial" w:hAnsi="Arial" w:cs="Arial"/>
                <w:b w:val="0"/>
                <w:color w:val="auto"/>
              </w:rPr>
              <w:t>.</w:t>
            </w:r>
            <w:r w:rsidR="000968A9" w:rsidRPr="00E83F36" w:rsidDel="000968A9">
              <w:rPr>
                <w:rFonts w:ascii="Arial" w:hAnsi="Arial" w:cs="Arial"/>
                <w:b w:val="0"/>
                <w:color w:val="auto"/>
              </w:rPr>
              <w:t xml:space="preserve"> </w:t>
            </w:r>
            <w:r w:rsidRPr="00E83F36">
              <w:rPr>
                <w:rFonts w:ascii="Arial" w:hAnsi="Arial" w:cs="Arial"/>
                <w:b w:val="0"/>
                <w:color w:val="auto"/>
              </w:rPr>
              <w:t xml:space="preserve"> </w:t>
            </w:r>
            <w:r w:rsidR="008D3778" w:rsidRPr="00E83F36">
              <w:rPr>
                <w:rFonts w:ascii="Arial" w:hAnsi="Arial" w:cs="Arial"/>
                <w:b w:val="0"/>
                <w:color w:val="auto"/>
              </w:rPr>
              <w:t xml:space="preserve"> Soulad s pravidly VP u výzev bude u </w:t>
            </w:r>
            <w:r w:rsidR="00E83F36">
              <w:rPr>
                <w:rFonts w:ascii="Arial" w:hAnsi="Arial" w:cs="Arial"/>
                <w:b w:val="0"/>
                <w:color w:val="auto"/>
              </w:rPr>
              <w:t>p</w:t>
            </w:r>
            <w:r w:rsidRPr="00E83F36">
              <w:rPr>
                <w:rFonts w:ascii="Arial" w:hAnsi="Arial" w:cs="Arial"/>
                <w:b w:val="0"/>
                <w:color w:val="auto"/>
              </w:rPr>
              <w:t>rvní</w:t>
            </w:r>
            <w:r w:rsidR="008D3778" w:rsidRPr="00E83F36">
              <w:rPr>
                <w:rFonts w:ascii="Arial" w:hAnsi="Arial" w:cs="Arial"/>
                <w:b w:val="0"/>
                <w:color w:val="auto"/>
              </w:rPr>
              <w:t>ho</w:t>
            </w:r>
            <w:r w:rsidRPr="00E83F36">
              <w:rPr>
                <w:rFonts w:ascii="Arial" w:hAnsi="Arial" w:cs="Arial"/>
                <w:b w:val="0"/>
                <w:color w:val="auto"/>
              </w:rPr>
              <w:t xml:space="preserve"> kol</w:t>
            </w:r>
            <w:r w:rsidR="008D3778" w:rsidRPr="00E83F36">
              <w:rPr>
                <w:rFonts w:ascii="Arial" w:hAnsi="Arial" w:cs="Arial"/>
                <w:b w:val="0"/>
                <w:color w:val="auto"/>
              </w:rPr>
              <w:t>a</w:t>
            </w:r>
            <w:r w:rsidRPr="00E83F36">
              <w:rPr>
                <w:rFonts w:ascii="Arial" w:hAnsi="Arial" w:cs="Arial"/>
                <w:b w:val="0"/>
                <w:color w:val="auto"/>
              </w:rPr>
              <w:t xml:space="preserve"> </w:t>
            </w:r>
            <w:r w:rsidR="008D3778" w:rsidRPr="00E83F36">
              <w:rPr>
                <w:rFonts w:ascii="Arial" w:hAnsi="Arial" w:cs="Arial"/>
                <w:b w:val="0"/>
                <w:color w:val="auto"/>
              </w:rPr>
              <w:t xml:space="preserve">proveden </w:t>
            </w:r>
            <w:r w:rsidRPr="00E83F36">
              <w:rPr>
                <w:rFonts w:ascii="Arial" w:hAnsi="Arial" w:cs="Arial"/>
                <w:b w:val="0"/>
                <w:color w:val="auto"/>
              </w:rPr>
              <w:t>do 30.6.2015,</w:t>
            </w:r>
            <w:r w:rsidR="00E83F36">
              <w:rPr>
                <w:rFonts w:ascii="Arial" w:hAnsi="Arial" w:cs="Arial"/>
                <w:b w:val="0"/>
                <w:color w:val="auto"/>
              </w:rPr>
              <w:t xml:space="preserve"> </w:t>
            </w:r>
            <w:r w:rsidRPr="00E83F36">
              <w:rPr>
                <w:rFonts w:ascii="Arial" w:hAnsi="Arial" w:cs="Arial"/>
                <w:b w:val="0"/>
                <w:color w:val="auto"/>
              </w:rPr>
              <w:t>další průběžně.</w:t>
            </w:r>
          </w:p>
          <w:p w:rsidR="00412654" w:rsidRPr="00412654" w:rsidRDefault="00412654" w:rsidP="00412654">
            <w:pPr>
              <w:pStyle w:val="Tabulka"/>
              <w:rPr>
                <w:rFonts w:ascii="Arial" w:hAnsi="Arial" w:cs="Arial"/>
                <w:b w:val="0"/>
                <w:color w:val="auto"/>
              </w:rPr>
            </w:pPr>
            <w:r w:rsidRPr="00412654">
              <w:rPr>
                <w:rFonts w:ascii="Arial" w:hAnsi="Arial" w:cs="Arial"/>
                <w:b w:val="0"/>
                <w:color w:val="auto"/>
              </w:rPr>
              <w:t xml:space="preserve">Dle § 3a odst. 4 zákona č. 215/2004 Sb., má poskytovatel podpory malého rozsahu povinnost uvést v právním úkonu poskytnutí podpory de </w:t>
            </w:r>
            <w:proofErr w:type="spellStart"/>
            <w:r w:rsidRPr="00412654">
              <w:rPr>
                <w:rFonts w:ascii="Arial" w:hAnsi="Arial" w:cs="Arial"/>
                <w:b w:val="0"/>
                <w:color w:val="auto"/>
              </w:rPr>
              <w:t>minimis</w:t>
            </w:r>
            <w:proofErr w:type="spellEnd"/>
            <w:r w:rsidRPr="00412654">
              <w:rPr>
                <w:rFonts w:ascii="Arial" w:hAnsi="Arial" w:cs="Arial"/>
                <w:b w:val="0"/>
                <w:color w:val="auto"/>
              </w:rPr>
              <w:t xml:space="preserve"> název přímo použitelného předpisu Evropské unie, podle kterého byla podpora malého rozsahu </w:t>
            </w:r>
            <w:r w:rsidRPr="00412654">
              <w:rPr>
                <w:rFonts w:ascii="Arial" w:hAnsi="Arial" w:cs="Arial"/>
                <w:b w:val="0"/>
                <w:color w:val="auto"/>
              </w:rPr>
              <w:lastRenderedPageBreak/>
              <w:t>poskytnuta.</w:t>
            </w:r>
          </w:p>
          <w:p w:rsidR="00412654" w:rsidRPr="00412654" w:rsidRDefault="00412654" w:rsidP="00412654">
            <w:pPr>
              <w:pStyle w:val="Tabulka"/>
              <w:rPr>
                <w:rFonts w:ascii="Arial" w:hAnsi="Arial" w:cs="Arial"/>
                <w:b w:val="0"/>
                <w:color w:val="auto"/>
              </w:rPr>
            </w:pPr>
            <w:r w:rsidRPr="00412654">
              <w:rPr>
                <w:rFonts w:ascii="Arial" w:hAnsi="Arial" w:cs="Arial"/>
                <w:b w:val="0"/>
                <w:color w:val="auto"/>
              </w:rPr>
              <w:t xml:space="preserve">Navracení podpory, dodržování </w:t>
            </w:r>
            <w:proofErr w:type="spellStart"/>
            <w:r w:rsidRPr="00412654">
              <w:rPr>
                <w:rFonts w:ascii="Arial" w:hAnsi="Arial" w:cs="Arial"/>
                <w:b w:val="0"/>
                <w:color w:val="auto"/>
              </w:rPr>
              <w:t>Deggendorf</w:t>
            </w:r>
            <w:proofErr w:type="spellEnd"/>
            <w:r w:rsidRPr="00412654">
              <w:rPr>
                <w:rFonts w:ascii="Arial" w:hAnsi="Arial" w:cs="Arial"/>
                <w:b w:val="0"/>
                <w:color w:val="auto"/>
              </w:rPr>
              <w:t xml:space="preserve"> a kontrolní postupy: upraveno v interním metodickém manuálu. Kumulace VP: upraveno v dokumentaci k výzvám.</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99251F" w:rsidRDefault="0083711E" w:rsidP="00C36EE6">
            <w:pPr>
              <w:pStyle w:val="DAVA"/>
              <w:spacing w:before="80" w:after="80"/>
              <w:rPr>
                <w:rFonts w:cs="Arial"/>
                <w:sz w:val="18"/>
                <w:szCs w:val="18"/>
                <w:lang w:val="cs-CZ" w:eastAsia="cs-CZ"/>
              </w:rPr>
            </w:pPr>
            <w:r w:rsidRPr="00A76D60">
              <w:rPr>
                <w:rFonts w:cs="Arial"/>
                <w:sz w:val="18"/>
                <w:szCs w:val="18"/>
                <w:lang w:val="cs-CZ" w:eastAsia="cs-CZ"/>
              </w:rPr>
              <w:t xml:space="preserve">Opatření pro odbornou přípravu a šíření informací pro zaměstnance </w:t>
            </w:r>
            <w:r w:rsidRPr="00A76D60">
              <w:rPr>
                <w:rFonts w:cs="Arial"/>
                <w:color w:val="000000"/>
                <w:sz w:val="18"/>
                <w:szCs w:val="18"/>
                <w:lang w:eastAsia="cs-CZ"/>
              </w:rPr>
              <w:t>podílející se na provádění fondů ESI</w:t>
            </w:r>
            <w:r w:rsidRPr="0099251F">
              <w:rPr>
                <w:rFonts w:cs="Arial"/>
                <w:color w:val="000000"/>
                <w:sz w:val="18"/>
                <w:szCs w:val="18"/>
                <w:lang w:val="cs-CZ" w:eastAsia="cs-CZ"/>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ano</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400236" w:rsidP="00C36EE6">
            <w:pPr>
              <w:pStyle w:val="DAVA"/>
              <w:spacing w:before="0"/>
              <w:rPr>
                <w:rFonts w:cs="Arial"/>
                <w:sz w:val="18"/>
                <w:szCs w:val="18"/>
                <w:lang w:val="cs-CZ"/>
              </w:rPr>
            </w:pPr>
            <w:hyperlink r:id="rId98" w:history="1">
              <w:r w:rsidR="0083711E" w:rsidRPr="00A76D60">
                <w:rPr>
                  <w:rStyle w:val="Hypertextovodkaz"/>
                  <w:rFonts w:cs="Arial"/>
                  <w:sz w:val="18"/>
                  <w:szCs w:val="18"/>
                  <w:lang w:val="cs-CZ"/>
                </w:rPr>
                <w:t>www.uohs.cz/cs/verejna-podpora/akuality-z-verejne-podpory.html</w:t>
              </w:r>
            </w:hyperlink>
          </w:p>
          <w:p w:rsidR="0083711E" w:rsidRPr="00A76D60" w:rsidRDefault="0083711E" w:rsidP="00C36EE6">
            <w:pPr>
              <w:pStyle w:val="DAVA"/>
              <w:spacing w:before="0"/>
              <w:rPr>
                <w:rFonts w:cs="Arial"/>
                <w:sz w:val="18"/>
                <w:szCs w:val="18"/>
                <w:lang w:val="cs-CZ"/>
              </w:rPr>
            </w:pPr>
          </w:p>
          <w:p w:rsidR="0083711E" w:rsidRPr="00A76D60" w:rsidRDefault="00400236" w:rsidP="00C36EE6">
            <w:pPr>
              <w:pStyle w:val="DAVA"/>
              <w:spacing w:before="0"/>
              <w:rPr>
                <w:rFonts w:cs="Arial"/>
                <w:sz w:val="18"/>
                <w:szCs w:val="18"/>
                <w:lang w:val="cs-CZ"/>
              </w:rPr>
            </w:pPr>
            <w:hyperlink r:id="rId99" w:history="1">
              <w:r w:rsidR="0083711E" w:rsidRPr="00A76D60">
                <w:rPr>
                  <w:rStyle w:val="Hypertextovodkaz"/>
                  <w:rFonts w:cs="Arial"/>
                  <w:sz w:val="18"/>
                  <w:szCs w:val="18"/>
                  <w:lang w:val="cs-CZ"/>
                </w:rPr>
                <w:t>http://www.vzdelavaninsrr.cz/</w:t>
              </w:r>
            </w:hyperlink>
          </w:p>
          <w:p w:rsidR="0083711E" w:rsidRPr="00A76D60" w:rsidRDefault="0083711E" w:rsidP="00C36EE6">
            <w:pPr>
              <w:pStyle w:val="DAVA"/>
              <w:spacing w:before="0"/>
              <w:rPr>
                <w:rFonts w:cs="Arial"/>
                <w:sz w:val="18"/>
                <w:szCs w:val="18"/>
                <w:lang w:val="cs-CZ"/>
              </w:rPr>
            </w:pPr>
          </w:p>
          <w:p w:rsidR="0083711E" w:rsidRPr="00A76D60" w:rsidRDefault="00400236" w:rsidP="00C36EE6">
            <w:pPr>
              <w:pStyle w:val="DAVA"/>
              <w:spacing w:before="80" w:after="80"/>
              <w:rPr>
                <w:rFonts w:cs="Arial"/>
                <w:sz w:val="18"/>
                <w:szCs w:val="18"/>
                <w:lang w:val="cs-CZ" w:eastAsia="cs-CZ"/>
              </w:rPr>
            </w:pPr>
            <w:hyperlink r:id="rId100" w:history="1">
              <w:r w:rsidR="0083711E" w:rsidRPr="00A76D60">
                <w:rPr>
                  <w:rStyle w:val="Hypertextovodkaz"/>
                  <w:rFonts w:cs="Arial"/>
                  <w:sz w:val="18"/>
                  <w:szCs w:val="18"/>
                  <w:lang w:val="cs-CZ"/>
                </w:rPr>
                <w:t>www.strukturalni-fondy.cz</w:t>
              </w:r>
            </w:hyperlink>
            <w:r w:rsidR="0083711E" w:rsidRPr="00A76D60">
              <w:rPr>
                <w:rFonts w:cs="Arial"/>
                <w:sz w:val="18"/>
                <w:szCs w:val="18"/>
                <w:lang w:val="cs-CZ"/>
              </w:rPr>
              <w:t xml:space="preserve"> </w:t>
            </w:r>
            <w:r w:rsidR="0083711E" w:rsidRPr="00A76D60" w:rsidDel="00B44930">
              <w:rPr>
                <w:rFonts w:cs="Arial"/>
                <w:sz w:val="18"/>
                <w:szCs w:val="18"/>
                <w:lang w:val="cs-CZ" w:eastAsia="cs-CZ"/>
              </w:rPr>
              <w:t xml:space="preserve"> </w:t>
            </w:r>
            <w:r w:rsidR="0083711E" w:rsidRPr="00A76D60">
              <w:rPr>
                <w:rFonts w:cs="Arial"/>
                <w:sz w:val="18"/>
                <w:szCs w:val="18"/>
                <w:lang w:val="cs-CZ" w:eastAsia="cs-CZ"/>
              </w:rPr>
              <w:t xml:space="preserve"> </w:t>
            </w:r>
          </w:p>
          <w:p w:rsidR="0083711E" w:rsidRPr="00A76D60" w:rsidRDefault="00400236" w:rsidP="00C36EE6">
            <w:pPr>
              <w:rPr>
                <w:rFonts w:ascii="Arial" w:hAnsi="Arial" w:cs="Arial"/>
                <w:sz w:val="18"/>
                <w:szCs w:val="18"/>
              </w:rPr>
            </w:pPr>
            <w:hyperlink r:id="rId101" w:history="1">
              <w:r w:rsidR="0083711E" w:rsidRPr="00A76D60">
                <w:rPr>
                  <w:rStyle w:val="Hypertextovodkaz"/>
                  <w:rFonts w:ascii="Arial" w:hAnsi="Arial" w:cs="Arial"/>
                  <w:sz w:val="18"/>
                  <w:szCs w:val="18"/>
                </w:rPr>
                <w:t>http://www.strukturalni-fondy.cz/cs/Fondy-EU/2014-2020/Metodicke-pokyny/Metodika-rozvoje-lidskych-zdroju</w:t>
              </w:r>
            </w:hyperlink>
          </w:p>
          <w:p w:rsidR="0083711E" w:rsidRPr="00A76D60" w:rsidRDefault="0083711E" w:rsidP="00C36EE6">
            <w:pPr>
              <w:pStyle w:val="DAVA"/>
              <w:spacing w:before="80" w:after="80"/>
              <w:rPr>
                <w:rFonts w:cs="Arial"/>
                <w:sz w:val="18"/>
                <w:szCs w:val="18"/>
                <w:lang w:val="cs-CZ" w:eastAsia="cs-CZ"/>
              </w:rPr>
            </w:pP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0" w:after="120"/>
              <w:rPr>
                <w:rFonts w:cs="Arial"/>
                <w:sz w:val="18"/>
                <w:szCs w:val="18"/>
                <w:lang w:val="cs-CZ"/>
              </w:rPr>
            </w:pPr>
            <w:r w:rsidRPr="00A76D60">
              <w:rPr>
                <w:rFonts w:cs="Arial"/>
                <w:sz w:val="18"/>
                <w:szCs w:val="18"/>
                <w:lang w:val="cs-CZ"/>
              </w:rPr>
              <w:t>V současnosti ÚOHS, jako centrální koordinační orgán v oblasti veřejné podpory školí průběžně poskytovatele veřejné podpory (místní orgány, orgány státní správy, řídící orgány) či orgány kontrolní, ať již na žádost daných orgánů či v rámci vlastní iniciativy. Zpětná vazba daných školení je vyhodnocována na základě hodnotících dotazníků školitele popř. školené instituce. V rámci daných školení se ÚOHS stále více setkává s konkrétními problémovými dotazy v oblasti veřejné podpory, z čehož je možné usuzovat na zvýšení povědomí mezi poskytovateli o dané problematice. ÚOHS také každoročně pořádá konferenci v oblasti veřejné podpory, která je zaměřena především na aktuální problematiku včetně vybraných případů z rozhodovací praxe EK v oblasti veřejné podpory.</w:t>
            </w:r>
          </w:p>
          <w:p w:rsidR="0083711E" w:rsidRPr="00A76D60" w:rsidRDefault="0083711E" w:rsidP="00C36EE6">
            <w:pPr>
              <w:pStyle w:val="DAVA"/>
              <w:spacing w:before="0" w:after="120"/>
              <w:rPr>
                <w:rFonts w:cs="Arial"/>
                <w:sz w:val="18"/>
                <w:szCs w:val="18"/>
                <w:lang w:val="cs-CZ"/>
              </w:rPr>
            </w:pPr>
            <w:r w:rsidRPr="00A76D60">
              <w:rPr>
                <w:rFonts w:cs="Arial"/>
                <w:sz w:val="18"/>
                <w:szCs w:val="18"/>
                <w:lang w:val="cs-CZ"/>
              </w:rPr>
              <w:t xml:space="preserve">Na horizontální úrovni probíhá centrální školení subjektů zapojených do implementace ESI fondů prostřednictvím projektu z Operačního programu Technická pomoc v rámci Systému vzdělávání, přičemž obsahovou náplň vzdělávání a kvalifikované lektory zajišťují centrální koordinační orgány (lektory jsou např. i pracovníci ÚOHS). Četnost školení závisí na požadavcích jednotlivých subjektů nebo na uvážení centrálních orgánů (např. potřeba z důvodu aktualizace informací, přijetí nových předpisů ze stran EK). Oblast vzdělávání je součástí Metodického pokynu k rozvoji lidských zdrojů v programovém období 2014-2020 a v programovém období 2007-2013 </w:t>
            </w:r>
            <w:r w:rsidRPr="00A76D60">
              <w:rPr>
                <w:rFonts w:cs="Arial"/>
                <w:sz w:val="18"/>
                <w:szCs w:val="18"/>
                <w:lang w:val="cs-CZ" w:eastAsia="cs-CZ"/>
              </w:rPr>
              <w:t>(UV ČR ze dne 16. června 2014 č. 444)</w:t>
            </w:r>
            <w:r w:rsidRPr="00A76D60">
              <w:rPr>
                <w:rFonts w:cs="Arial"/>
                <w:sz w:val="18"/>
                <w:szCs w:val="18"/>
                <w:lang w:val="cs-CZ"/>
              </w:rPr>
              <w:t xml:space="preserve">. Obecným cílem Metodického pokynu je nastavení jednotných požadavků na zajištění kvalitní administrativní kapacity podílející se na realizaci cílů Dohody o partnerství a jednotlivých činností při implementaci programů a jedním ze specifických cílů Metodického pokynu je vytvoření systému vzdělávání zaměstnanců, kteří se podílejí na implementaci fondů EU tak, aby odpovídal jejich potřebám na pracovních pozicích, popsaných v řídicích dokumentech programů, řízení a koordinace </w:t>
            </w:r>
            <w:proofErr w:type="spellStart"/>
            <w:r w:rsidRPr="00A76D60">
              <w:rPr>
                <w:rFonts w:cs="Arial"/>
                <w:sz w:val="18"/>
                <w:szCs w:val="18"/>
                <w:lang w:val="cs-CZ"/>
              </w:rPr>
              <w:t>DoP</w:t>
            </w:r>
            <w:proofErr w:type="spellEnd"/>
            <w:r w:rsidRPr="00A76D60">
              <w:rPr>
                <w:rFonts w:cs="Arial"/>
                <w:sz w:val="18"/>
                <w:szCs w:val="18"/>
                <w:lang w:val="cs-CZ"/>
              </w:rPr>
              <w:t xml:space="preserve">, a zajistil podmínky pro prosazování principu transparentnosti a protikorupčního jednání. Vzdělávání zajišťuje podmínky pro stabilizaci a motivaci zaměstnanců implementační struktury v návaznosti na potřeby jejich odborného růstu a zvyšování znalostí a dovedností. Nabídka vzdělávacích aktivit se odvíjí od cílů jednotlivých programů a individuálních vzdělávacích plánů vytvářených při hodnocení zaměstnanců. Termíny vzdělávacích akcí jsou zveřejněny na webových stránkách Systému vzdělávání. Vzdělávací akce jsou průběžně vyhodnocovány na základě zpětné vazby účastníků </w:t>
            </w:r>
            <w:r w:rsidRPr="00A76D60">
              <w:rPr>
                <w:rFonts w:cs="Arial"/>
                <w:sz w:val="18"/>
                <w:szCs w:val="18"/>
                <w:lang w:val="cs-CZ"/>
              </w:rPr>
              <w:lastRenderedPageBreak/>
              <w:t>získávané prostřednictvím hodnotících dotazníků (s cílem optimalizovat efektivitu). Prezentace ze vzdělávacích akcí jsou účastníkům dále k dispozici v e-knihovně na webových stránkách Systému vzdělávání. Realizace Systému vzdělávání probíhá na základě spolupráce MMR-NOK se zástupci (koordinátory vzdělávání) jednotlivých subjektů implementace, kteří 2x ročně zasílají MMR-NOK své požadavky na zajištění vzdělávacích akcí v rámci Systému vzdělávání a veškeré záležitosti Systému vzdělávání pro programové období 2014-2020</w:t>
            </w:r>
            <w:r>
              <w:rPr>
                <w:rFonts w:cs="Arial"/>
                <w:sz w:val="18"/>
                <w:szCs w:val="18"/>
                <w:lang w:val="cs-CZ"/>
              </w:rPr>
              <w:t xml:space="preserve"> jsou řešeny v rámci</w:t>
            </w:r>
            <w:r w:rsidRPr="00A76D60">
              <w:rPr>
                <w:rFonts w:cs="Arial"/>
                <w:sz w:val="18"/>
                <w:szCs w:val="18"/>
                <w:lang w:val="cs-CZ"/>
              </w:rPr>
              <w:t xml:space="preserve"> Pracovní skupin</w:t>
            </w:r>
            <w:r>
              <w:rPr>
                <w:rFonts w:cs="Arial"/>
                <w:sz w:val="18"/>
                <w:szCs w:val="18"/>
                <w:lang w:val="cs-CZ"/>
              </w:rPr>
              <w:t>y</w:t>
            </w:r>
            <w:r w:rsidRPr="00A76D60">
              <w:rPr>
                <w:rFonts w:cs="Arial"/>
                <w:sz w:val="18"/>
                <w:szCs w:val="18"/>
                <w:lang w:val="cs-CZ"/>
              </w:rPr>
              <w:t xml:space="preserve"> Administrativní kapacita</w:t>
            </w:r>
            <w:r>
              <w:rPr>
                <w:rFonts w:cs="Arial"/>
                <w:sz w:val="18"/>
                <w:szCs w:val="18"/>
                <w:lang w:val="cs-CZ"/>
              </w:rPr>
              <w:t>.</w:t>
            </w:r>
            <w:r w:rsidRPr="00A76D60">
              <w:rPr>
                <w:rFonts w:cs="Arial"/>
                <w:sz w:val="18"/>
                <w:szCs w:val="18"/>
                <w:lang w:val="cs-CZ"/>
              </w:rPr>
              <w:t xml:space="preserve"> </w:t>
            </w:r>
          </w:p>
          <w:p w:rsidR="0083711E" w:rsidRPr="00A76D60" w:rsidRDefault="0083711E" w:rsidP="00C36EE6">
            <w:pPr>
              <w:pStyle w:val="DAVA"/>
              <w:pBdr>
                <w:bottom w:val="dashed" w:sz="4" w:space="1" w:color="auto"/>
              </w:pBdr>
              <w:spacing w:before="0" w:after="120"/>
              <w:rPr>
                <w:rFonts w:cs="Arial"/>
                <w:sz w:val="18"/>
                <w:szCs w:val="18"/>
                <w:lang w:val="cs-CZ"/>
              </w:rPr>
            </w:pPr>
            <w:r w:rsidRPr="00A76D60">
              <w:rPr>
                <w:rFonts w:cs="Arial"/>
                <w:sz w:val="18"/>
                <w:szCs w:val="18"/>
                <w:lang w:val="cs-CZ"/>
              </w:rPr>
              <w:t>Doplňujícím k výše uvedenému je průběžné vzdělávání pracovníků implementační struktury na úrovni jednotlivých programů.</w:t>
            </w:r>
          </w:p>
          <w:p w:rsidR="0083711E" w:rsidRPr="00A76D60" w:rsidRDefault="0083711E" w:rsidP="00C36EE6">
            <w:pPr>
              <w:pStyle w:val="DAVA"/>
              <w:rPr>
                <w:rFonts w:cs="Arial"/>
                <w:sz w:val="18"/>
                <w:szCs w:val="18"/>
                <w:lang w:val="cs-CZ"/>
              </w:rPr>
            </w:pPr>
            <w:r w:rsidRPr="00A76D60">
              <w:rPr>
                <w:rFonts w:cs="Arial"/>
                <w:sz w:val="18"/>
                <w:szCs w:val="18"/>
                <w:lang w:val="cs-CZ"/>
              </w:rPr>
              <w:t xml:space="preserve">MMR-NOK (ve spolupráci s ÚOHS) vydává metodické dokumenty k jednotlivým oblastem veřejné podpory (např. dokončen Manuál služeb obecného hospodářského zájmu, ve fázi realizace </w:t>
            </w:r>
            <w:r w:rsidR="004575DA">
              <w:rPr>
                <w:rFonts w:cs="Arial"/>
                <w:sz w:val="18"/>
                <w:szCs w:val="18"/>
                <w:lang w:val="cs-CZ"/>
              </w:rPr>
              <w:t>je</w:t>
            </w:r>
            <w:r w:rsidRPr="00A76D60">
              <w:rPr>
                <w:rFonts w:cs="Arial"/>
                <w:sz w:val="18"/>
                <w:szCs w:val="18"/>
                <w:lang w:val="cs-CZ"/>
              </w:rPr>
              <w:t xml:space="preserve"> metodické doporučení pro oblast veřejné podpory). ÚOHS rovněž zabezpečuje, aby byly všechny relevantní informace zaslané Evropskou komisí ve věcech veřejné podpory postoupeny poskytovatelům (viz např. informace o postupu pro prodlužování programů v první polovině roku 2014, informace o platnosti modernizovaných předpisů apod.).</w:t>
            </w:r>
          </w:p>
          <w:p w:rsidR="0083711E" w:rsidRPr="00A76D60" w:rsidRDefault="0083711E" w:rsidP="00C36EE6">
            <w:pPr>
              <w:pStyle w:val="DAVA"/>
              <w:rPr>
                <w:rFonts w:cs="Arial"/>
                <w:sz w:val="18"/>
                <w:szCs w:val="18"/>
                <w:lang w:val="cs-CZ"/>
              </w:rPr>
            </w:pPr>
            <w:r w:rsidRPr="00A76D60">
              <w:rPr>
                <w:rFonts w:cs="Arial"/>
                <w:sz w:val="18"/>
                <w:szCs w:val="18"/>
                <w:lang w:val="cs-CZ"/>
              </w:rPr>
              <w:t>Šíření informací a vzájemná konzultace probíhá rovněž na Pracovní skupině k problematice veřejné podpory</w:t>
            </w:r>
            <w:r>
              <w:rPr>
                <w:rFonts w:cs="Arial"/>
                <w:sz w:val="18"/>
                <w:szCs w:val="18"/>
                <w:lang w:val="cs-CZ"/>
              </w:rPr>
              <w:t xml:space="preserve"> </w:t>
            </w:r>
            <w:r w:rsidRPr="00A76D60">
              <w:rPr>
                <w:rFonts w:cs="Arial"/>
                <w:sz w:val="18"/>
                <w:szCs w:val="18"/>
                <w:lang w:val="cs-CZ"/>
              </w:rPr>
              <w:t xml:space="preserve">(PS zřízena na MMR), jejímiž členy jsou různé subjekty zapojené do implementace ESI fondů (zástupci MMR-NOK, ÚOHS, certifikačního a auditního orgánu, řídících orgánů, Úřadu vlády, Svazu měst a obcí, Asociace krajů). PS byla zřízena na konci r. 2013 s cílem možnosti přímého jednání a výměny zkušeností mezi jednotlivými zainteresovanými subjekty. Pracovní skupina k problematice veřejné podpory slouží jako základní platforma pro řešení všech otázek spojených s pravidly veřejné podpory při tvorbě a implementaci jednotlivých operačních programů včetně zaměření na Evropskou komisí stanovené ex-ante </w:t>
            </w:r>
            <w:proofErr w:type="spellStart"/>
            <w:r w:rsidRPr="00A76D60">
              <w:rPr>
                <w:rFonts w:cs="Arial"/>
                <w:sz w:val="18"/>
                <w:szCs w:val="18"/>
                <w:lang w:val="cs-CZ"/>
              </w:rPr>
              <w:t>kondicionality</w:t>
            </w:r>
            <w:proofErr w:type="spellEnd"/>
            <w:r w:rsidRPr="00A76D60">
              <w:rPr>
                <w:rFonts w:cs="Arial"/>
                <w:sz w:val="18"/>
                <w:szCs w:val="18"/>
                <w:lang w:val="cs-CZ"/>
              </w:rPr>
              <w:t xml:space="preserve"> v oblasti veřejné podpory ve vazbě na čerpání prostředků ze strukturálních a investičních fondů. Ve vedení PS je zástupce MMR-NOK a ÚOHS. PS je svolávána dle aktuální potřeby (ať již z podnětu centrálních koordinátorů nebo žádosti některého z členů), informovanost probíhá i formou emailové komunikace. PS slouží jako platforma pro výměnu informací a zkušeností. Členové na jednání vznášejí rovněž dotazy vyplývající z praxe, které jsou řešeny buď na místě, nebo následnou písemnou komunikací (v závislosti na složitosti dotazu). S ohledem na široké spektrum oblastí, do kterých veřejná podpora zasahuje, bude PS svolávána také v užším složení dle konkrétních témat (např. služby obecného hospodářského zájmu, veřejná podpora v oblasti vědy a výzkumu nebo ochrany životního </w:t>
            </w:r>
            <w:r w:rsidRPr="00A76D60">
              <w:rPr>
                <w:rFonts w:cs="Arial"/>
                <w:sz w:val="18"/>
                <w:szCs w:val="18"/>
                <w:lang w:val="cs-CZ"/>
              </w:rPr>
              <w:lastRenderedPageBreak/>
              <w:t>prostředí). Z každého zasedání je pořizován zápis, v němž jsou specifikované případné úkoly a termíny jejich plnění.</w:t>
            </w:r>
          </w:p>
          <w:p w:rsidR="0083711E" w:rsidRPr="00A76D60" w:rsidRDefault="0083711E" w:rsidP="00C36EE6">
            <w:pPr>
              <w:pStyle w:val="DAVA"/>
              <w:rPr>
                <w:rFonts w:cs="Arial"/>
                <w:sz w:val="18"/>
                <w:szCs w:val="18"/>
                <w:lang w:val="cs-CZ"/>
              </w:rPr>
            </w:pPr>
            <w:r w:rsidRPr="00A76D60">
              <w:rPr>
                <w:rFonts w:cs="Arial"/>
                <w:sz w:val="18"/>
                <w:szCs w:val="18"/>
                <w:lang w:val="cs-CZ"/>
              </w:rPr>
              <w:t xml:space="preserve">Všechny aktuální informace k oblasti veřejné podpory jsou dostupné na stránkách ÚOHS: </w:t>
            </w:r>
            <w:hyperlink r:id="rId102" w:history="1">
              <w:r w:rsidRPr="00A76D60">
                <w:rPr>
                  <w:rStyle w:val="Hypertextovodkaz"/>
                  <w:rFonts w:cs="Arial"/>
                  <w:sz w:val="18"/>
                  <w:szCs w:val="18"/>
                  <w:lang w:val="cs-CZ"/>
                </w:rPr>
                <w:t>www.uohs.cz/cs/verejna-podpora.html</w:t>
              </w:r>
            </w:hyperlink>
            <w:r w:rsidRPr="00A76D60">
              <w:rPr>
                <w:rFonts w:cs="Arial"/>
                <w:sz w:val="18"/>
                <w:szCs w:val="18"/>
                <w:lang w:val="cs-CZ"/>
              </w:rPr>
              <w:t xml:space="preserve">. </w:t>
            </w:r>
          </w:p>
          <w:p w:rsidR="0083711E" w:rsidRPr="00A76D60" w:rsidRDefault="0083711E" w:rsidP="00C36EE6">
            <w:pPr>
              <w:pStyle w:val="DAVA"/>
              <w:spacing w:after="120"/>
              <w:rPr>
                <w:rFonts w:cs="Arial"/>
                <w:sz w:val="18"/>
                <w:szCs w:val="18"/>
                <w:lang w:val="cs-CZ"/>
              </w:rPr>
            </w:pPr>
            <w:r w:rsidRPr="00A76D60">
              <w:rPr>
                <w:rFonts w:cs="Arial"/>
                <w:sz w:val="18"/>
                <w:szCs w:val="18"/>
                <w:lang w:val="cs-CZ"/>
              </w:rPr>
              <w:t xml:space="preserve">Pro oblast ESI fondů je zřízena internetová stránka obsahující všechny relevantní informace: </w:t>
            </w:r>
            <w:hyperlink r:id="rId103" w:history="1">
              <w:r w:rsidRPr="00A76D60">
                <w:rPr>
                  <w:rStyle w:val="Hypertextovodkaz"/>
                  <w:rFonts w:cs="Arial"/>
                  <w:sz w:val="18"/>
                  <w:szCs w:val="18"/>
                  <w:lang w:val="cs-CZ"/>
                </w:rPr>
                <w:t>www.strukturalni-fondy.cz</w:t>
              </w:r>
            </w:hyperlink>
            <w:r w:rsidRPr="00A76D60">
              <w:rPr>
                <w:rFonts w:cs="Arial"/>
                <w:sz w:val="18"/>
                <w:szCs w:val="18"/>
                <w:lang w:val="cs-CZ"/>
              </w:rPr>
              <w:t xml:space="preserve">. </w:t>
            </w:r>
          </w:p>
          <w:p w:rsidR="0083711E" w:rsidRDefault="00CE4AFB" w:rsidP="00C36EE6">
            <w:pPr>
              <w:pStyle w:val="DAVA"/>
              <w:spacing w:before="80" w:after="80"/>
              <w:rPr>
                <w:rFonts w:cs="Arial"/>
                <w:color w:val="000000"/>
                <w:sz w:val="18"/>
                <w:szCs w:val="18"/>
                <w:lang w:val="cs-CZ" w:eastAsia="cs-CZ"/>
              </w:rPr>
            </w:pPr>
            <w:r>
              <w:rPr>
                <w:rFonts w:cs="Arial"/>
                <w:color w:val="000000"/>
                <w:sz w:val="18"/>
                <w:szCs w:val="18"/>
                <w:lang w:val="cs-CZ" w:eastAsia="cs-CZ"/>
              </w:rPr>
              <w:t xml:space="preserve">ŘO </w:t>
            </w:r>
            <w:r w:rsidR="00D764D9">
              <w:rPr>
                <w:rFonts w:cs="Arial"/>
                <w:color w:val="000000"/>
                <w:sz w:val="18"/>
                <w:szCs w:val="18"/>
                <w:lang w:val="cs-CZ" w:eastAsia="cs-CZ"/>
              </w:rPr>
              <w:t xml:space="preserve">OP PIK: </w:t>
            </w:r>
          </w:p>
          <w:p w:rsidR="00CE4AFB" w:rsidRPr="006718EF" w:rsidRDefault="00CE4AFB" w:rsidP="0047011B">
            <w:pPr>
              <w:pStyle w:val="Tabulka"/>
              <w:rPr>
                <w:rFonts w:ascii="Arial" w:hAnsi="Arial" w:cs="Arial"/>
                <w:b w:val="0"/>
                <w:color w:val="auto"/>
              </w:rPr>
            </w:pPr>
            <w:r w:rsidRPr="00CE4AFB">
              <w:rPr>
                <w:rFonts w:ascii="Arial" w:hAnsi="Arial" w:cs="Arial"/>
                <w:b w:val="0"/>
                <w:color w:val="auto"/>
              </w:rPr>
              <w:t xml:space="preserve">Zaměstnanci odpovědní za oblast veřejné podpory v OP PIK jsou zapojeni do Systému vzdělávání a účastní </w:t>
            </w:r>
            <w:r w:rsidR="0047011B">
              <w:rPr>
                <w:rFonts w:ascii="Arial" w:hAnsi="Arial" w:cs="Arial"/>
                <w:b w:val="0"/>
                <w:color w:val="auto"/>
              </w:rPr>
              <w:t xml:space="preserve">se </w:t>
            </w:r>
            <w:r w:rsidRPr="00CE4AFB">
              <w:rPr>
                <w:rFonts w:ascii="Arial" w:hAnsi="Arial" w:cs="Arial"/>
                <w:b w:val="0"/>
                <w:color w:val="auto"/>
              </w:rPr>
              <w:t xml:space="preserve">různých školení k tomuto tématu, vč. zahraničních (např. organizovaných ÚOHS, EIPA, NOK MMR). Probíhá aktivní konzultace s ÚOHS a zároveň je zajištěna účast na pracovní skupině MMR k veřejné podpoře za účasti ÚOHS. </w:t>
            </w:r>
            <w:r w:rsidR="0047011B">
              <w:rPr>
                <w:rFonts w:ascii="Arial" w:hAnsi="Arial" w:cs="Arial"/>
                <w:b w:val="0"/>
                <w:color w:val="auto"/>
              </w:rPr>
              <w:t>S</w:t>
            </w:r>
            <w:r w:rsidRPr="00CE4AFB">
              <w:rPr>
                <w:rFonts w:ascii="Arial" w:hAnsi="Arial" w:cs="Arial"/>
                <w:b w:val="0"/>
                <w:color w:val="auto"/>
              </w:rPr>
              <w:t xml:space="preserve">kupiny </w:t>
            </w:r>
            <w:r w:rsidR="0047011B">
              <w:rPr>
                <w:rFonts w:ascii="Arial" w:hAnsi="Arial" w:cs="Arial"/>
                <w:b w:val="0"/>
                <w:color w:val="auto"/>
              </w:rPr>
              <w:t xml:space="preserve">a školení </w:t>
            </w:r>
            <w:r w:rsidRPr="00CE4AFB">
              <w:rPr>
                <w:rFonts w:ascii="Arial" w:hAnsi="Arial" w:cs="Arial"/>
                <w:b w:val="0"/>
                <w:color w:val="auto"/>
              </w:rPr>
              <w:t>slouží ke sdílení a šíření informací navenek mezi zainteresovanými subjekty. V rámci přípravy OP PIK se problematika veřejné podpory již nyní diskutuje na příslušných pracovních skupinách, které tvoří obsah OP. Tyto skupiny slouží k šíření a sdílení informací o ve</w:t>
            </w:r>
            <w:r w:rsidR="006718EF">
              <w:rPr>
                <w:rFonts w:ascii="Arial" w:hAnsi="Arial" w:cs="Arial"/>
                <w:b w:val="0"/>
                <w:color w:val="auto"/>
              </w:rPr>
              <w:t>řejné podpoře uvnitř ŘO OP PIK.</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3"/>
        </w:trPr>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val="cs-CZ" w:eastAsia="cs-CZ"/>
              </w:rPr>
              <w:t>Opatření pro posílení správní kapacity pro provádění a uplatňování právních předpisů Unie k veřejné podpoře.</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6718EF" w:rsidP="00C36EE6">
            <w:pPr>
              <w:pStyle w:val="DAVA"/>
              <w:spacing w:before="80" w:after="80"/>
              <w:rPr>
                <w:rFonts w:cs="Arial"/>
                <w:sz w:val="18"/>
                <w:szCs w:val="18"/>
                <w:lang w:val="cs-CZ" w:eastAsia="cs-CZ"/>
              </w:rPr>
            </w:pPr>
            <w:r>
              <w:rPr>
                <w:rFonts w:cs="Arial"/>
                <w:sz w:val="18"/>
                <w:szCs w:val="18"/>
                <w:lang w:val="cs-CZ" w:eastAsia="cs-CZ"/>
              </w:rPr>
              <w:t>částečně</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Style w:val="Hypertextovodkaz"/>
                <w:sz w:val="18"/>
                <w:szCs w:val="18"/>
                <w:lang w:eastAsia="cs-CZ"/>
              </w:rPr>
              <w:t>www.compet.cz, www.mze.cz, www.strukturalni-fondy.cz</w:t>
            </w: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rPr>
                <w:rFonts w:cs="Arial"/>
                <w:sz w:val="18"/>
                <w:szCs w:val="18"/>
                <w:lang w:val="cs-CZ"/>
              </w:rPr>
            </w:pPr>
            <w:r w:rsidRPr="00A76D60">
              <w:rPr>
                <w:rFonts w:cs="Arial"/>
                <w:sz w:val="18"/>
                <w:szCs w:val="18"/>
                <w:lang w:val="cs-CZ"/>
              </w:rPr>
              <w:t xml:space="preserve">Centrálním koordinačním orgánem pro oblast veřejné podpory jako celku je ÚOHS, resp. Ministerstvo zemědělství (stanoveno zákonem č. 215/2004 Sb.). Pracovníci koordinačních orgánů zastupují Českou republiku na poradních výborech EK či jiných multilaterálních jednání k jednotlivým návrhům EK, účastní se zahraničních seminářů s cílem neustálého zvyšování jejich odborné kvalifikace.  Poskytovatelé se mohou kdykoliv se svými dotazy obrátit na koordinační orgán, ať již písemně či telefonicky. Koordinační orgány spolupracují před schválením programu s řídícími orgány na nastavení programu v souladu s pravidly veřejné podpory a dávají jim doporučující stanoviska z pohledu pravidel veřejné podpory (daná role koordinačních orgánů je zakotvena v § 3 odst. 3 v zákoně 215/2004 Sb.) </w:t>
            </w:r>
          </w:p>
          <w:p w:rsidR="0083711E" w:rsidRPr="00A76D60" w:rsidRDefault="0083711E" w:rsidP="00C36EE6">
            <w:pPr>
              <w:pStyle w:val="DAVA"/>
              <w:spacing w:after="120"/>
              <w:rPr>
                <w:rFonts w:cs="Arial"/>
                <w:sz w:val="18"/>
                <w:szCs w:val="18"/>
                <w:lang w:val="cs-CZ"/>
              </w:rPr>
            </w:pPr>
            <w:r w:rsidRPr="00A76D60">
              <w:rPr>
                <w:rFonts w:cs="Arial"/>
                <w:sz w:val="18"/>
                <w:szCs w:val="18"/>
                <w:lang w:val="cs-CZ"/>
              </w:rPr>
              <w:t xml:space="preserve">Koordinačním a poradním orgánem pro řídící orgány v oblasti veřejné podpory u projektů spolufinancovaných z ESI fondů je rovněž, mimo jiné své činnosti, Ministerstvo pro místní rozvoj (MMR-NOK). Na MMR-NOK je zřízeno oddělení, jehož agendou je i veřejná podpora. Pracovníci tohoto oddělení jsou průběžně proškolováni v oblasti VP, účastní se i zahraničních seminářů s cílem neustálého zvyšování jejich kvalifikace. Pracovníci MMR-NOK spolupracují s řídícími orgány při přípravě programů a jsou konzultačním orgánem pro všechny subjekty zapojené do implementace ESI fondů. Pracovníci MMR-NOK také </w:t>
            </w:r>
            <w:r w:rsidRPr="00A76D60">
              <w:rPr>
                <w:rFonts w:cs="Arial"/>
                <w:sz w:val="18"/>
                <w:szCs w:val="18"/>
                <w:lang w:val="cs-CZ"/>
              </w:rPr>
              <w:lastRenderedPageBreak/>
              <w:t>blízce spolupracují s ÚOHS, na který se rovněž obrací v případě potřeby konzultace konkrétních případů poskytnutí veřejné podpory.</w:t>
            </w:r>
          </w:p>
          <w:p w:rsidR="0083711E" w:rsidRDefault="0083711E" w:rsidP="00C36EE6">
            <w:pPr>
              <w:pStyle w:val="DAVA"/>
              <w:pBdr>
                <w:bottom w:val="dashed" w:sz="4" w:space="1" w:color="auto"/>
              </w:pBdr>
              <w:spacing w:before="0"/>
              <w:rPr>
                <w:rFonts w:cs="Arial"/>
                <w:sz w:val="18"/>
                <w:szCs w:val="18"/>
                <w:lang w:val="cs-CZ"/>
              </w:rPr>
            </w:pPr>
            <w:r w:rsidRPr="00A76D60">
              <w:rPr>
                <w:rFonts w:cs="Arial"/>
                <w:sz w:val="18"/>
                <w:szCs w:val="18"/>
                <w:lang w:val="cs-CZ"/>
              </w:rPr>
              <w:t xml:space="preserve">Dále je na každém řídícím orgánu vyčleněn určitý počet osob odpovědných za oblast veřejné podpory, přičemž tyto osoby jsou kontaktním místem pro centrální koordinátory (MMR, ÚOHS, </w:t>
            </w:r>
            <w:proofErr w:type="spellStart"/>
            <w:r w:rsidRPr="00A76D60">
              <w:rPr>
                <w:rFonts w:cs="Arial"/>
                <w:sz w:val="18"/>
                <w:szCs w:val="18"/>
                <w:lang w:val="cs-CZ"/>
              </w:rPr>
              <w:t>MZe</w:t>
            </w:r>
            <w:proofErr w:type="spellEnd"/>
            <w:r w:rsidRPr="00A76D60">
              <w:rPr>
                <w:rFonts w:cs="Arial"/>
                <w:sz w:val="18"/>
                <w:szCs w:val="18"/>
                <w:lang w:val="cs-CZ"/>
              </w:rPr>
              <w:t xml:space="preserve">). </w:t>
            </w:r>
          </w:p>
          <w:p w:rsidR="003B3824" w:rsidRDefault="003B3824" w:rsidP="00C36EE6">
            <w:pPr>
              <w:pStyle w:val="DAVA"/>
              <w:pBdr>
                <w:bottom w:val="dashed" w:sz="4" w:space="1" w:color="auto"/>
              </w:pBdr>
              <w:spacing w:before="0"/>
              <w:rPr>
                <w:rFonts w:cs="Arial"/>
                <w:sz w:val="18"/>
                <w:szCs w:val="18"/>
                <w:lang w:val="cs-CZ"/>
              </w:rPr>
            </w:pPr>
          </w:p>
          <w:p w:rsidR="00F571E7" w:rsidRPr="00A12531" w:rsidRDefault="00F571E7" w:rsidP="00F571E7">
            <w:pPr>
              <w:pStyle w:val="DAVA"/>
              <w:rPr>
                <w:rFonts w:cs="Arial"/>
                <w:sz w:val="18"/>
                <w:szCs w:val="18"/>
              </w:rPr>
            </w:pPr>
            <w:r w:rsidRPr="00A12531">
              <w:rPr>
                <w:rFonts w:cs="Arial"/>
                <w:sz w:val="18"/>
                <w:szCs w:val="18"/>
              </w:rPr>
              <w:t xml:space="preserve">MMR-NOK připravil v lednu 2015 </w:t>
            </w:r>
            <w:r w:rsidRPr="00A12531">
              <w:rPr>
                <w:rFonts w:cs="Arial"/>
                <w:i/>
                <w:sz w:val="18"/>
                <w:szCs w:val="18"/>
              </w:rPr>
              <w:t>Souhrnnou závěrečnou zprávu NOK o plánování administrativní kapacity v rámci ESI fondů</w:t>
            </w:r>
            <w:r w:rsidRPr="00A12531">
              <w:rPr>
                <w:rFonts w:cs="Arial"/>
                <w:sz w:val="18"/>
                <w:szCs w:val="18"/>
              </w:rPr>
              <w:t xml:space="preserve">, která se mimo jiné zaměřuje na nastavení administrativní kapacity v programovém období 2014-2020. Jejím zdrojem jsou jednotlivé analýzy/zprávy operačních programů, které byly zpracovány v návaznosti na </w:t>
            </w:r>
            <w:r w:rsidRPr="00A12531">
              <w:rPr>
                <w:rFonts w:cs="Arial"/>
                <w:i/>
                <w:sz w:val="18"/>
                <w:szCs w:val="18"/>
              </w:rPr>
              <w:t xml:space="preserve">usnesení vlády ČR č. 444/2014 a usnesení vlády č. 144/2014. </w:t>
            </w:r>
            <w:r w:rsidRPr="00A12531">
              <w:rPr>
                <w:rFonts w:cs="Arial"/>
                <w:sz w:val="18"/>
                <w:szCs w:val="18"/>
              </w:rPr>
              <w:t xml:space="preserve">Součástí této Souhrnné závěrečné zprávy je kapitola č. 3. 2. </w:t>
            </w:r>
            <w:r w:rsidRPr="00A12531">
              <w:rPr>
                <w:rFonts w:cs="Arial"/>
                <w:i/>
                <w:sz w:val="18"/>
                <w:szCs w:val="18"/>
              </w:rPr>
              <w:t>„Personální zajištění agendy veřejné podpory“</w:t>
            </w:r>
            <w:r w:rsidRPr="00A12531">
              <w:rPr>
                <w:rFonts w:cs="Arial"/>
                <w:sz w:val="18"/>
                <w:szCs w:val="18"/>
              </w:rPr>
              <w:t>, jejímž cílem je získat přehled zajištění administrativní kapacity v rámci agendy veřejné podpory na úrovni jednotlivých programů. Analýza byla zpracována na základě informací poskytnutých řídícími orgány.</w:t>
            </w:r>
          </w:p>
          <w:p w:rsidR="00F571E7" w:rsidRPr="00A12531" w:rsidRDefault="00F571E7" w:rsidP="00F571E7">
            <w:pPr>
              <w:pStyle w:val="DAVA"/>
              <w:rPr>
                <w:rFonts w:cs="Arial"/>
                <w:sz w:val="18"/>
                <w:szCs w:val="18"/>
                <w:lang w:val="cs-CZ"/>
              </w:rPr>
            </w:pPr>
            <w:r w:rsidRPr="00A12531">
              <w:rPr>
                <w:rFonts w:cs="Arial"/>
                <w:sz w:val="18"/>
                <w:szCs w:val="18"/>
              </w:rPr>
              <w:t>Na centrální úrovni byla ustanovena MMR-NOK Pracovní skupina Administrativní kapacita, která se bude dle potřeby (tj. operativně) zabývat záležitostmi týkající se zajištění a rozvoje administrativní kapacity v této oblasti.</w:t>
            </w:r>
          </w:p>
          <w:p w:rsidR="003B3824" w:rsidRPr="00A76D60" w:rsidRDefault="003B3824" w:rsidP="00C36EE6">
            <w:pPr>
              <w:pStyle w:val="DAVA"/>
              <w:pBdr>
                <w:bottom w:val="dashed" w:sz="4" w:space="1" w:color="auto"/>
              </w:pBdr>
              <w:spacing w:before="0"/>
              <w:rPr>
                <w:rFonts w:cs="Arial"/>
                <w:sz w:val="18"/>
                <w:szCs w:val="18"/>
                <w:lang w:val="cs-CZ"/>
              </w:rPr>
            </w:pPr>
          </w:p>
          <w:p w:rsidR="0083711E" w:rsidRPr="00A76D60" w:rsidRDefault="0083711E" w:rsidP="00C36EE6">
            <w:pPr>
              <w:pStyle w:val="DAVA"/>
              <w:rPr>
                <w:rFonts w:cs="Arial"/>
                <w:sz w:val="18"/>
                <w:szCs w:val="18"/>
                <w:lang w:val="cs-CZ"/>
              </w:rPr>
            </w:pPr>
            <w:r w:rsidRPr="00A76D60">
              <w:rPr>
                <w:rFonts w:cs="Arial"/>
                <w:sz w:val="18"/>
                <w:szCs w:val="18"/>
                <w:lang w:val="cs-CZ"/>
              </w:rPr>
              <w:t>Veškeré informace (legislativa, metodiky, příručky a ostatní dokumenty týkající se aplikace pravidel veřejné podpory) jsou dostupné široké veřejnosti na internetových stránkách centrálních koordinačních orgánů (www.compet.cz, www.mze.cz, www.strukturalni-fondy.cz), přičemž tyto stránky jsou pravidelně aktualizovány a doplňovány o nové informace a předpisy.</w:t>
            </w:r>
          </w:p>
          <w:p w:rsidR="0083711E" w:rsidRPr="00A76D60" w:rsidRDefault="0083711E" w:rsidP="00C36EE6">
            <w:pPr>
              <w:pStyle w:val="DAVA"/>
              <w:spacing w:after="120"/>
              <w:rPr>
                <w:rFonts w:cs="Arial"/>
                <w:sz w:val="18"/>
                <w:szCs w:val="18"/>
                <w:lang w:val="cs-CZ"/>
              </w:rPr>
            </w:pPr>
            <w:r w:rsidRPr="00A76D60">
              <w:rPr>
                <w:rFonts w:cs="Arial"/>
                <w:sz w:val="18"/>
                <w:szCs w:val="18"/>
                <w:lang w:val="cs-CZ"/>
              </w:rPr>
              <w:t xml:space="preserve">MMR-NOK (ve spolupráci s ÚOHS) vydává metodické dokumenty k jednotlivým oblastem veřejné podpory (např. dokončen Manuál služeb obecného hospodářského zájmu, ve fázi realizace </w:t>
            </w:r>
            <w:r w:rsidRPr="006718EF">
              <w:rPr>
                <w:rFonts w:cs="Arial"/>
                <w:sz w:val="18"/>
                <w:szCs w:val="18"/>
                <w:lang w:val="cs-CZ"/>
              </w:rPr>
              <w:t>j</w:t>
            </w:r>
            <w:r w:rsidR="006718EF" w:rsidRPr="006718EF">
              <w:rPr>
                <w:rFonts w:cs="Arial"/>
                <w:sz w:val="18"/>
                <w:szCs w:val="18"/>
                <w:lang w:val="cs-CZ"/>
              </w:rPr>
              <w:t>e</w:t>
            </w:r>
            <w:r w:rsidRPr="00A76D60">
              <w:rPr>
                <w:rFonts w:cs="Arial"/>
                <w:sz w:val="18"/>
                <w:szCs w:val="18"/>
                <w:lang w:val="cs-CZ"/>
              </w:rPr>
              <w:t xml:space="preserve"> metodické doporučení pro oblast veřejné podpory). Metodické dokumenty jsou vytvářeny s ohledem na aktuální potřeby - např. v souvislosti s modernizací pravidel veřejné podpory ze strany EU (nová legislativa), zkušenostmi jednotlivých poskytovatelů (zejména s jejich problémy a nejasnostmi) nebo z důvodu potřeby blíže objasnit, vysvětlit specifika poskytování veřejné podpory (např. pojem jediný podnik v rámci aplikace pravidel podpory de </w:t>
            </w:r>
            <w:proofErr w:type="spellStart"/>
            <w:r w:rsidRPr="00A76D60">
              <w:rPr>
                <w:rFonts w:cs="Arial"/>
                <w:sz w:val="18"/>
                <w:szCs w:val="18"/>
                <w:lang w:val="cs-CZ"/>
              </w:rPr>
              <w:t>minimis</w:t>
            </w:r>
            <w:proofErr w:type="spellEnd"/>
            <w:r w:rsidRPr="00A76D60">
              <w:rPr>
                <w:rFonts w:cs="Arial"/>
                <w:sz w:val="18"/>
                <w:szCs w:val="18"/>
                <w:lang w:val="cs-CZ"/>
              </w:rPr>
              <w:t xml:space="preserve"> či výpočet hrubého grantového ekvivalentu). Na tvorbě metodických dokumentů se podílejí i externí experti, kdy tvorba některých metodik je </w:t>
            </w:r>
            <w:r w:rsidRPr="00A76D60">
              <w:rPr>
                <w:rFonts w:cs="Arial"/>
                <w:sz w:val="18"/>
                <w:szCs w:val="18"/>
                <w:lang w:val="cs-CZ"/>
              </w:rPr>
              <w:lastRenderedPageBreak/>
              <w:t>zadávána formou veřejné zakázky expertům z řad široké veřejnosti, kteří jsou při realizaci zakázky koordinováni zadavatelem (centrálním orgánem). Tito experti přinášejí do dokumentů zkušenosti a znalosti vyplývající z praxe.</w:t>
            </w:r>
          </w:p>
          <w:p w:rsidR="0083711E" w:rsidRPr="00A76D60" w:rsidRDefault="0083711E" w:rsidP="00C36EE6">
            <w:pPr>
              <w:pStyle w:val="DAVA"/>
              <w:spacing w:before="0" w:after="120"/>
              <w:rPr>
                <w:rFonts w:cs="Arial"/>
                <w:sz w:val="18"/>
                <w:szCs w:val="18"/>
                <w:lang w:val="cs-CZ"/>
              </w:rPr>
            </w:pPr>
            <w:r w:rsidRPr="00A76D60">
              <w:rPr>
                <w:rFonts w:cs="Arial"/>
                <w:sz w:val="18"/>
                <w:szCs w:val="18"/>
                <w:lang w:val="cs-CZ"/>
              </w:rPr>
              <w:t xml:space="preserve">Poskytovatelé se mohou s konkrétními problémy také kdykoli obracet na koordinační orgány v oblasti veřejné podpory (ÚOHS, </w:t>
            </w:r>
            <w:proofErr w:type="spellStart"/>
            <w:r w:rsidRPr="00A76D60">
              <w:rPr>
                <w:rFonts w:cs="Arial"/>
                <w:sz w:val="18"/>
                <w:szCs w:val="18"/>
                <w:lang w:val="cs-CZ"/>
              </w:rPr>
              <w:t>MZe</w:t>
            </w:r>
            <w:proofErr w:type="spellEnd"/>
            <w:r w:rsidRPr="00A76D60">
              <w:rPr>
                <w:rFonts w:cs="Arial"/>
                <w:sz w:val="18"/>
                <w:szCs w:val="18"/>
                <w:lang w:val="cs-CZ"/>
              </w:rPr>
              <w:t>, MMR-NOK), kteří jim poskytnou stanovisko a příp. spolupráci v průběhu řízení před Komisí nebo před oznámením veřejné podpory Komisi.  Koordinační orgány prvotně zanalyzují předmětné opatření /program z pohledu pravidel veřejné podpory a poté případně navrhnou vhodný nástroj, na základě kterého lze dané opatření poskytnout. V případě, že je za potřebí předmětné opatření notifikovat Evropské komisi, spolupracují s poskytovateli na vyplnění notifikačního formuláře i na vypracování odpovědí na dotazy EK  vznesené v rámci notifikačního řízení.</w:t>
            </w:r>
          </w:p>
          <w:p w:rsidR="006718EF" w:rsidRDefault="00CE4AFB" w:rsidP="006718EF">
            <w:pPr>
              <w:pStyle w:val="DAVA"/>
              <w:spacing w:before="80" w:after="80"/>
              <w:rPr>
                <w:rFonts w:cs="Arial"/>
                <w:color w:val="000000"/>
                <w:sz w:val="18"/>
                <w:szCs w:val="18"/>
                <w:lang w:val="cs-CZ" w:eastAsia="cs-CZ"/>
              </w:rPr>
            </w:pPr>
            <w:r>
              <w:rPr>
                <w:rFonts w:cs="Arial"/>
                <w:color w:val="000000"/>
                <w:sz w:val="18"/>
                <w:szCs w:val="18"/>
                <w:lang w:val="cs-CZ" w:eastAsia="cs-CZ"/>
              </w:rPr>
              <w:t xml:space="preserve">ŘO OP PIK: </w:t>
            </w:r>
          </w:p>
          <w:p w:rsidR="00CE4AFB" w:rsidRPr="006718EF" w:rsidRDefault="00CE4AFB" w:rsidP="008D3778">
            <w:pPr>
              <w:pStyle w:val="DAVA"/>
              <w:spacing w:before="80" w:after="80"/>
              <w:rPr>
                <w:rFonts w:cs="Arial"/>
                <w:sz w:val="18"/>
                <w:szCs w:val="18"/>
              </w:rPr>
            </w:pPr>
            <w:r w:rsidRPr="006718EF">
              <w:rPr>
                <w:rFonts w:cs="Arial"/>
                <w:sz w:val="18"/>
                <w:szCs w:val="18"/>
              </w:rPr>
              <w:t xml:space="preserve">Na MPO je v rámci ŘO OP PIK v současné době správní kapacita zajištěna. Agenda veřejné podpory je v gesci oddělení operačního programu, veřejné podpory a evaluace. Oblast veřejné podpory je zajišťována stabilním týmem kvalifikovaných zaměstnanců. </w:t>
            </w:r>
            <w:r w:rsidRPr="006F69A4">
              <w:rPr>
                <w:rFonts w:cs="Arial"/>
                <w:sz w:val="18"/>
                <w:szCs w:val="18"/>
              </w:rPr>
              <w:t xml:space="preserve">Pracovníci tohoto oddělení metodicky řídí pracovníky zprostředkujícího subjektu, kteří jsou pověření agendou veřejné podpory a poskytují v případě potřeby ad hoc konzultace k problematice veřejné podpory pracovníkům implementační struktury. Stejný mechanismus bude aplikován i v případě OP PIK. V současné době je správní kapacita zajištěna, agendu zajišťují 2 pracovníci řídícího orgánu a 1 pracovník </w:t>
            </w:r>
            <w:r w:rsidR="008D3778" w:rsidRPr="006F69A4">
              <w:rPr>
                <w:rFonts w:cs="Arial"/>
                <w:sz w:val="18"/>
                <w:szCs w:val="18"/>
                <w:lang w:val="cs-CZ"/>
              </w:rPr>
              <w:t>zprostředkujícího subjektu</w:t>
            </w:r>
            <w:r w:rsidRPr="006F69A4">
              <w:rPr>
                <w:rFonts w:cs="Arial"/>
                <w:sz w:val="18"/>
                <w:szCs w:val="18"/>
              </w:rPr>
              <w:t>. Na základě řízení lidských zdrojů a plánování administrativní kapacity, může být případně správní kapacita pro zajištění uplatňování předpisů pro veřejnou podporu posílena.</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r w:rsidRPr="00A76D60">
              <w:rPr>
                <w:rFonts w:ascii="Arial" w:hAnsi="Arial" w:cs="Arial"/>
                <w:b/>
                <w:color w:val="000000"/>
                <w:sz w:val="18"/>
                <w:szCs w:val="18"/>
              </w:rPr>
              <w:lastRenderedPageBreak/>
              <w:t xml:space="preserve">6. Existence opatření pro účinné uplatňování právních předpisů Unie pro oblast </w:t>
            </w:r>
            <w:r w:rsidRPr="00A76D60">
              <w:rPr>
                <w:rFonts w:ascii="Arial" w:hAnsi="Arial" w:cs="Arial"/>
                <w:b/>
                <w:color w:val="000000"/>
                <w:sz w:val="18"/>
                <w:szCs w:val="18"/>
              </w:rPr>
              <w:lastRenderedPageBreak/>
              <w:t>životního prostředí týkajících se EIA a SEA.</w:t>
            </w:r>
          </w:p>
        </w:tc>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rPr>
              <w:lastRenderedPageBreak/>
              <w:t>Všechny PO OP ŽP 2014 – 2020 a ostatní operační programy (vyjma OP TP a OP Z)</w:t>
            </w:r>
          </w:p>
        </w:tc>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F571E7" w:rsidP="00C36EE6">
            <w:pPr>
              <w:pStyle w:val="DAVA"/>
              <w:spacing w:before="80" w:after="80"/>
              <w:rPr>
                <w:rFonts w:cs="Arial"/>
                <w:i/>
                <w:sz w:val="18"/>
                <w:szCs w:val="18"/>
                <w:lang w:val="cs-CZ" w:eastAsia="cs-CZ"/>
              </w:rPr>
            </w:pPr>
            <w:r>
              <w:rPr>
                <w:rFonts w:cs="Arial"/>
                <w:sz w:val="18"/>
                <w:szCs w:val="18"/>
                <w:lang w:val="cs-CZ" w:eastAsia="cs-CZ"/>
              </w:rPr>
              <w:t>Ano</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Opatření pro účinné uplatňování směrnice Evropského parlamentu a Rady 2011/92/EU (EIA) a směrnice Evropského parlamentu a Rady 2001/42/ES (SEA).</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F571E7" w:rsidP="00C36EE6">
            <w:pPr>
              <w:pStyle w:val="DAVA"/>
              <w:spacing w:before="80" w:after="80"/>
              <w:rPr>
                <w:rFonts w:cs="Arial"/>
                <w:sz w:val="18"/>
                <w:szCs w:val="18"/>
                <w:lang w:val="cs-CZ" w:eastAsia="cs-CZ"/>
              </w:rPr>
            </w:pPr>
            <w:r>
              <w:rPr>
                <w:rFonts w:cs="Arial"/>
                <w:sz w:val="18"/>
                <w:szCs w:val="18"/>
                <w:lang w:val="cs-CZ" w:eastAsia="cs-CZ"/>
              </w:rPr>
              <w:t>ano</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rPr>
            </w:pPr>
            <w:r w:rsidRPr="00A76D60">
              <w:rPr>
                <w:rFonts w:cs="Arial"/>
                <w:sz w:val="18"/>
                <w:szCs w:val="18"/>
              </w:rPr>
              <w:t>Příslušná ustanovení zákona č. 100/2001 Sb., o posuzování vlivů na životní prostředí, týkající se posuzování vlivů koncepcí na životní prostředí.</w:t>
            </w:r>
          </w:p>
          <w:p w:rsidR="0083711E" w:rsidRPr="00A76D60" w:rsidRDefault="0083711E" w:rsidP="00C36EE6">
            <w:pPr>
              <w:pStyle w:val="DAVA"/>
              <w:spacing w:before="80" w:after="80"/>
              <w:rPr>
                <w:rFonts w:cs="Arial"/>
                <w:sz w:val="18"/>
                <w:szCs w:val="18"/>
              </w:rPr>
            </w:pPr>
          </w:p>
          <w:p w:rsidR="0083711E" w:rsidRPr="00A76D60" w:rsidRDefault="00400236" w:rsidP="00C36EE6">
            <w:pPr>
              <w:pStyle w:val="DAVA"/>
              <w:spacing w:before="80" w:after="80"/>
              <w:rPr>
                <w:rFonts w:cs="Arial"/>
                <w:sz w:val="18"/>
                <w:szCs w:val="18"/>
                <w:lang w:eastAsia="cs-CZ"/>
              </w:rPr>
            </w:pPr>
            <w:hyperlink r:id="rId104" w:history="1">
              <w:r w:rsidR="0083711E" w:rsidRPr="00A76D60">
                <w:rPr>
                  <w:rStyle w:val="Hypertextovodkaz"/>
                  <w:rFonts w:cs="Arial"/>
                  <w:sz w:val="18"/>
                  <w:szCs w:val="18"/>
                </w:rPr>
                <w:t>http://portal.cenia.cz/eiasea/static/sea_legislativa</w:t>
              </w:r>
            </w:hyperlink>
          </w:p>
          <w:p w:rsidR="0083711E" w:rsidRPr="00A76D60" w:rsidRDefault="0083711E" w:rsidP="00C36EE6">
            <w:pPr>
              <w:pStyle w:val="DAVA"/>
              <w:spacing w:before="80" w:after="80"/>
              <w:rPr>
                <w:rFonts w:cs="Arial"/>
                <w:sz w:val="18"/>
                <w:szCs w:val="18"/>
                <w:lang w:eastAsia="cs-CZ"/>
              </w:rPr>
            </w:pPr>
          </w:p>
          <w:p w:rsidR="0083711E" w:rsidRPr="00A76D60" w:rsidRDefault="0083711E" w:rsidP="00C36EE6">
            <w:pPr>
              <w:pStyle w:val="DAVA"/>
              <w:spacing w:before="80" w:after="80"/>
              <w:rPr>
                <w:rFonts w:cs="Arial"/>
                <w:sz w:val="18"/>
                <w:szCs w:val="18"/>
                <w:lang w:eastAsia="cs-CZ"/>
              </w:rPr>
            </w:pPr>
            <w:r w:rsidRPr="00A76D60">
              <w:rPr>
                <w:rFonts w:cs="Arial"/>
                <w:sz w:val="18"/>
                <w:szCs w:val="18"/>
                <w:lang w:eastAsia="cs-CZ"/>
              </w:rPr>
              <w:t>§ 19 zákona č. 100/2001 Sb., o posuzování vlivů na životní prostředí:</w:t>
            </w:r>
          </w:p>
          <w:p w:rsidR="0083711E" w:rsidRPr="00A76D60" w:rsidRDefault="00400236" w:rsidP="00C36EE6">
            <w:pPr>
              <w:pStyle w:val="DAVA"/>
              <w:spacing w:before="80" w:after="80"/>
              <w:rPr>
                <w:rFonts w:cs="Arial"/>
                <w:sz w:val="18"/>
                <w:szCs w:val="18"/>
                <w:lang w:val="cs-CZ" w:eastAsia="cs-CZ"/>
              </w:rPr>
            </w:pPr>
            <w:hyperlink r:id="rId105" w:history="1">
              <w:r w:rsidR="0083711E" w:rsidRPr="00A76D60">
                <w:rPr>
                  <w:rFonts w:cs="Arial"/>
                  <w:sz w:val="18"/>
                  <w:szCs w:val="18"/>
                </w:rPr>
                <w:t>http://portal.cenia.cz/eiasea/static/eia_legislativa</w:t>
              </w:r>
            </w:hyperlink>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6718EF" w:rsidRDefault="0083711E" w:rsidP="00C36EE6">
            <w:pPr>
              <w:pStyle w:val="DAVA"/>
              <w:spacing w:before="80" w:after="80"/>
              <w:rPr>
                <w:rFonts w:cs="Arial"/>
                <w:sz w:val="18"/>
                <w:szCs w:val="18"/>
                <w:lang w:val="cs-CZ"/>
              </w:rPr>
            </w:pPr>
            <w:r w:rsidRPr="00A76D60">
              <w:rPr>
                <w:rFonts w:cs="Arial"/>
                <w:sz w:val="18"/>
                <w:szCs w:val="18"/>
              </w:rPr>
              <w:lastRenderedPageBreak/>
              <w:t>Všechny požadavky směrnice SEA jsou</w:t>
            </w:r>
            <w:r w:rsidR="006718EF">
              <w:rPr>
                <w:rFonts w:cs="Arial"/>
                <w:sz w:val="18"/>
                <w:szCs w:val="18"/>
              </w:rPr>
              <w:t xml:space="preserve"> v českém právním řádu plněny. </w:t>
            </w:r>
          </w:p>
          <w:p w:rsidR="00ED6FF7" w:rsidRPr="00AC497E" w:rsidRDefault="006718EF" w:rsidP="00ED6FF7">
            <w:pPr>
              <w:spacing w:after="120"/>
              <w:jc w:val="both"/>
              <w:rPr>
                <w:rFonts w:ascii="Arial" w:hAnsi="Arial" w:cs="Arial"/>
                <w:color w:val="000000"/>
                <w:sz w:val="18"/>
                <w:szCs w:val="18"/>
              </w:rPr>
            </w:pPr>
            <w:r>
              <w:rPr>
                <w:rFonts w:ascii="Arial" w:hAnsi="Arial" w:cs="Arial"/>
                <w:sz w:val="18"/>
                <w:szCs w:val="18"/>
              </w:rPr>
              <w:t>V rám</w:t>
            </w:r>
            <w:r w:rsidR="0083711E" w:rsidRPr="00A76D60">
              <w:rPr>
                <w:rFonts w:ascii="Arial" w:hAnsi="Arial" w:cs="Arial"/>
                <w:sz w:val="18"/>
                <w:szCs w:val="18"/>
              </w:rPr>
              <w:t xml:space="preserve">ci </w:t>
            </w:r>
            <w:proofErr w:type="spellStart"/>
            <w:r w:rsidR="0083711E" w:rsidRPr="00A76D60">
              <w:rPr>
                <w:rFonts w:ascii="Arial" w:hAnsi="Arial" w:cs="Arial"/>
                <w:sz w:val="18"/>
                <w:szCs w:val="18"/>
              </w:rPr>
              <w:t>infringementového</w:t>
            </w:r>
            <w:proofErr w:type="spellEnd"/>
            <w:r w:rsidR="0083711E" w:rsidRPr="00A76D60">
              <w:rPr>
                <w:rFonts w:ascii="Arial" w:hAnsi="Arial" w:cs="Arial"/>
                <w:sz w:val="18"/>
                <w:szCs w:val="18"/>
              </w:rPr>
              <w:t xml:space="preserve"> řízení ke směrnici EIA bylo na jednání s Evropskou komisí ze dne 21. 1. 2014 dohodnuto řešení spočívající v úpravě české legislativy, kterou budou v termínu do konce roku 2014 vyřešeny všechny výtky Evropské komise. Paragrafované znění novely zákona EIA, stavebního zákona a souvisejících právních předpisů bylo v březnu 2014 předloženo do mezirezortního připomínkového řízení, které bylo ukončeno na konci dubna 2014. Novela byla následně upravena na základě připomínek Evropské komise a dne 10.6.2014 odsouhlasena Evropskou komisí. </w:t>
            </w:r>
            <w:r w:rsidR="0083711E" w:rsidRPr="00093D10">
              <w:rPr>
                <w:rFonts w:ascii="Arial" w:hAnsi="Arial" w:cs="Arial"/>
                <w:sz w:val="18"/>
                <w:szCs w:val="18"/>
              </w:rPr>
              <w:t xml:space="preserve">V červnu 2014 bylo Komisí schválené znění novely předloženo do opakovaného mezirezortního připomínkového řízení. Po vypořádání obdržených připomínek byla novela v srpnu 2014 projednána Legislativní radou vlády a dne 3. 9. 2014 schválena Vládou ČR. Tentýž den byla novela </w:t>
            </w:r>
            <w:r w:rsidR="0083711E" w:rsidRPr="00093D10">
              <w:rPr>
                <w:rFonts w:ascii="Arial" w:hAnsi="Arial" w:cs="Arial"/>
                <w:sz w:val="18"/>
                <w:szCs w:val="18"/>
              </w:rPr>
              <w:lastRenderedPageBreak/>
              <w:t xml:space="preserve">postoupena Poslanecké sněmovně Parlamentu ČR. </w:t>
            </w:r>
            <w:r w:rsidR="00ED6FF7" w:rsidRPr="00AC497E">
              <w:rPr>
                <w:rFonts w:ascii="Arial" w:hAnsi="Arial" w:cs="Arial"/>
                <w:color w:val="000000"/>
                <w:sz w:val="18"/>
                <w:szCs w:val="18"/>
              </w:rPr>
              <w:t>Novela byla dne 12. 12. 2014 schválena Poslaneckou sněmovnou PČR ve 3. čtení a postoupena Senátu PČR. Dne 14. 1. 2015 byla novela projednána Senátem a vrácena Poslanecké sněmovně s pozměňovacími návrhy k opětovnému hlasování</w:t>
            </w:r>
            <w:r w:rsidR="00220D14">
              <w:rPr>
                <w:rFonts w:ascii="Arial" w:hAnsi="Arial" w:cs="Arial"/>
                <w:color w:val="000000"/>
                <w:sz w:val="18"/>
                <w:szCs w:val="18"/>
              </w:rPr>
              <w:t>.</w:t>
            </w:r>
            <w:r w:rsidR="00220D14">
              <w:rPr>
                <w:rFonts w:ascii="Cambria" w:hAnsi="Cambria" w:cs="Cambria"/>
                <w:color w:val="000000"/>
              </w:rPr>
              <w:t xml:space="preserve"> </w:t>
            </w:r>
            <w:r w:rsidR="00220D14" w:rsidRPr="00220D14">
              <w:rPr>
                <w:rFonts w:ascii="Arial" w:hAnsi="Arial" w:cs="Arial"/>
                <w:color w:val="000000"/>
              </w:rPr>
              <w:t xml:space="preserve">Poslanecká sněmovna schválila novelu ve znění pozměňovacích návrhů dne 10. 2. 2015. </w:t>
            </w:r>
            <w:r w:rsidR="00ED6FF7" w:rsidRPr="00AC497E">
              <w:rPr>
                <w:rFonts w:ascii="Arial" w:hAnsi="Arial" w:cs="Arial"/>
                <w:color w:val="000000"/>
                <w:sz w:val="18"/>
                <w:szCs w:val="18"/>
              </w:rPr>
              <w:t xml:space="preserve"> Následně </w:t>
            </w:r>
            <w:r w:rsidR="00220D14">
              <w:rPr>
                <w:rFonts w:ascii="Arial" w:hAnsi="Arial" w:cs="Arial"/>
                <w:color w:val="000000"/>
                <w:sz w:val="18"/>
                <w:szCs w:val="18"/>
              </w:rPr>
              <w:t xml:space="preserve">byla </w:t>
            </w:r>
            <w:r w:rsidR="00ED6FF7" w:rsidRPr="00AC497E">
              <w:rPr>
                <w:rFonts w:ascii="Arial" w:hAnsi="Arial" w:cs="Arial"/>
                <w:color w:val="000000"/>
                <w:sz w:val="18"/>
                <w:szCs w:val="18"/>
              </w:rPr>
              <w:t>novela předložena prezidentu republiky</w:t>
            </w:r>
            <w:r w:rsidR="00220D14">
              <w:rPr>
                <w:rFonts w:ascii="Cambria" w:hAnsi="Cambria" w:cs="Cambria"/>
                <w:color w:val="000000"/>
              </w:rPr>
              <w:t xml:space="preserve">, </w:t>
            </w:r>
            <w:r w:rsidR="00220D14" w:rsidRPr="00220D14">
              <w:rPr>
                <w:rFonts w:ascii="Arial" w:hAnsi="Arial" w:cs="Arial"/>
                <w:color w:val="000000"/>
              </w:rPr>
              <w:t>který ji podepsal dne 24. 2. 2015</w:t>
            </w:r>
            <w:r w:rsidR="00ED6FF7" w:rsidRPr="00220D14">
              <w:rPr>
                <w:rFonts w:ascii="Arial" w:hAnsi="Arial" w:cs="Arial"/>
                <w:color w:val="000000"/>
                <w:sz w:val="18"/>
                <w:szCs w:val="18"/>
              </w:rPr>
              <w:t>.</w:t>
            </w:r>
            <w:r w:rsidR="00ED6FF7" w:rsidRPr="00AC497E">
              <w:rPr>
                <w:rFonts w:ascii="Arial" w:hAnsi="Arial" w:cs="Arial"/>
                <w:color w:val="000000"/>
                <w:sz w:val="18"/>
                <w:szCs w:val="18"/>
              </w:rPr>
              <w:t xml:space="preserve"> </w:t>
            </w:r>
            <w:r w:rsidR="0083711E">
              <w:rPr>
                <w:rFonts w:ascii="Arial" w:hAnsi="Arial" w:cs="Arial"/>
                <w:sz w:val="18"/>
                <w:szCs w:val="18"/>
              </w:rPr>
              <w:t xml:space="preserve"> </w:t>
            </w:r>
            <w:r w:rsidR="00F571E7" w:rsidRPr="009001FF">
              <w:rPr>
                <w:rFonts w:ascii="Arial" w:hAnsi="Arial" w:cs="Arial"/>
                <w:color w:val="000000"/>
                <w:sz w:val="18"/>
                <w:szCs w:val="18"/>
              </w:rPr>
              <w:t>Novela byla dne 6. 3. 2015 vyhlášena ve Sbírce zákonů v částce 19 jako zákon č. 39/2015 Sb., v důsledku čehož nab</w:t>
            </w:r>
            <w:r w:rsidR="00F571E7">
              <w:rPr>
                <w:rFonts w:ascii="Arial" w:hAnsi="Arial" w:cs="Arial"/>
                <w:color w:val="000000"/>
                <w:sz w:val="18"/>
                <w:szCs w:val="18"/>
              </w:rPr>
              <w:t>yla</w:t>
            </w:r>
            <w:r w:rsidR="00F571E7" w:rsidRPr="009001FF">
              <w:rPr>
                <w:rFonts w:ascii="Arial" w:hAnsi="Arial" w:cs="Arial"/>
                <w:color w:val="000000"/>
                <w:sz w:val="18"/>
                <w:szCs w:val="18"/>
              </w:rPr>
              <w:t xml:space="preserve"> účinnosti dne 1. 4. 2015</w:t>
            </w:r>
            <w:r w:rsidR="00F571E7">
              <w:rPr>
                <w:rFonts w:ascii="Arial" w:hAnsi="Arial" w:cs="Arial"/>
                <w:color w:val="000000"/>
                <w:sz w:val="18"/>
                <w:szCs w:val="18"/>
              </w:rPr>
              <w:t xml:space="preserve">. </w:t>
            </w:r>
            <w:r w:rsidR="00ED6FF7" w:rsidRPr="00AC497E">
              <w:rPr>
                <w:rFonts w:ascii="Arial" w:hAnsi="Arial" w:cs="Arial"/>
                <w:color w:val="000000"/>
                <w:sz w:val="18"/>
                <w:szCs w:val="18"/>
              </w:rPr>
              <w:t xml:space="preserve">Veškeré změny novely, ke kterým došlo v rámci legislativního procesu, byly průběžně konzultovány s Evropskou komisí </w:t>
            </w:r>
            <w:r w:rsidR="00F571E7">
              <w:rPr>
                <w:rFonts w:ascii="Arial" w:hAnsi="Arial" w:cs="Arial"/>
                <w:color w:val="000000"/>
                <w:sz w:val="18"/>
                <w:szCs w:val="18"/>
              </w:rPr>
              <w:t xml:space="preserve">a její připomínky byly do novely zapracovány. </w:t>
            </w:r>
            <w:r w:rsidR="00F571E7" w:rsidRPr="009001FF">
              <w:rPr>
                <w:rFonts w:ascii="Arial" w:hAnsi="Arial" w:cs="Arial"/>
                <w:color w:val="000000"/>
                <w:sz w:val="18"/>
                <w:szCs w:val="18"/>
              </w:rPr>
              <w:t>Evropská komise byla rovněž pravidelně informována o průběhu legislativního procesu a předpokládaném nabytí účinnosti novely.</w:t>
            </w:r>
            <w:r w:rsidR="00F571E7">
              <w:rPr>
                <w:rFonts w:ascii="Arial" w:hAnsi="Arial" w:cs="Arial"/>
                <w:color w:val="000000"/>
                <w:sz w:val="18"/>
                <w:szCs w:val="18"/>
              </w:rPr>
              <w:t xml:space="preserve"> </w:t>
            </w:r>
            <w:r w:rsidR="00ED6FF7">
              <w:rPr>
                <w:rFonts w:ascii="Arial" w:hAnsi="Arial" w:cs="Arial"/>
                <w:sz w:val="18"/>
                <w:szCs w:val="18"/>
              </w:rPr>
              <w:t xml:space="preserve"> </w:t>
            </w:r>
            <w:r w:rsidR="0083711E" w:rsidRPr="00A76D60">
              <w:rPr>
                <w:rFonts w:ascii="Arial" w:hAnsi="Arial" w:cs="Arial"/>
                <w:sz w:val="18"/>
                <w:szCs w:val="18"/>
              </w:rPr>
              <w:t xml:space="preserve">Součástí novelizace je i oblast účasti veřejnosti a jejího přístupu k soudní ochraně. </w:t>
            </w:r>
            <w:r w:rsidR="00ED6FF7" w:rsidRPr="00AC497E">
              <w:rPr>
                <w:rFonts w:ascii="Arial" w:hAnsi="Arial" w:cs="Arial"/>
                <w:color w:val="000000"/>
                <w:sz w:val="18"/>
                <w:szCs w:val="18"/>
              </w:rPr>
              <w:t>Na základě přechodných ustanovení novely bude novela aplikována i na již zahájená navazující řízení, čímž budou naplněny požadavky směrnice EIA u všech projektů, u kterých dosud nebyl ukončen povolovací proces, a rovněž bude prováděna kontrola souladu již vydaných stanovisek EIA se směrnicí EIA.</w:t>
            </w:r>
          </w:p>
          <w:p w:rsidR="0083711E" w:rsidRPr="00A76D60" w:rsidRDefault="00ED6FF7" w:rsidP="00ED6FF7">
            <w:pPr>
              <w:pStyle w:val="Default"/>
              <w:spacing w:afterAutospacing="1"/>
              <w:jc w:val="both"/>
              <w:rPr>
                <w:rFonts w:ascii="Arial" w:hAnsi="Arial" w:cs="Arial"/>
                <w:sz w:val="18"/>
                <w:szCs w:val="18"/>
              </w:rPr>
            </w:pPr>
            <w:r w:rsidRPr="00AC497E">
              <w:rPr>
                <w:rFonts w:ascii="Arial" w:hAnsi="Arial" w:cs="Arial"/>
                <w:sz w:val="18"/>
                <w:szCs w:val="18"/>
              </w:rPr>
              <w:t>Nadto je na projekty, u kterých probíhá povolovací proces, již nyní příslušnými stavebními úřady aplikována metodická pomůcka, jejímž cílem je dosáhnout plnění požadavků směrnice EIA v povolovacích řízeních za použití stávajících právních předpisů. Metodická pomůcka byla vydána dne 20. 8. 2014 ve spolupráci MŽP a MMR a rozeslána stavebním úřadům dne 29. 8. 2014. V případě projektů, jejichž povolovací proces bude ukončen dříve, než novela nabyde účinnosti, bude vyhodnocen soulad jejich povolovacího procesu s požadavky směrnice EIA. Za účelem této kontroly byla usnesením vlády č. 1078 ze dne 15. 12. 2014 ustanovena speciální pracovní skupina složená ze zástupců dotčených rezortů (o záměru jejího vytvoření bylo DG ENV informováno dne 9. 10. 2014).</w:t>
            </w:r>
          </w:p>
          <w:p w:rsidR="0083711E" w:rsidRPr="00ED6FF7" w:rsidRDefault="0083711E" w:rsidP="00C36EE6">
            <w:pPr>
              <w:pStyle w:val="DAVA"/>
              <w:spacing w:before="80" w:after="80"/>
              <w:rPr>
                <w:rFonts w:cs="Arial"/>
                <w:sz w:val="18"/>
                <w:szCs w:val="18"/>
                <w:lang w:val="cs-CZ" w:eastAsia="cs-CZ"/>
              </w:rPr>
            </w:pPr>
            <w:r w:rsidRPr="00A76D60">
              <w:rPr>
                <w:rFonts w:cs="Arial"/>
                <w:sz w:val="18"/>
                <w:szCs w:val="18"/>
                <w:lang w:eastAsia="cs-CZ"/>
              </w:rPr>
              <w:t>Pokud jde o kontrolu kvality</w:t>
            </w:r>
            <w:r w:rsidRPr="00A76D60">
              <w:rPr>
                <w:rFonts w:cs="Arial"/>
                <w:sz w:val="18"/>
                <w:szCs w:val="18"/>
                <w:lang w:val="cs-CZ" w:eastAsia="cs-CZ"/>
              </w:rPr>
              <w:t xml:space="preserve"> procesu EIA</w:t>
            </w:r>
            <w:r w:rsidRPr="00A76D60">
              <w:rPr>
                <w:rFonts w:cs="Arial"/>
                <w:sz w:val="18"/>
                <w:szCs w:val="18"/>
                <w:lang w:eastAsia="cs-CZ"/>
              </w:rPr>
              <w:t>, MŽP již v současné době aplikuje systém autorizovaných osob zpracovávajících dokumentace EIA a oponentní posudky EIA, které jsou dalším nástrojem pro kontrolu kvality informací obsažených v dokumentaci EIA.</w:t>
            </w:r>
            <w:r w:rsidRPr="00A76D60">
              <w:rPr>
                <w:rFonts w:cs="Arial"/>
                <w:bCs/>
                <w:sz w:val="18"/>
                <w:szCs w:val="18"/>
                <w:lang w:val="cs-CZ" w:eastAsia="cs-CZ"/>
              </w:rPr>
              <w:t xml:space="preserve"> Systém autorizovaných osob v ČR jde nad rámec směrnice EIA, neboť podmínkou pro vykonávání činností osoby autorizované ke zpracování dokumentace nebo posudku v procesu EIA je vykonání odborné zkoušky způsobilosti. Vysoké nároky na odbornost autorizovaných osob zajišťují kvalitu procesu EIA.</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 xml:space="preserve">Opatření pro odbornou </w:t>
            </w:r>
            <w:r w:rsidRPr="00A76D60">
              <w:rPr>
                <w:rFonts w:cs="Arial"/>
                <w:sz w:val="18"/>
                <w:szCs w:val="18"/>
                <w:lang w:val="cs-CZ" w:eastAsia="cs-CZ"/>
              </w:rPr>
              <w:lastRenderedPageBreak/>
              <w:t>přípravu a šíření informací pro zaměstnance podílející se na provádění směrnic EIA a SEA</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iCs/>
                <w:sz w:val="18"/>
                <w:szCs w:val="18"/>
                <w:lang w:val="cs-CZ" w:eastAsia="cs-CZ"/>
              </w:rPr>
              <w:lastRenderedPageBreak/>
              <w:t>ano</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Textbubliny"/>
              <w:spacing w:before="80" w:after="80"/>
              <w:rPr>
                <w:rFonts w:ascii="Arial" w:hAnsi="Arial" w:cs="Arial"/>
                <w:color w:val="0000FF"/>
                <w:sz w:val="18"/>
                <w:szCs w:val="18"/>
                <w:u w:val="single"/>
              </w:rPr>
            </w:pPr>
            <w:r w:rsidRPr="00A76D60">
              <w:rPr>
                <w:rFonts w:ascii="Arial" w:hAnsi="Arial" w:cs="Arial"/>
                <w:bCs/>
                <w:color w:val="000000"/>
                <w:sz w:val="18"/>
                <w:szCs w:val="18"/>
              </w:rPr>
              <w:t xml:space="preserve">§21 a 22 zákona </w:t>
            </w:r>
            <w:r w:rsidRPr="00A76D60">
              <w:rPr>
                <w:rFonts w:ascii="Arial" w:hAnsi="Arial" w:cs="Arial"/>
                <w:bCs/>
                <w:color w:val="000000"/>
                <w:sz w:val="18"/>
                <w:szCs w:val="18"/>
              </w:rPr>
              <w:lastRenderedPageBreak/>
              <w:t>č. 100/2001 Sb., o posuzování vlivů na životní prostředí</w:t>
            </w:r>
          </w:p>
          <w:p w:rsidR="0083711E" w:rsidRPr="00A76D60" w:rsidRDefault="0083711E" w:rsidP="00C36EE6">
            <w:pPr>
              <w:pStyle w:val="Textbubliny"/>
              <w:spacing w:before="80" w:after="80"/>
              <w:rPr>
                <w:rFonts w:ascii="Arial" w:hAnsi="Arial" w:cs="Arial"/>
                <w:color w:val="0000FF"/>
                <w:sz w:val="18"/>
                <w:szCs w:val="18"/>
                <w:u w:val="single"/>
              </w:rPr>
            </w:pPr>
          </w:p>
          <w:p w:rsidR="0083711E" w:rsidRPr="00A76D60" w:rsidRDefault="0083711E" w:rsidP="00C36EE6">
            <w:pPr>
              <w:pStyle w:val="Textbubliny"/>
              <w:spacing w:before="80" w:after="80"/>
              <w:rPr>
                <w:rFonts w:ascii="Arial" w:hAnsi="Arial" w:cs="Arial"/>
                <w:bCs/>
                <w:color w:val="000000"/>
                <w:sz w:val="18"/>
                <w:szCs w:val="18"/>
              </w:rPr>
            </w:pPr>
            <w:r w:rsidRPr="00A76D60">
              <w:rPr>
                <w:rFonts w:ascii="Arial" w:hAnsi="Arial" w:cs="Arial"/>
                <w:bCs/>
                <w:color w:val="000000"/>
                <w:sz w:val="18"/>
                <w:szCs w:val="18"/>
              </w:rPr>
              <w:t>§21 zákona č. 312/2001 Sb., o úřednících územních samosprávných celků</w:t>
            </w:r>
          </w:p>
          <w:p w:rsidR="0083711E" w:rsidRPr="00A76D60" w:rsidRDefault="0083711E" w:rsidP="00C36EE6">
            <w:pPr>
              <w:pStyle w:val="Textbubliny"/>
              <w:spacing w:before="80" w:after="80"/>
              <w:rPr>
                <w:rFonts w:ascii="Arial" w:hAnsi="Arial" w:cs="Arial"/>
                <w:bCs/>
                <w:color w:val="000000"/>
                <w:sz w:val="18"/>
                <w:szCs w:val="18"/>
              </w:rPr>
            </w:pPr>
          </w:p>
          <w:p w:rsidR="0083711E" w:rsidRPr="00A76D60" w:rsidRDefault="0083711E" w:rsidP="00C36EE6">
            <w:pPr>
              <w:pStyle w:val="Textbubliny"/>
              <w:spacing w:before="80" w:after="80"/>
              <w:rPr>
                <w:rFonts w:ascii="Arial" w:hAnsi="Arial" w:cs="Arial"/>
                <w:color w:val="0000FF"/>
                <w:sz w:val="18"/>
                <w:szCs w:val="18"/>
                <w:u w:val="single"/>
              </w:rPr>
            </w:pPr>
            <w:r w:rsidRPr="00A76D60">
              <w:rPr>
                <w:rFonts w:ascii="Arial" w:hAnsi="Arial" w:cs="Arial"/>
                <w:bCs/>
                <w:color w:val="000000"/>
                <w:sz w:val="18"/>
                <w:szCs w:val="18"/>
              </w:rPr>
              <w:t>Usnesení Vlády ČR ze dne 30. listopadu 2005 č. 1542</w:t>
            </w:r>
          </w:p>
          <w:p w:rsidR="0083711E" w:rsidRPr="00A76D60" w:rsidRDefault="0083711E" w:rsidP="00C36EE6">
            <w:pPr>
              <w:pStyle w:val="DAVA"/>
              <w:spacing w:before="80" w:after="80"/>
              <w:rPr>
                <w:rFonts w:cs="Arial"/>
                <w:sz w:val="18"/>
                <w:szCs w:val="18"/>
                <w:lang w:val="cs-CZ" w:eastAsia="cs-CZ"/>
              </w:rPr>
            </w:pPr>
          </w:p>
          <w:p w:rsidR="0083711E" w:rsidRPr="00A76D60" w:rsidRDefault="00400236" w:rsidP="00C36EE6">
            <w:pPr>
              <w:pStyle w:val="DAVA"/>
              <w:spacing w:before="80" w:after="80"/>
              <w:rPr>
                <w:rFonts w:cs="Arial"/>
                <w:sz w:val="18"/>
                <w:szCs w:val="18"/>
                <w:lang w:val="cs-CZ" w:eastAsia="cs-CZ"/>
              </w:rPr>
            </w:pPr>
            <w:hyperlink r:id="rId106" w:history="1">
              <w:r w:rsidR="0083711E" w:rsidRPr="00A76D60">
                <w:rPr>
                  <w:rStyle w:val="Hypertextovodkaz"/>
                  <w:rFonts w:cs="Arial"/>
                  <w:sz w:val="18"/>
                  <w:szCs w:val="18"/>
                  <w:lang w:val="cs-CZ" w:eastAsia="cs-CZ"/>
                </w:rPr>
                <w:t>http://www.mzp.cz/cz/posuzovani_vlivu_zivotni_prostredi</w:t>
              </w:r>
            </w:hyperlink>
            <w:r w:rsidR="0083711E" w:rsidRPr="00A76D60">
              <w:rPr>
                <w:rFonts w:cs="Arial"/>
                <w:sz w:val="18"/>
                <w:szCs w:val="18"/>
                <w:lang w:val="cs-CZ" w:eastAsia="cs-CZ"/>
              </w:rPr>
              <w:t xml:space="preserve"> </w:t>
            </w:r>
          </w:p>
          <w:p w:rsidR="0083711E" w:rsidRPr="00A76D60" w:rsidRDefault="0083711E" w:rsidP="00C36EE6">
            <w:pPr>
              <w:pStyle w:val="DAVA"/>
              <w:spacing w:before="80" w:after="80"/>
              <w:rPr>
                <w:rFonts w:cs="Arial"/>
                <w:sz w:val="18"/>
                <w:szCs w:val="18"/>
                <w:lang w:val="cs-CZ" w:eastAsia="cs-CZ"/>
              </w:rPr>
            </w:pPr>
          </w:p>
          <w:p w:rsidR="0083711E" w:rsidRPr="00A76D60" w:rsidRDefault="00400236" w:rsidP="00C36EE6">
            <w:pPr>
              <w:pStyle w:val="DAVA"/>
              <w:spacing w:before="80" w:after="80"/>
              <w:rPr>
                <w:rFonts w:cs="Arial"/>
                <w:sz w:val="18"/>
                <w:szCs w:val="18"/>
                <w:lang w:val="cs-CZ" w:eastAsia="cs-CZ"/>
              </w:rPr>
            </w:pPr>
            <w:hyperlink r:id="rId107" w:history="1">
              <w:r w:rsidR="0083711E" w:rsidRPr="00A76D60">
                <w:rPr>
                  <w:rStyle w:val="Hypertextovodkaz"/>
                  <w:rFonts w:cs="Arial"/>
                  <w:sz w:val="18"/>
                  <w:szCs w:val="18"/>
                  <w:lang w:val="cs-CZ" w:eastAsia="cs-CZ"/>
                </w:rPr>
                <w:t>http://portal.cenia.cz/eiasea/view/eia100_cr</w:t>
              </w:r>
            </w:hyperlink>
            <w:r w:rsidR="0083711E" w:rsidRPr="00A76D60">
              <w:rPr>
                <w:rFonts w:cs="Arial"/>
                <w:sz w:val="18"/>
                <w:szCs w:val="18"/>
                <w:lang w:val="cs-CZ" w:eastAsia="cs-CZ"/>
              </w:rPr>
              <w:t xml:space="preserve"> (+ záložka legislativa, pokyny a sdělení atd.)</w:t>
            </w:r>
          </w:p>
          <w:p w:rsidR="0083711E" w:rsidRPr="00A76D60" w:rsidRDefault="0083711E" w:rsidP="00C36EE6">
            <w:pPr>
              <w:pStyle w:val="DAVA"/>
              <w:spacing w:before="80" w:after="80"/>
              <w:rPr>
                <w:rFonts w:cs="Arial"/>
                <w:sz w:val="18"/>
                <w:szCs w:val="18"/>
                <w:lang w:val="cs-CZ" w:eastAsia="cs-CZ"/>
              </w:rPr>
            </w:pPr>
          </w:p>
          <w:p w:rsidR="0083711E" w:rsidRPr="00A76D60" w:rsidRDefault="00400236" w:rsidP="00C36EE6">
            <w:pPr>
              <w:pStyle w:val="DAVA"/>
              <w:spacing w:before="80" w:after="80"/>
              <w:rPr>
                <w:rFonts w:cs="Arial"/>
                <w:sz w:val="18"/>
                <w:szCs w:val="18"/>
                <w:lang w:val="cs-CZ" w:eastAsia="cs-CZ"/>
              </w:rPr>
            </w:pPr>
            <w:hyperlink r:id="rId108" w:history="1">
              <w:r w:rsidR="0083711E" w:rsidRPr="00A76D60">
                <w:rPr>
                  <w:rStyle w:val="Hypertextovodkaz"/>
                  <w:rFonts w:cs="Arial"/>
                  <w:sz w:val="18"/>
                  <w:szCs w:val="18"/>
                  <w:lang w:val="cs-CZ" w:eastAsia="cs-CZ"/>
                </w:rPr>
                <w:t>http://portal.cenia.cz/eiasea/view/SEA100_koncepce</w:t>
              </w:r>
            </w:hyperlink>
            <w:r w:rsidR="0083711E" w:rsidRPr="00A76D60">
              <w:rPr>
                <w:rFonts w:cs="Arial"/>
                <w:sz w:val="18"/>
                <w:szCs w:val="18"/>
                <w:lang w:val="cs-CZ" w:eastAsia="cs-CZ"/>
              </w:rPr>
              <w:t xml:space="preserve"> (+ záložka legislativa, pokyny a sdělení</w:t>
            </w:r>
          </w:p>
          <w:p w:rsidR="0083711E" w:rsidRPr="00A76D60" w:rsidRDefault="0083711E" w:rsidP="00C36EE6">
            <w:pPr>
              <w:pStyle w:val="DAVA"/>
              <w:spacing w:before="80" w:after="80"/>
              <w:rPr>
                <w:rFonts w:cs="Arial"/>
                <w:sz w:val="18"/>
                <w:szCs w:val="18"/>
                <w:lang w:val="cs-CZ" w:eastAsia="cs-CZ"/>
              </w:rPr>
            </w:pPr>
          </w:p>
          <w:p w:rsidR="0083711E" w:rsidRPr="00A76D60" w:rsidRDefault="00400236" w:rsidP="00C36EE6">
            <w:pPr>
              <w:rPr>
                <w:rFonts w:ascii="Arial" w:hAnsi="Arial" w:cs="Arial"/>
                <w:sz w:val="18"/>
                <w:szCs w:val="18"/>
              </w:rPr>
            </w:pPr>
            <w:hyperlink r:id="rId109" w:history="1">
              <w:r w:rsidR="0083711E" w:rsidRPr="00A76D60">
                <w:rPr>
                  <w:rStyle w:val="Hypertextovodkaz"/>
                  <w:rFonts w:ascii="Arial" w:hAnsi="Arial" w:cs="Arial"/>
                  <w:sz w:val="18"/>
                  <w:szCs w:val="18"/>
                </w:rPr>
                <w:t>http://www.struktural</w:t>
              </w:r>
              <w:r w:rsidR="0083711E" w:rsidRPr="00A76D60">
                <w:rPr>
                  <w:rStyle w:val="Hypertextovodkaz"/>
                  <w:rFonts w:ascii="Arial" w:hAnsi="Arial" w:cs="Arial"/>
                  <w:sz w:val="18"/>
                  <w:szCs w:val="18"/>
                </w:rPr>
                <w:lastRenderedPageBreak/>
                <w:t>ni-fondy.cz/cs/Fondy-EU/2014-2020/Metodicke-pokyny/Metodika-rozvoje-lidskych-zdroju</w:t>
              </w:r>
            </w:hyperlink>
          </w:p>
          <w:p w:rsidR="0083711E" w:rsidRPr="00A76D60" w:rsidRDefault="0083711E" w:rsidP="00C36EE6">
            <w:pPr>
              <w:pStyle w:val="DAVA"/>
              <w:spacing w:before="80" w:after="80"/>
              <w:rPr>
                <w:rFonts w:cs="Arial"/>
                <w:sz w:val="18"/>
                <w:szCs w:val="18"/>
                <w:lang w:val="cs-CZ" w:eastAsia="cs-CZ"/>
              </w:rPr>
            </w:pP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Textbubliny"/>
              <w:spacing w:before="80" w:after="80"/>
              <w:rPr>
                <w:rFonts w:ascii="Arial" w:hAnsi="Arial" w:cs="Arial"/>
                <w:bCs/>
                <w:color w:val="000000"/>
                <w:sz w:val="18"/>
                <w:szCs w:val="18"/>
              </w:rPr>
            </w:pPr>
            <w:r w:rsidRPr="00A76D60">
              <w:rPr>
                <w:rFonts w:ascii="Arial" w:hAnsi="Arial" w:cs="Arial"/>
                <w:sz w:val="18"/>
                <w:szCs w:val="18"/>
                <w:u w:val="single"/>
              </w:rPr>
              <w:lastRenderedPageBreak/>
              <w:t>1)Působnost MŽP:</w:t>
            </w:r>
            <w:r w:rsidRPr="00A76D60">
              <w:rPr>
                <w:rFonts w:ascii="Arial" w:hAnsi="Arial" w:cs="Arial"/>
                <w:sz w:val="18"/>
                <w:szCs w:val="18"/>
              </w:rPr>
              <w:t xml:space="preserve"> </w:t>
            </w:r>
            <w:r w:rsidRPr="00A76D60">
              <w:rPr>
                <w:rFonts w:ascii="Arial" w:hAnsi="Arial" w:cs="Arial"/>
                <w:bCs/>
                <w:color w:val="000000"/>
                <w:sz w:val="18"/>
                <w:szCs w:val="18"/>
              </w:rPr>
              <w:t xml:space="preserve">MŽP je ústředním správním úřadem v oblasti posuzování vlivů na </w:t>
            </w:r>
            <w:r w:rsidRPr="00A76D60">
              <w:rPr>
                <w:rFonts w:ascii="Arial" w:hAnsi="Arial" w:cs="Arial"/>
                <w:bCs/>
                <w:color w:val="000000"/>
                <w:sz w:val="18"/>
                <w:szCs w:val="18"/>
              </w:rPr>
              <w:lastRenderedPageBreak/>
              <w:t>životní prostředí dle § 21 písm. a) a vykonává vrchní státní dozor v oblasti posuzování vlivů na životní prostředí dle § 21 písm. b) zákona č. 100/2001 Sb., o posuzování vlivů na životní prostředí, ve znění pozdějších předpisů. Na základě této skutečnosti MŽP metodicky vede všechny pracovníky provádějící směrnice EIA a SEA. MŽP koná pro pracovníky EIA a SEA pravidelné porady. Dále realizuje v součinnosti s MMR-NOK t i školení pro pracovníky řídících orgánů jednotlivých ministerstev.</w:t>
            </w:r>
            <w:r w:rsidRPr="00A76D60">
              <w:rPr>
                <w:rFonts w:ascii="Arial" w:hAnsi="Arial" w:cs="Arial"/>
                <w:sz w:val="18"/>
                <w:szCs w:val="18"/>
              </w:rPr>
              <w:t xml:space="preserve"> </w:t>
            </w:r>
          </w:p>
          <w:p w:rsidR="0083711E" w:rsidRPr="00A76D60" w:rsidRDefault="0083711E" w:rsidP="00C36EE6">
            <w:pPr>
              <w:pStyle w:val="DAVA"/>
              <w:spacing w:before="80" w:after="80"/>
              <w:rPr>
                <w:rFonts w:cs="Arial"/>
                <w:b/>
                <w:bCs/>
                <w:color w:val="000000"/>
                <w:sz w:val="18"/>
                <w:szCs w:val="18"/>
                <w:lang w:val="cs-CZ" w:eastAsia="cs-CZ"/>
              </w:rPr>
            </w:pPr>
            <w:r w:rsidRPr="00A76D60">
              <w:rPr>
                <w:rFonts w:cs="Arial"/>
                <w:bCs/>
                <w:color w:val="000000"/>
                <w:sz w:val="18"/>
                <w:szCs w:val="18"/>
                <w:lang w:val="cs-CZ" w:eastAsia="cs-CZ"/>
              </w:rPr>
              <w:t xml:space="preserve">Informace z oblasti EIA a SEA jsou pro všechny pracovníky šířeny prostřednictvím informačního systému a vydáváním metodických pokynů. Krajští úředníci pravidelně využívají také možnosti individuální konzultace. Stejně tak MŽP kontaktuje pracovníky na krajských úřadech a konzultuje s nimi aktuální otázky v procesu EIA či SEA. </w:t>
            </w:r>
            <w:r w:rsidRPr="00A76D60">
              <w:rPr>
                <w:rFonts w:cs="Arial"/>
                <w:b/>
                <w:bCs/>
                <w:color w:val="000000"/>
                <w:sz w:val="18"/>
                <w:szCs w:val="18"/>
                <w:lang w:val="cs-CZ" w:eastAsia="cs-CZ"/>
              </w:rPr>
              <w:t xml:space="preserve"> </w:t>
            </w:r>
          </w:p>
          <w:p w:rsidR="0083711E" w:rsidRPr="00A76D60" w:rsidRDefault="0083711E" w:rsidP="00C36EE6">
            <w:pPr>
              <w:pStyle w:val="DAVA"/>
              <w:spacing w:before="80" w:after="80"/>
              <w:rPr>
                <w:rFonts w:cs="Arial"/>
                <w:bCs/>
                <w:color w:val="000000"/>
                <w:sz w:val="18"/>
                <w:szCs w:val="18"/>
                <w:lang w:val="cs-CZ" w:eastAsia="cs-CZ"/>
              </w:rPr>
            </w:pPr>
            <w:r w:rsidRPr="00A76D60">
              <w:rPr>
                <w:rFonts w:cs="Arial"/>
                <w:bCs/>
                <w:color w:val="000000"/>
                <w:sz w:val="18"/>
                <w:szCs w:val="18"/>
                <w:lang w:val="cs-CZ" w:eastAsia="cs-CZ"/>
              </w:rPr>
              <w:t xml:space="preserve">Všichni pracovníci provádějící směrnice EIA a SEA jsou kvalifikováni rovněž k provádění poradenství v oblasti EIA a SEA. Krajští úředníci vykonávající činnost příslušného úřadu ve smyslu § 22 písm. b) zákona č. 100/2001 Sb., o posuzování vlivů na životní prostředí, ve znění pozdějších předpisů, musí dle §21 zákona č. 312/2001 Sb., o úřednících územních samosprávných celků, ve znění pozdějších předpisů, prokázat zvláštní odbornou způsobilost v oblasti posuzování vlivů na životní prostředí. Zvláštní odborná způsobilost se ověřuje zkouškou a prokazuje osvědčením. Pracovníci MŽP absolvují vstupní vzdělávání úvodní a vstupní vzdělávání následné dle usnesení vlády ČR ze dne 30. listopadu 2005 č. 1542. Dále jsou zaměstnanci MŽP průběžně vzděláváni po odborné stránce. </w:t>
            </w:r>
          </w:p>
          <w:p w:rsidR="007D6A91" w:rsidRDefault="0083711E" w:rsidP="007D6A91">
            <w:pPr>
              <w:pStyle w:val="DAVA"/>
              <w:spacing w:before="80" w:after="80"/>
              <w:rPr>
                <w:rFonts w:ascii="Cambria" w:hAnsi="Cambria" w:cs="Calibri"/>
                <w:sz w:val="20"/>
                <w:lang w:val="cs-CZ"/>
              </w:rPr>
            </w:pPr>
            <w:r w:rsidRPr="00A76D60">
              <w:rPr>
                <w:rFonts w:cs="Arial"/>
                <w:bCs/>
                <w:color w:val="000000"/>
                <w:sz w:val="18"/>
                <w:szCs w:val="18"/>
              </w:rPr>
              <w:t xml:space="preserve">Součástí vzdělávání pracovníků podílejících se na implementaci směrnice EIA jsou rovněž informace o aktuálním stavu </w:t>
            </w:r>
            <w:proofErr w:type="spellStart"/>
            <w:r w:rsidRPr="00A76D60">
              <w:rPr>
                <w:rFonts w:cs="Arial"/>
                <w:bCs/>
                <w:color w:val="000000"/>
                <w:sz w:val="18"/>
                <w:szCs w:val="18"/>
              </w:rPr>
              <w:t>infringementového</w:t>
            </w:r>
            <w:proofErr w:type="spellEnd"/>
            <w:r w:rsidRPr="00A76D60">
              <w:rPr>
                <w:rFonts w:cs="Arial"/>
                <w:bCs/>
                <w:color w:val="000000"/>
                <w:sz w:val="18"/>
                <w:szCs w:val="18"/>
              </w:rPr>
              <w:t xml:space="preserve"> řízení a o nové právní úprav</w:t>
            </w:r>
            <w:r w:rsidR="00F571E7">
              <w:rPr>
                <w:rFonts w:cs="Arial"/>
                <w:bCs/>
                <w:color w:val="000000"/>
                <w:sz w:val="18"/>
                <w:szCs w:val="18"/>
                <w:lang w:val="cs-CZ"/>
              </w:rPr>
              <w:t>ě</w:t>
            </w:r>
            <w:r w:rsidRPr="00A76D60">
              <w:rPr>
                <w:rFonts w:cs="Arial"/>
                <w:bCs/>
                <w:color w:val="000000"/>
                <w:sz w:val="18"/>
                <w:szCs w:val="18"/>
              </w:rPr>
              <w:t xml:space="preserve"> v oblasti EIA, a to včetně konkrétních aspektů </w:t>
            </w:r>
            <w:r w:rsidR="00F571E7">
              <w:rPr>
                <w:rFonts w:cs="Arial"/>
                <w:bCs/>
                <w:color w:val="000000"/>
                <w:sz w:val="18"/>
                <w:szCs w:val="18"/>
                <w:lang w:val="cs-CZ"/>
              </w:rPr>
              <w:t xml:space="preserve">přijaté novely </w:t>
            </w:r>
            <w:r w:rsidR="00F571E7" w:rsidRPr="001C0200">
              <w:rPr>
                <w:rFonts w:cs="Arial"/>
                <w:bCs/>
                <w:color w:val="000000"/>
                <w:sz w:val="18"/>
                <w:szCs w:val="18"/>
                <w:lang w:val="cs-CZ"/>
              </w:rPr>
              <w:t>(zákon č. 39/2015 Sb.)</w:t>
            </w:r>
            <w:r w:rsidRPr="00A76D60">
              <w:rPr>
                <w:rFonts w:cs="Arial"/>
                <w:bCs/>
                <w:color w:val="000000"/>
                <w:sz w:val="18"/>
                <w:szCs w:val="18"/>
              </w:rPr>
              <w:t>a jejich budoucího uplatňování v praxi.</w:t>
            </w:r>
            <w:r w:rsidR="00F571E7">
              <w:rPr>
                <w:rFonts w:cs="Arial"/>
                <w:bCs/>
                <w:color w:val="000000"/>
                <w:sz w:val="18"/>
                <w:szCs w:val="18"/>
                <w:lang w:val="cs-CZ"/>
              </w:rPr>
              <w:t xml:space="preserve"> </w:t>
            </w:r>
            <w:r w:rsidR="00F571E7" w:rsidRPr="00A6689E">
              <w:rPr>
                <w:rFonts w:cs="Arial"/>
                <w:bCs/>
                <w:color w:val="000000"/>
                <w:sz w:val="18"/>
                <w:szCs w:val="18"/>
              </w:rPr>
              <w:t xml:space="preserve">MŽP jakožto ústřední správní úřad v oblasti posuzování vlivů na životní prostředí v rámci metodického vedení všech pracovníků podílejících se na implementaci směrnice EIA průběžně realizuje jak školení pro své pracovníky, tak porady se zástupci krajských úřadů, jež zajišťují posuzování zákonem stanovených záměrů, za účelem bezchybné a uniformní aplikace nových ustanovení zákona č. 100/2001 Sb., </w:t>
            </w:r>
            <w:r w:rsidR="00F571E7" w:rsidRPr="00A6689E">
              <w:rPr>
                <w:rFonts w:cs="Arial"/>
                <w:sz w:val="18"/>
                <w:szCs w:val="18"/>
              </w:rPr>
              <w:t>o posuzování vlivů na životní prostředí</w:t>
            </w:r>
            <w:r w:rsidR="007D6A91">
              <w:rPr>
                <w:rFonts w:cs="Arial"/>
                <w:sz w:val="18"/>
                <w:szCs w:val="18"/>
                <w:lang w:val="cs-CZ"/>
              </w:rPr>
              <w:t xml:space="preserve">. </w:t>
            </w:r>
          </w:p>
          <w:p w:rsidR="0083711E" w:rsidRPr="007D6A91" w:rsidRDefault="0083711E" w:rsidP="00C36EE6">
            <w:pPr>
              <w:pStyle w:val="DAVA"/>
              <w:spacing w:before="80" w:after="80"/>
              <w:rPr>
                <w:rFonts w:cs="Arial"/>
                <w:color w:val="000000"/>
                <w:sz w:val="18"/>
                <w:szCs w:val="18"/>
                <w:lang w:val="cs-CZ"/>
              </w:rPr>
            </w:pPr>
          </w:p>
          <w:p w:rsidR="0083711E" w:rsidRPr="00A76D60" w:rsidRDefault="0083711E" w:rsidP="00C36EE6">
            <w:pPr>
              <w:pStyle w:val="DAVA"/>
              <w:spacing w:before="80" w:after="80"/>
              <w:rPr>
                <w:rFonts w:cs="Arial"/>
                <w:sz w:val="18"/>
                <w:szCs w:val="18"/>
                <w:lang w:val="cs-CZ" w:eastAsia="cs-CZ"/>
              </w:rPr>
            </w:pPr>
            <w:r w:rsidRPr="00A76D60">
              <w:rPr>
                <w:rFonts w:cs="Arial"/>
                <w:color w:val="000000"/>
                <w:sz w:val="18"/>
                <w:szCs w:val="18"/>
                <w:lang w:val="cs-CZ" w:eastAsia="cs-CZ"/>
              </w:rPr>
              <w:t>2) Působnost MMR: MMR-NOK zajišťuje na horizontální úrovni proškolení zaměstnanců implementujících fondy EU v rámci Systému vzdělávání, MŽP zajišťuje obsahovou náplň vzdělávání a lektorské zajištění.</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Oblast vzdělávání je součástí Metodického pokynu k rozvoji lidských zdrojů v </w:t>
            </w:r>
            <w:r w:rsidRPr="00A76D60">
              <w:rPr>
                <w:rFonts w:ascii="Arial" w:hAnsi="Arial" w:cs="Arial"/>
                <w:sz w:val="18"/>
                <w:szCs w:val="18"/>
                <w:lang w:val="cs-CZ" w:eastAsia="cs-CZ"/>
              </w:rPr>
              <w:lastRenderedPageBreak/>
              <w:t xml:space="preserve">programovém období 2014-2020 a v programovém období 2007-2013 (UV ČR ze dne 16. června 2014 č. 444).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Obecným cílem Metodického pokynu je nastavení jednotných požadavků na zajištění kvalitní administrativní kapacity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podílející se na realizaci cílů Dohody o partnerství a jednotlivých činností při implementaci programů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 jedním ze specifických cílů Metodického pokynu je vytvoření systému vzdělávání zaměstnanců, kteří se podílejí na implementaci fondů EU tak,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aby odpovídal jejich potřebám na pracovních pozicích, popsaných v řídicích dokumentech programů, řízení a koordinace </w:t>
            </w:r>
            <w:proofErr w:type="spellStart"/>
            <w:r w:rsidRPr="00A76D60">
              <w:rPr>
                <w:rFonts w:ascii="Arial" w:hAnsi="Arial" w:cs="Arial"/>
                <w:sz w:val="18"/>
                <w:szCs w:val="18"/>
                <w:lang w:val="cs-CZ" w:eastAsia="cs-CZ"/>
              </w:rPr>
              <w:t>DoP</w:t>
            </w:r>
            <w:proofErr w:type="spellEnd"/>
            <w:r w:rsidRPr="00A76D60">
              <w:rPr>
                <w:rFonts w:ascii="Arial" w:hAnsi="Arial" w:cs="Arial"/>
                <w:sz w:val="18"/>
                <w:szCs w:val="18"/>
                <w:lang w:val="cs-CZ" w:eastAsia="cs-CZ"/>
              </w:rPr>
              <w:t xml:space="preserve">,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 zajistil podmínky pro prosazování principu transparentnosti a protikorupčního jednání. Vzdělávání zajišťuje podmínky pro stabilizaci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a motivaci zaměstnanců implementační struktury v návaznosti na potřeby jejich odborného růstu a zvyšování znalostí a dovedností.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 xml:space="preserve">Nabídka vzdělávacích aktivit se odvíjí od cílů jednotlivých programů a individuálních vzdělávacích plánů vytvářených při hodnocení zaměstnanců. </w:t>
            </w:r>
          </w:p>
          <w:p w:rsidR="0083711E" w:rsidRPr="00A76D60" w:rsidRDefault="0083711E" w:rsidP="00C36EE6">
            <w:pPr>
              <w:pStyle w:val="Prosttext"/>
              <w:spacing w:before="80" w:after="80"/>
              <w:rPr>
                <w:rFonts w:ascii="Arial" w:hAnsi="Arial" w:cs="Arial"/>
                <w:sz w:val="18"/>
                <w:szCs w:val="18"/>
                <w:lang w:val="cs-CZ" w:eastAsia="cs-CZ"/>
              </w:rPr>
            </w:pPr>
            <w:r w:rsidRPr="00A76D60">
              <w:rPr>
                <w:rFonts w:ascii="Arial" w:hAnsi="Arial" w:cs="Arial"/>
                <w:sz w:val="18"/>
                <w:szCs w:val="18"/>
                <w:lang w:val="cs-CZ" w:eastAsia="cs-CZ"/>
              </w:rPr>
              <w:t>Termíny vzdělávacích akcí jsou zveřejněny na</w:t>
            </w:r>
            <w:r w:rsidR="00DE60E4" w:rsidRPr="00A76D60">
              <w:rPr>
                <w:rFonts w:ascii="Arial" w:hAnsi="Arial" w:cs="Arial"/>
                <w:sz w:val="18"/>
                <w:szCs w:val="18"/>
                <w:lang w:val="cs-CZ" w:eastAsia="cs-CZ"/>
              </w:rPr>
              <w:t xml:space="preserve"> webových stránkách Systému vzdělávání</w:t>
            </w:r>
            <w:r w:rsidRPr="00A76D60">
              <w:rPr>
                <w:rFonts w:ascii="Arial" w:hAnsi="Arial" w:cs="Arial"/>
                <w:sz w:val="18"/>
                <w:szCs w:val="18"/>
                <w:lang w:val="cs-CZ" w:eastAsia="cs-CZ"/>
              </w:rPr>
              <w:t>.</w:t>
            </w:r>
            <w:r w:rsidR="00DE60E4">
              <w:rPr>
                <w:rFonts w:ascii="Arial" w:hAnsi="Arial" w:cs="Arial"/>
                <w:sz w:val="18"/>
                <w:szCs w:val="18"/>
                <w:lang w:val="cs-CZ" w:eastAsia="cs-CZ"/>
              </w:rPr>
              <w:t xml:space="preserve">  </w:t>
            </w:r>
          </w:p>
          <w:p w:rsidR="0083711E" w:rsidRPr="00D2490A" w:rsidRDefault="0083711E" w:rsidP="00D2490A">
            <w:pPr>
              <w:pStyle w:val="Prosttext"/>
              <w:jc w:val="both"/>
              <w:rPr>
                <w:rFonts w:ascii="Cambria" w:hAnsi="Cambria"/>
                <w:bCs/>
                <w:color w:val="000000"/>
                <w:sz w:val="20"/>
                <w:lang w:val="cs-CZ" w:eastAsia="cs-CZ"/>
              </w:rPr>
            </w:pPr>
            <w:r w:rsidRPr="00A76D60">
              <w:rPr>
                <w:rFonts w:ascii="Arial" w:hAnsi="Arial" w:cs="Arial"/>
                <w:sz w:val="18"/>
                <w:szCs w:val="18"/>
                <w:lang w:val="cs-CZ" w:eastAsia="cs-CZ"/>
              </w:rPr>
              <w:t xml:space="preserve">Vzdělávací akce jsou průběžně vyhodnocovány na základě zpětné vazby účastníků získávané prostřednictvím hodnotících dotazníků (s cílem optimalizovat efektivitu). Prezentace ze vzdělávacích akcí jsou účastníkům dále k dispozici v e-knihovně na </w:t>
            </w:r>
            <w:r w:rsidR="00AE7528" w:rsidRPr="00680674">
              <w:rPr>
                <w:rFonts w:ascii="Cambria" w:hAnsi="Cambria"/>
                <w:bCs/>
                <w:color w:val="000000"/>
                <w:sz w:val="20"/>
                <w:lang w:val="cs-CZ" w:eastAsia="cs-CZ"/>
              </w:rPr>
              <w:t xml:space="preserve"> </w:t>
            </w:r>
            <w:r w:rsidRPr="00A76D60">
              <w:rPr>
                <w:rFonts w:ascii="Arial" w:hAnsi="Arial" w:cs="Arial"/>
                <w:sz w:val="18"/>
                <w:szCs w:val="18"/>
                <w:lang w:val="cs-CZ" w:eastAsia="cs-CZ"/>
              </w:rPr>
              <w:t>webových stránkách Systému vzdělávání.</w:t>
            </w:r>
          </w:p>
          <w:p w:rsidR="0083711E" w:rsidRPr="00A76D60" w:rsidRDefault="0083711E" w:rsidP="00C36EE6">
            <w:pPr>
              <w:pStyle w:val="DAVA"/>
              <w:spacing w:before="80" w:after="80"/>
              <w:rPr>
                <w:rFonts w:cs="Arial"/>
                <w:color w:val="000000"/>
                <w:sz w:val="18"/>
                <w:szCs w:val="18"/>
                <w:lang w:val="cs-CZ" w:eastAsia="cs-CZ"/>
              </w:rPr>
            </w:pPr>
            <w:r w:rsidRPr="00A76D60">
              <w:rPr>
                <w:rFonts w:cs="Arial"/>
                <w:sz w:val="18"/>
                <w:szCs w:val="18"/>
                <w:lang w:val="cs-CZ" w:eastAsia="cs-CZ"/>
              </w:rPr>
              <w:t>Realizace Systému vzdělávání probíhá na základě spolupráce MMR-NOK se zástupci (koordinátory vzdělávání) jednotlivých subjektů implementace, kteří 2x ročně zasílají MMR-NOK své požadavky na zajištění vzdělávacích akcí v rámci Systému vzdělávání a veškeré záležitosti Systému vzdělávání pro programové období 2014-2020 budou projednávány na Pracovní skupině Administrativní kapacita (pro programové období 2007-2013 to byla PS Vzdělávání pro NSRR).</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Opatření k zajištění dostatečné správní kapacity</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iCs/>
                <w:sz w:val="18"/>
                <w:szCs w:val="18"/>
                <w:lang w:val="cs-CZ" w:eastAsia="cs-CZ"/>
              </w:rPr>
              <w:t>ano</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rPr>
            </w:pPr>
            <w:r w:rsidRPr="00A76D60">
              <w:rPr>
                <w:rFonts w:cs="Arial"/>
                <w:sz w:val="18"/>
                <w:szCs w:val="18"/>
              </w:rPr>
              <w:t>§21 a 22 zákona č. 100/2001 Sb., o posuzování vlivů na životní prostředí</w:t>
            </w:r>
          </w:p>
          <w:p w:rsidR="0083711E" w:rsidRPr="00A76D60" w:rsidRDefault="0083711E" w:rsidP="00C36EE6">
            <w:pPr>
              <w:pStyle w:val="DAVA"/>
              <w:spacing w:before="80" w:after="80"/>
              <w:rPr>
                <w:rFonts w:cs="Arial"/>
                <w:sz w:val="18"/>
                <w:szCs w:val="18"/>
              </w:rPr>
            </w:pPr>
            <w:r w:rsidRPr="00A76D60">
              <w:rPr>
                <w:rFonts w:cs="Arial"/>
                <w:sz w:val="18"/>
                <w:szCs w:val="18"/>
              </w:rPr>
              <w:lastRenderedPageBreak/>
              <w:t>§21 zákona č. 312/2002 Sb., o úřednících územních samosprávných celků</w:t>
            </w:r>
          </w:p>
          <w:p w:rsidR="0083711E" w:rsidRPr="00A76D60" w:rsidRDefault="0083711E" w:rsidP="00C36EE6">
            <w:pPr>
              <w:pStyle w:val="DAVA"/>
              <w:spacing w:before="80" w:after="80"/>
              <w:rPr>
                <w:rFonts w:cs="Arial"/>
                <w:sz w:val="18"/>
                <w:szCs w:val="18"/>
              </w:rPr>
            </w:pPr>
            <w:r w:rsidRPr="00A76D60">
              <w:rPr>
                <w:rFonts w:cs="Arial"/>
                <w:sz w:val="18"/>
                <w:szCs w:val="18"/>
              </w:rPr>
              <w:t>Usnesení Vlády ČR ze dne 30. listopadu 2005 č. 1542</w:t>
            </w:r>
          </w:p>
          <w:p w:rsidR="0083711E" w:rsidRPr="00A76D60" w:rsidRDefault="0083711E" w:rsidP="00C36EE6">
            <w:pPr>
              <w:pStyle w:val="DAVA"/>
              <w:spacing w:before="80" w:after="80"/>
              <w:rPr>
                <w:rFonts w:cs="Arial"/>
                <w:sz w:val="18"/>
                <w:szCs w:val="18"/>
              </w:rPr>
            </w:pPr>
            <w:r w:rsidRPr="00A76D60">
              <w:rPr>
                <w:rFonts w:cs="Arial"/>
                <w:sz w:val="18"/>
                <w:szCs w:val="18"/>
              </w:rPr>
              <w:t>Zákon č. 111/2009 Sb., o základních registrech</w:t>
            </w:r>
          </w:p>
          <w:p w:rsidR="0083711E" w:rsidRPr="00A76D60" w:rsidRDefault="00400236" w:rsidP="00C36EE6">
            <w:pPr>
              <w:pStyle w:val="DAVA"/>
              <w:spacing w:before="80" w:after="80"/>
              <w:rPr>
                <w:rFonts w:cs="Arial"/>
                <w:sz w:val="18"/>
                <w:szCs w:val="18"/>
              </w:rPr>
            </w:pPr>
            <w:hyperlink r:id="rId110" w:history="1">
              <w:r w:rsidR="0083711E" w:rsidRPr="00A76D60">
                <w:rPr>
                  <w:rStyle w:val="Hypertextovodkaz"/>
                  <w:rFonts w:cs="Arial"/>
                  <w:sz w:val="18"/>
                  <w:szCs w:val="18"/>
                </w:rPr>
                <w:t>http://www.mzp.cz/cz/posuzovani_vlivu_zivotni_prostredi</w:t>
              </w:r>
            </w:hyperlink>
            <w:r w:rsidR="0083711E" w:rsidRPr="00A76D60">
              <w:rPr>
                <w:rFonts w:cs="Arial"/>
                <w:sz w:val="18"/>
                <w:szCs w:val="18"/>
              </w:rPr>
              <w:t xml:space="preserve"> </w:t>
            </w:r>
          </w:p>
          <w:p w:rsidR="0083711E" w:rsidRPr="00A76D60" w:rsidRDefault="00400236" w:rsidP="00C36EE6">
            <w:pPr>
              <w:pStyle w:val="DAVA"/>
              <w:spacing w:before="80" w:after="80"/>
              <w:rPr>
                <w:rFonts w:cs="Arial"/>
                <w:sz w:val="18"/>
                <w:szCs w:val="18"/>
              </w:rPr>
            </w:pPr>
            <w:hyperlink r:id="rId111" w:history="1">
              <w:r w:rsidR="0083711E" w:rsidRPr="00A76D60">
                <w:rPr>
                  <w:rStyle w:val="Hypertextovodkaz"/>
                  <w:rFonts w:cs="Arial"/>
                  <w:sz w:val="18"/>
                  <w:szCs w:val="18"/>
                </w:rPr>
                <w:t>http://portal.cenia.cz/eiasea/view/eia100_cr</w:t>
              </w:r>
            </w:hyperlink>
            <w:r w:rsidR="0083711E" w:rsidRPr="00A76D60">
              <w:rPr>
                <w:rFonts w:cs="Arial"/>
                <w:sz w:val="18"/>
                <w:szCs w:val="18"/>
              </w:rPr>
              <w:t xml:space="preserve"> (+ záložka legislativa, pokyny a sdělení atd.)</w:t>
            </w:r>
          </w:p>
          <w:p w:rsidR="0083711E" w:rsidRPr="00A76D60" w:rsidRDefault="00400236" w:rsidP="00C36EE6">
            <w:pPr>
              <w:pStyle w:val="DAVA"/>
              <w:spacing w:before="80" w:after="80"/>
              <w:rPr>
                <w:rFonts w:cs="Arial"/>
                <w:sz w:val="18"/>
                <w:szCs w:val="18"/>
              </w:rPr>
            </w:pPr>
            <w:hyperlink r:id="rId112" w:history="1">
              <w:r w:rsidR="0083711E" w:rsidRPr="00A76D60">
                <w:rPr>
                  <w:rStyle w:val="Hypertextovodkaz"/>
                  <w:rFonts w:cs="Arial"/>
                  <w:sz w:val="18"/>
                  <w:szCs w:val="18"/>
                </w:rPr>
                <w:t>http://portal.cenia.cz/eiasea/view/SEA100_koncepce</w:t>
              </w:r>
            </w:hyperlink>
            <w:r w:rsidR="0083711E" w:rsidRPr="00A76D60">
              <w:rPr>
                <w:rFonts w:cs="Arial"/>
                <w:sz w:val="18"/>
                <w:szCs w:val="18"/>
              </w:rPr>
              <w:t xml:space="preserve"> (+ záložka legislativa, pokyny a sdělení</w:t>
            </w:r>
          </w:p>
          <w:p w:rsidR="0083711E" w:rsidRPr="00A76D60" w:rsidRDefault="0083711E" w:rsidP="00C36EE6">
            <w:pPr>
              <w:pStyle w:val="DAVA"/>
              <w:spacing w:before="80" w:after="80"/>
              <w:rPr>
                <w:rFonts w:cs="Arial"/>
                <w:sz w:val="18"/>
                <w:szCs w:val="18"/>
                <w:lang w:val="cs-CZ" w:eastAsia="cs-CZ"/>
              </w:rPr>
            </w:pPr>
            <w:r w:rsidRPr="00A76D60">
              <w:rPr>
                <w:rStyle w:val="Hypertextovodkaz"/>
                <w:sz w:val="18"/>
                <w:szCs w:val="18"/>
              </w:rPr>
              <w:t>http://portal.cenia.cz/eiasea/osoby/osoby</w:t>
            </w: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bCs/>
                <w:color w:val="000000"/>
                <w:sz w:val="18"/>
                <w:szCs w:val="18"/>
                <w:lang w:val="cs-CZ" w:eastAsia="cs-CZ"/>
              </w:rPr>
            </w:pPr>
            <w:r w:rsidRPr="00A76D60">
              <w:rPr>
                <w:rFonts w:cs="Arial"/>
                <w:bCs/>
                <w:color w:val="000000"/>
                <w:sz w:val="18"/>
                <w:szCs w:val="18"/>
                <w:lang w:val="cs-CZ" w:eastAsia="cs-CZ"/>
              </w:rPr>
              <w:lastRenderedPageBreak/>
              <w:t xml:space="preserve">Všichni úředníci zajišťující provádění směrnice EIA a SEA mají složenou zkoušku odborné způsobilosti či prošli vstupním vzděláním úvodním a vstupním vzděláním následným – viz přehled v předchozím bodě. </w:t>
            </w:r>
          </w:p>
          <w:p w:rsidR="0083711E" w:rsidRPr="00A76D60" w:rsidRDefault="0083711E" w:rsidP="00C36EE6">
            <w:pPr>
              <w:pStyle w:val="DAVA"/>
              <w:spacing w:before="80" w:after="80"/>
              <w:rPr>
                <w:rFonts w:cs="Arial"/>
                <w:bCs/>
                <w:color w:val="000000"/>
                <w:sz w:val="18"/>
                <w:szCs w:val="18"/>
                <w:lang w:val="cs-CZ" w:eastAsia="cs-CZ"/>
              </w:rPr>
            </w:pPr>
            <w:r w:rsidRPr="00A76D60">
              <w:rPr>
                <w:rFonts w:cs="Arial"/>
                <w:bCs/>
                <w:color w:val="000000"/>
                <w:sz w:val="18"/>
                <w:szCs w:val="18"/>
                <w:lang w:val="cs-CZ" w:eastAsia="cs-CZ"/>
              </w:rPr>
              <w:t xml:space="preserve">Počet úředníků zajišťující provádění směrnice EIA a SEA na MŽP a krajských úřadech je </w:t>
            </w:r>
            <w:r w:rsidRPr="00A76D60">
              <w:rPr>
                <w:rFonts w:cs="Arial"/>
                <w:bCs/>
                <w:color w:val="000000"/>
                <w:sz w:val="18"/>
                <w:szCs w:val="18"/>
                <w:lang w:val="cs-CZ" w:eastAsia="cs-CZ"/>
              </w:rPr>
              <w:lastRenderedPageBreak/>
              <w:t xml:space="preserve">vždy ustanoven na základě množství vykonávané agendy jednotlivými úřady tak, aby tato kapacita byla dostatečná. V souladu se zákonem č. 111/2009 Sb., o základních registrech, ve znění pozdějších předpisů, a dalšími souvisejícími právními předpisy vztahujícími se k problematice základních registrů byl zahájen proces zefektivnění veřejné správy, na základě kterého jsou nyní průběžně stanovovány dostatečné počty pracovníků pro výkon státní správy, tedy i počet úředníků zajišťující provádění směrnice EIA a SEA. </w:t>
            </w:r>
          </w:p>
          <w:p w:rsidR="0083711E" w:rsidRPr="00A76D60" w:rsidRDefault="0083711E" w:rsidP="00C36EE6">
            <w:pPr>
              <w:pStyle w:val="DAVA"/>
              <w:spacing w:before="80" w:after="80"/>
              <w:rPr>
                <w:rFonts w:cs="Arial"/>
                <w:bCs/>
                <w:color w:val="000000"/>
                <w:sz w:val="18"/>
                <w:szCs w:val="18"/>
              </w:rPr>
            </w:pPr>
            <w:r w:rsidRPr="00A76D60">
              <w:rPr>
                <w:rFonts w:cs="Arial"/>
                <w:bCs/>
                <w:color w:val="000000"/>
                <w:sz w:val="18"/>
                <w:szCs w:val="18"/>
              </w:rPr>
              <w:t>Počet úředníků zajišťujících provádění směrnice EIA a SEA odpovídá aktuálním požadavkům na správní kapacitu. Při změně podmínek je počet úředníků upraven tak, aby byla dostatečná správní kapacita vždy zajištěna. V případě, že v souvislosti s </w:t>
            </w:r>
            <w:proofErr w:type="spellStart"/>
            <w:r w:rsidRPr="00A76D60">
              <w:rPr>
                <w:rFonts w:cs="Arial"/>
                <w:bCs/>
                <w:color w:val="000000"/>
                <w:sz w:val="18"/>
                <w:szCs w:val="18"/>
              </w:rPr>
              <w:t>infringementovým</w:t>
            </w:r>
            <w:proofErr w:type="spellEnd"/>
            <w:r w:rsidRPr="00A76D60">
              <w:rPr>
                <w:rFonts w:cs="Arial"/>
                <w:bCs/>
                <w:color w:val="000000"/>
                <w:sz w:val="18"/>
                <w:szCs w:val="18"/>
              </w:rPr>
              <w:t xml:space="preserve"> řízením a s přijetím nové právní úpravy posuzování vlivů na životní prostředí dojde ke zvýšení vykonávané agendy, bude správní kapacita odpovídajícím způsobem navýšena.</w:t>
            </w:r>
          </w:p>
          <w:p w:rsidR="0083711E" w:rsidRPr="00A76D60" w:rsidRDefault="0083711E" w:rsidP="00C36EE6">
            <w:pPr>
              <w:pStyle w:val="DAVA"/>
              <w:spacing w:before="80" w:after="80"/>
              <w:rPr>
                <w:rFonts w:cs="Arial"/>
                <w:bCs/>
                <w:color w:val="000000"/>
                <w:sz w:val="18"/>
                <w:szCs w:val="18"/>
              </w:rPr>
            </w:pPr>
            <w:r w:rsidRPr="00A76D60">
              <w:rPr>
                <w:rFonts w:cs="Arial"/>
                <w:bCs/>
                <w:color w:val="000000"/>
                <w:sz w:val="18"/>
                <w:szCs w:val="18"/>
              </w:rPr>
              <w:t>Zajištění dostatečné a kvalifikované administrativní správní kapacity je stěžejní v oblasti implementace směrnice EIA/SEA, kde je řídícím orgánem MŽP. U ostatních řídících orgánů je nutné zajistit v této oblasti informovanost, což je zajištěno vzděláváním pro pracovníky implementující fondy EU, viz výše.</w:t>
            </w:r>
          </w:p>
          <w:p w:rsidR="0083711E" w:rsidRPr="00A76D60" w:rsidRDefault="0083711E" w:rsidP="00C36EE6">
            <w:pPr>
              <w:pStyle w:val="DAVA"/>
              <w:spacing w:before="80" w:after="80"/>
              <w:rPr>
                <w:rFonts w:cs="Arial"/>
                <w:color w:val="000000"/>
                <w:sz w:val="18"/>
                <w:szCs w:val="18"/>
                <w:lang w:val="cs-CZ" w:eastAsia="cs-CZ"/>
              </w:rPr>
            </w:pPr>
            <w:r w:rsidRPr="00A76D60">
              <w:rPr>
                <w:rFonts w:cs="Arial"/>
                <w:bCs/>
                <w:color w:val="000000"/>
                <w:sz w:val="18"/>
                <w:szCs w:val="18"/>
                <w:lang w:val="cs-CZ" w:eastAsia="cs-CZ"/>
              </w:rPr>
              <w:t xml:space="preserve">Technickou pomoc je pro všechny pracovníky provádějící směrnice EIA a SEA a fondy EU zajišťována prostřednictvím informačního systému a metodických pokynů </w:t>
            </w:r>
            <w:r w:rsidRPr="00A76D60">
              <w:rPr>
                <w:rFonts w:cs="Arial"/>
                <w:sz w:val="18"/>
                <w:szCs w:val="18"/>
              </w:rPr>
              <w:t>a dále pomocí systému autorizovaných expertů, jejichž seznam je rovněž součástí informačního systému</w:t>
            </w:r>
            <w:r w:rsidRPr="00A76D60">
              <w:rPr>
                <w:rFonts w:cs="Arial"/>
                <w:sz w:val="18"/>
                <w:szCs w:val="18"/>
                <w:lang w:eastAsia="cs-CZ"/>
              </w:rPr>
              <w:t>.</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23"/>
        </w:trPr>
        <w:tc>
          <w:tcPr>
            <w:tcW w:w="1134" w:type="dxa"/>
            <w:vMerge w:val="restart"/>
            <w:tcBorders>
              <w:top w:val="single" w:sz="4" w:space="0" w:color="auto"/>
              <w:left w:val="single" w:sz="4" w:space="0" w:color="auto"/>
              <w:right w:val="single" w:sz="4" w:space="0" w:color="auto"/>
            </w:tcBorders>
            <w:shd w:val="clear" w:color="auto" w:fill="FFFFFF"/>
          </w:tcPr>
          <w:p w:rsidR="0083711E" w:rsidRPr="000D2022" w:rsidRDefault="0083711E" w:rsidP="00C36EE6">
            <w:pPr>
              <w:spacing w:before="80" w:after="80"/>
              <w:rPr>
                <w:rFonts w:ascii="Arial" w:hAnsi="Arial" w:cs="Arial"/>
                <w:b/>
                <w:sz w:val="18"/>
                <w:szCs w:val="18"/>
              </w:rPr>
            </w:pPr>
            <w:r w:rsidRPr="000D2022">
              <w:rPr>
                <w:rFonts w:ascii="Arial" w:hAnsi="Arial" w:cs="Arial"/>
                <w:b/>
                <w:sz w:val="18"/>
                <w:szCs w:val="18"/>
              </w:rPr>
              <w:lastRenderedPageBreak/>
              <w:t>7 Existence statistického základu nezbytného k provádění hodnocení za účelem posouzení účinnosti a dopadu programů.</w:t>
            </w:r>
          </w:p>
          <w:p w:rsidR="0083711E" w:rsidRPr="00A76D60" w:rsidRDefault="0083711E" w:rsidP="00C36EE6">
            <w:pPr>
              <w:spacing w:before="80" w:after="80"/>
              <w:rPr>
                <w:rFonts w:ascii="Arial" w:hAnsi="Arial" w:cs="Arial"/>
                <w:b/>
                <w:sz w:val="18"/>
                <w:szCs w:val="18"/>
              </w:rPr>
            </w:pPr>
            <w:r w:rsidRPr="000D2022">
              <w:rPr>
                <w:rFonts w:ascii="Arial" w:hAnsi="Arial" w:cs="Arial"/>
                <w:b/>
                <w:color w:val="000000"/>
                <w:sz w:val="18"/>
                <w:szCs w:val="18"/>
              </w:rPr>
              <w:t xml:space="preserve">Existence systému ukazatele výsledků nezbytného pro výběr opatření, jež budou nejúčinněji přispívat k dosahování </w:t>
            </w:r>
            <w:r w:rsidRPr="000D2022">
              <w:rPr>
                <w:rFonts w:ascii="Arial" w:hAnsi="Arial" w:cs="Arial"/>
                <w:b/>
                <w:color w:val="000000"/>
                <w:sz w:val="18"/>
                <w:szCs w:val="18"/>
              </w:rPr>
              <w:lastRenderedPageBreak/>
              <w:t>požadovaných výsledků, k sledování pokroku při plnění cílů a k provedení posouzení dopadů.</w:t>
            </w:r>
          </w:p>
        </w:tc>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lastRenderedPageBreak/>
              <w:t>Uplatnitelnost bude dokladována v relevantních programech</w:t>
            </w:r>
          </w:p>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Uplatnitelnost bude dokladována v relevantních programech</w:t>
            </w:r>
          </w:p>
        </w:tc>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B6702E" w:rsidP="00C36EE6">
            <w:pPr>
              <w:pStyle w:val="DAVA"/>
              <w:spacing w:before="80" w:after="80"/>
              <w:rPr>
                <w:rFonts w:cs="Arial"/>
                <w:i/>
                <w:sz w:val="18"/>
                <w:szCs w:val="18"/>
                <w:lang w:val="cs-CZ" w:eastAsia="cs-CZ"/>
              </w:rPr>
            </w:pPr>
            <w:r>
              <w:rPr>
                <w:rFonts w:cs="Arial"/>
                <w:sz w:val="18"/>
                <w:szCs w:val="18"/>
                <w:lang w:val="cs-CZ" w:eastAsia="cs-CZ"/>
              </w:rPr>
              <w:t>částečně</w:t>
            </w:r>
          </w:p>
        </w:tc>
        <w:tc>
          <w:tcPr>
            <w:tcW w:w="1985" w:type="dxa"/>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0D2022">
              <w:rPr>
                <w:rFonts w:cs="Arial"/>
                <w:color w:val="000000"/>
                <w:sz w:val="18"/>
                <w:szCs w:val="18"/>
              </w:rPr>
              <w:t>Jsou vypracována opatření pro včasný sběr a agregaci statistických údajů,</w:t>
            </w:r>
            <w:r w:rsidRPr="00A76D60">
              <w:rPr>
                <w:rFonts w:cs="Arial"/>
                <w:color w:val="000000"/>
                <w:sz w:val="18"/>
                <w:szCs w:val="18"/>
              </w:rPr>
              <w:t xml:space="preserve"> která obsahují tyto prvky:</w:t>
            </w:r>
          </w:p>
          <w:p w:rsidR="0083711E" w:rsidRPr="00A76D60" w:rsidRDefault="0083711E" w:rsidP="0083711E">
            <w:pPr>
              <w:pStyle w:val="Odstavecseseznamem"/>
              <w:numPr>
                <w:ilvl w:val="0"/>
                <w:numId w:val="2"/>
              </w:numPr>
              <w:overflowPunct/>
              <w:autoSpaceDE/>
              <w:autoSpaceDN/>
              <w:adjustRightInd/>
              <w:spacing w:before="80" w:after="80" w:line="240" w:lineRule="auto"/>
              <w:ind w:left="355"/>
              <w:textAlignment w:val="auto"/>
              <w:rPr>
                <w:rFonts w:ascii="Arial" w:hAnsi="Arial" w:cs="Arial"/>
                <w:sz w:val="18"/>
                <w:szCs w:val="18"/>
              </w:rPr>
            </w:pPr>
            <w:r w:rsidRPr="00A76D60">
              <w:rPr>
                <w:rFonts w:ascii="Arial" w:hAnsi="Arial" w:cs="Arial"/>
                <w:bCs/>
                <w:sz w:val="18"/>
                <w:szCs w:val="18"/>
              </w:rPr>
              <w:t>určení zdrojů a mechanismů pro zajištění statistického ověřování,</w:t>
            </w:r>
          </w:p>
        </w:tc>
        <w:tc>
          <w:tcPr>
            <w:tcW w:w="850" w:type="dxa"/>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rsidR="0083711E" w:rsidRPr="00A76D60" w:rsidRDefault="00B6702E" w:rsidP="00C36EE6">
            <w:pPr>
              <w:pStyle w:val="DAVA"/>
              <w:spacing w:before="80" w:after="80"/>
              <w:rPr>
                <w:rFonts w:cs="Arial"/>
                <w:sz w:val="18"/>
                <w:szCs w:val="18"/>
                <w:lang w:val="cs-CZ" w:eastAsia="cs-CZ"/>
              </w:rPr>
            </w:pPr>
            <w:r>
              <w:rPr>
                <w:rFonts w:cs="Arial"/>
                <w:sz w:val="18"/>
                <w:szCs w:val="18"/>
                <w:lang w:val="cs-CZ" w:eastAsia="cs-CZ"/>
              </w:rPr>
              <w:t>částečně</w:t>
            </w:r>
            <w:r w:rsidRPr="00A76D60">
              <w:rPr>
                <w:rFonts w:cs="Arial"/>
                <w:sz w:val="18"/>
                <w:szCs w:val="18"/>
                <w:lang w:val="cs-CZ" w:eastAsia="cs-CZ"/>
              </w:rPr>
              <w:t xml:space="preserve"> </w:t>
            </w:r>
          </w:p>
        </w:tc>
        <w:tc>
          <w:tcPr>
            <w:tcW w:w="1701" w:type="dxa"/>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rsidR="0083711E" w:rsidRPr="000D2022" w:rsidRDefault="0083711E" w:rsidP="00C36EE6">
            <w:pPr>
              <w:pStyle w:val="DAVA"/>
              <w:spacing w:before="80" w:after="80"/>
              <w:rPr>
                <w:rFonts w:cs="Arial"/>
                <w:sz w:val="18"/>
                <w:szCs w:val="18"/>
                <w:lang w:val="cs-CZ" w:eastAsia="cs-CZ"/>
              </w:rPr>
            </w:pPr>
          </w:p>
        </w:tc>
        <w:tc>
          <w:tcPr>
            <w:tcW w:w="7230" w:type="dxa"/>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rsidR="0083711E" w:rsidRPr="000D2022" w:rsidRDefault="0083711E" w:rsidP="00C36EE6">
            <w:pPr>
              <w:pStyle w:val="DAVA"/>
              <w:spacing w:before="80" w:after="80"/>
              <w:rPr>
                <w:rFonts w:cs="Arial"/>
                <w:sz w:val="18"/>
                <w:szCs w:val="18"/>
              </w:rPr>
            </w:pPr>
            <w:r w:rsidRPr="000D2022">
              <w:rPr>
                <w:rFonts w:cs="Arial"/>
                <w:sz w:val="18"/>
                <w:szCs w:val="18"/>
              </w:rPr>
              <w:t>V přípravě</w:t>
            </w:r>
          </w:p>
          <w:p w:rsidR="0083711E" w:rsidRPr="000D2022" w:rsidRDefault="0083711E" w:rsidP="00C36EE6">
            <w:pPr>
              <w:pStyle w:val="DAVA"/>
              <w:spacing w:before="80" w:after="80"/>
              <w:rPr>
                <w:rFonts w:cs="Arial"/>
                <w:sz w:val="18"/>
                <w:szCs w:val="18"/>
              </w:rPr>
            </w:pPr>
            <w:r w:rsidRPr="000D2022">
              <w:rPr>
                <w:rFonts w:cs="Arial"/>
                <w:sz w:val="18"/>
                <w:szCs w:val="18"/>
              </w:rPr>
              <w:t>Dne 9. srpna 2013 byl usnesením vlády č. 597 schválen závazný metodický pokyn určující pravidla pro tvorbu indikátorových soustav (MP indikátorů 2014-2020).</w:t>
            </w:r>
          </w:p>
          <w:p w:rsidR="0083711E" w:rsidRPr="000D2022" w:rsidRDefault="0083711E" w:rsidP="00C36EE6">
            <w:pPr>
              <w:pStyle w:val="DAVA"/>
              <w:spacing w:before="80" w:after="80"/>
              <w:rPr>
                <w:rFonts w:cs="Arial"/>
                <w:sz w:val="18"/>
                <w:szCs w:val="18"/>
              </w:rPr>
            </w:pPr>
            <w:r w:rsidRPr="000D2022">
              <w:rPr>
                <w:rFonts w:cs="Arial"/>
                <w:sz w:val="18"/>
                <w:szCs w:val="18"/>
              </w:rPr>
              <w:t xml:space="preserve">Připravováno technické řešení v rámci monitorovacího systému MS2014+. </w:t>
            </w:r>
          </w:p>
          <w:p w:rsidR="0083711E" w:rsidRPr="000D2022" w:rsidRDefault="0083711E" w:rsidP="00C36EE6">
            <w:pPr>
              <w:pStyle w:val="DAVA"/>
              <w:spacing w:before="80" w:after="80"/>
              <w:rPr>
                <w:rFonts w:cs="Arial"/>
                <w:sz w:val="18"/>
                <w:szCs w:val="18"/>
              </w:rPr>
            </w:pPr>
            <w:r w:rsidRPr="000D2022">
              <w:rPr>
                <w:rFonts w:cs="Arial"/>
                <w:sz w:val="18"/>
                <w:szCs w:val="18"/>
              </w:rPr>
              <w:t>V rámci přípravy indikátorové soustavy dochází k posuzování jednotlivých ukazatelů s ohledem na jejich relevanci, jednoznačnost a také dostupnost. Při přípravě probíhá spolupráce také s ex-ante hodnotiteli programů.</w:t>
            </w:r>
          </w:p>
          <w:p w:rsidR="0083711E" w:rsidRPr="000D2022" w:rsidRDefault="0083711E" w:rsidP="00C36EE6">
            <w:pPr>
              <w:pStyle w:val="DAVA"/>
              <w:spacing w:before="80" w:after="80"/>
              <w:rPr>
                <w:rFonts w:cs="Arial"/>
                <w:sz w:val="18"/>
                <w:szCs w:val="18"/>
                <w:lang w:val="cs-CZ"/>
              </w:rPr>
            </w:pPr>
            <w:r w:rsidRPr="000D2022">
              <w:rPr>
                <w:rFonts w:cs="Arial"/>
                <w:sz w:val="18"/>
                <w:szCs w:val="18"/>
              </w:rPr>
              <w:t>U relevantních výsledkových indikátorů, jejichž zdrojem jsou centrální statistiky, je nastavována spolupráce s Českým statistickým úřadem (ČSÚ) na pravidelné dodávání potřebných dat.</w:t>
            </w:r>
          </w:p>
          <w:p w:rsidR="009204DA" w:rsidRDefault="009204DA" w:rsidP="00B6702E">
            <w:pPr>
              <w:pStyle w:val="DAVA"/>
              <w:spacing w:before="80" w:after="80"/>
              <w:rPr>
                <w:rFonts w:cs="Arial"/>
                <w:sz w:val="18"/>
                <w:szCs w:val="18"/>
                <w:lang w:val="cs-CZ"/>
              </w:rPr>
            </w:pPr>
            <w:r w:rsidRPr="000D2022">
              <w:rPr>
                <w:rFonts w:cs="Arial"/>
                <w:sz w:val="18"/>
                <w:szCs w:val="18"/>
                <w:lang w:val="cs-CZ"/>
              </w:rPr>
              <w:t xml:space="preserve">ŘO OP PIK: </w:t>
            </w:r>
          </w:p>
          <w:p w:rsidR="000D2022" w:rsidRPr="000D2022" w:rsidRDefault="000D2022" w:rsidP="00B6702E">
            <w:pPr>
              <w:pStyle w:val="DAVA"/>
              <w:spacing w:before="80" w:after="80"/>
              <w:rPr>
                <w:rFonts w:cs="Arial"/>
                <w:color w:val="000000"/>
                <w:sz w:val="18"/>
                <w:szCs w:val="18"/>
                <w:lang w:val="cs-CZ" w:eastAsia="cs-CZ"/>
              </w:rPr>
            </w:pPr>
            <w:r w:rsidRPr="000D2022">
              <w:rPr>
                <w:sz w:val="18"/>
                <w:szCs w:val="18"/>
              </w:rPr>
              <w:t>V současné době má MPO uzavřenou rámcovou dohodu o spolupráci s ČSÚ, která se týká poskytování relevantních dat pro potřeby MPO.</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Odstavecseseznamem"/>
              <w:spacing w:before="80" w:after="80" w:line="240" w:lineRule="auto"/>
              <w:ind w:left="0"/>
              <w:contextualSpacing w:val="0"/>
              <w:rPr>
                <w:rFonts w:ascii="Arial" w:hAnsi="Arial" w:cs="Arial"/>
                <w:bCs/>
                <w:sz w:val="18"/>
                <w:szCs w:val="18"/>
              </w:rPr>
            </w:pPr>
            <w:r w:rsidRPr="00A76D60">
              <w:rPr>
                <w:rFonts w:ascii="Arial" w:hAnsi="Arial" w:cs="Arial"/>
                <w:bCs/>
                <w:sz w:val="18"/>
                <w:szCs w:val="18"/>
              </w:rPr>
              <w:t>Jsou vypracována opatření pro včasný sběr a agregaci statistických údajů, která obsahují tyto prvky:</w:t>
            </w:r>
          </w:p>
          <w:p w:rsidR="0083711E" w:rsidRPr="00A76D60" w:rsidRDefault="0083711E" w:rsidP="0083711E">
            <w:pPr>
              <w:pStyle w:val="Odstavecseseznamem"/>
              <w:numPr>
                <w:ilvl w:val="0"/>
                <w:numId w:val="2"/>
              </w:numPr>
              <w:overflowPunct/>
              <w:autoSpaceDE/>
              <w:autoSpaceDN/>
              <w:adjustRightInd/>
              <w:spacing w:before="80" w:after="80" w:line="240" w:lineRule="auto"/>
              <w:ind w:left="360"/>
              <w:contextualSpacing w:val="0"/>
              <w:textAlignment w:val="auto"/>
              <w:rPr>
                <w:rFonts w:ascii="Arial" w:hAnsi="Arial" w:cs="Arial"/>
                <w:bCs/>
                <w:sz w:val="18"/>
                <w:szCs w:val="18"/>
              </w:rPr>
            </w:pPr>
            <w:r w:rsidRPr="00A76D60">
              <w:rPr>
                <w:rFonts w:ascii="Arial" w:hAnsi="Arial" w:cs="Arial"/>
                <w:bCs/>
                <w:sz w:val="18"/>
                <w:szCs w:val="18"/>
              </w:rPr>
              <w:t>opatření pro zveřejňování a zpřístupňování souhrnných informací veřejnosti;</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ano</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Style w:val="Hypertextovodkaz"/>
                <w:sz w:val="18"/>
                <w:szCs w:val="18"/>
              </w:rPr>
            </w:pPr>
            <w:r w:rsidRPr="00A76D60">
              <w:rPr>
                <w:rStyle w:val="Hypertextovodkaz"/>
                <w:sz w:val="18"/>
                <w:szCs w:val="18"/>
              </w:rPr>
              <w:t>http://www.s-f.cz/cs/Fondy-EU/2014-2020/Metodicke-pokyny</w:t>
            </w:r>
          </w:p>
          <w:p w:rsidR="0083711E" w:rsidRPr="00A76D60" w:rsidRDefault="0083711E" w:rsidP="00C36EE6">
            <w:pPr>
              <w:pStyle w:val="DAVA"/>
              <w:spacing w:before="80" w:after="80"/>
              <w:rPr>
                <w:rFonts w:cs="Arial"/>
                <w:sz w:val="18"/>
                <w:szCs w:val="18"/>
                <w:lang w:val="cs-CZ" w:eastAsia="cs-CZ"/>
              </w:rPr>
            </w:pP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rPr>
            </w:pPr>
            <w:r w:rsidRPr="00A76D60">
              <w:rPr>
                <w:rFonts w:cs="Arial"/>
                <w:sz w:val="18"/>
                <w:szCs w:val="18"/>
              </w:rPr>
              <w:t>Z metodického hlediska splněno v podobě následujících závazných metodických pokynů:</w:t>
            </w:r>
          </w:p>
          <w:p w:rsidR="0083711E" w:rsidRPr="00A76D60" w:rsidRDefault="0083711E" w:rsidP="00C36EE6">
            <w:pPr>
              <w:pStyle w:val="DAVA"/>
              <w:spacing w:before="80" w:after="80"/>
              <w:rPr>
                <w:rFonts w:cs="Arial"/>
                <w:sz w:val="18"/>
                <w:szCs w:val="18"/>
              </w:rPr>
            </w:pPr>
            <w:r w:rsidRPr="00A76D60">
              <w:rPr>
                <w:rFonts w:cs="Arial"/>
                <w:sz w:val="18"/>
                <w:szCs w:val="18"/>
              </w:rPr>
              <w:t>MP evaluace (schválen ÚV 597/2013), kde je zapracován požadavek na povinné zveřejňování všech evaluačních výstupů.</w:t>
            </w:r>
          </w:p>
          <w:p w:rsidR="0083711E" w:rsidRPr="00A76D60" w:rsidRDefault="0083711E" w:rsidP="00C36EE6">
            <w:pPr>
              <w:pStyle w:val="DAVA"/>
              <w:spacing w:before="80" w:after="80"/>
              <w:rPr>
                <w:rFonts w:cs="Arial"/>
                <w:sz w:val="18"/>
                <w:szCs w:val="18"/>
              </w:rPr>
            </w:pPr>
            <w:r w:rsidRPr="00A76D60">
              <w:rPr>
                <w:rFonts w:cs="Arial"/>
                <w:sz w:val="18"/>
                <w:szCs w:val="18"/>
              </w:rPr>
              <w:t>MP monitorování (schválen), která definuje obsah a pravidelné zveřejňování zpráv o průběhu implementace</w:t>
            </w:r>
          </w:p>
          <w:p w:rsidR="0083711E" w:rsidRDefault="0083711E" w:rsidP="00C36EE6">
            <w:pPr>
              <w:pStyle w:val="DAVA"/>
              <w:spacing w:before="80" w:after="80"/>
              <w:rPr>
                <w:rFonts w:cs="Arial"/>
                <w:sz w:val="18"/>
                <w:szCs w:val="18"/>
                <w:lang w:val="cs-CZ"/>
              </w:rPr>
            </w:pPr>
            <w:r w:rsidRPr="00A76D60">
              <w:rPr>
                <w:rFonts w:cs="Arial"/>
                <w:sz w:val="18"/>
                <w:szCs w:val="18"/>
              </w:rPr>
              <w:t>MP publicita (schválen ÚV 44/2014), který definuje závazná pravidla pro tvorbu jednotného webu ESI fondů.</w:t>
            </w:r>
          </w:p>
          <w:p w:rsidR="0083711E" w:rsidRPr="00A76D60" w:rsidRDefault="0083711E" w:rsidP="00403BFF">
            <w:pPr>
              <w:pStyle w:val="DAVA"/>
              <w:spacing w:before="80" w:after="80"/>
              <w:rPr>
                <w:rFonts w:cs="Arial"/>
                <w:color w:val="000000"/>
                <w:sz w:val="18"/>
                <w:szCs w:val="18"/>
                <w:lang w:val="cs-CZ" w:eastAsia="cs-CZ"/>
              </w:rPr>
            </w:pP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95"/>
        </w:trPr>
        <w:tc>
          <w:tcPr>
            <w:tcW w:w="1134" w:type="dxa"/>
            <w:vMerge/>
            <w:tcBorders>
              <w:left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val="restart"/>
            <w:tcBorders>
              <w:top w:val="single" w:sz="4" w:space="0" w:color="auto"/>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sz w:val="18"/>
                <w:szCs w:val="18"/>
                <w:lang w:val="cs-CZ" w:eastAsia="cs-CZ"/>
              </w:rPr>
              <w:t>Účinný systém ukazatelů výsledků, včetně:</w:t>
            </w:r>
          </w:p>
          <w:p w:rsidR="0083711E" w:rsidRPr="00A76D60" w:rsidRDefault="0083711E" w:rsidP="0083711E">
            <w:pPr>
              <w:pStyle w:val="Odstavecseseznamem"/>
              <w:numPr>
                <w:ilvl w:val="0"/>
                <w:numId w:val="2"/>
              </w:numPr>
              <w:overflowPunct/>
              <w:autoSpaceDE/>
              <w:autoSpaceDN/>
              <w:adjustRightInd/>
              <w:spacing w:before="80" w:after="80" w:line="240" w:lineRule="auto"/>
              <w:ind w:left="355"/>
              <w:textAlignment w:val="auto"/>
              <w:rPr>
                <w:rFonts w:ascii="Arial" w:hAnsi="Arial" w:cs="Arial"/>
                <w:sz w:val="18"/>
                <w:szCs w:val="18"/>
              </w:rPr>
            </w:pPr>
            <w:r w:rsidRPr="00A76D60">
              <w:rPr>
                <w:rFonts w:ascii="Arial" w:hAnsi="Arial" w:cs="Arial"/>
                <w:bCs/>
                <w:sz w:val="18"/>
                <w:szCs w:val="18"/>
              </w:rPr>
              <w:t>výběru ukazatelů výsledků pro každý program, jež budou vypovídat o motivaci k výběru strategických kroků financovaných z programu,</w:t>
            </w:r>
          </w:p>
        </w:tc>
        <w:tc>
          <w:tcPr>
            <w:tcW w:w="850" w:type="dxa"/>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rsidR="0083711E" w:rsidRPr="00A76D60" w:rsidRDefault="00B6702E" w:rsidP="00C36EE6">
            <w:pPr>
              <w:pStyle w:val="DAVA"/>
              <w:spacing w:before="80" w:after="80"/>
              <w:rPr>
                <w:rFonts w:cs="Arial"/>
                <w:sz w:val="18"/>
                <w:szCs w:val="18"/>
                <w:lang w:val="cs-CZ" w:eastAsia="cs-CZ"/>
              </w:rPr>
            </w:pPr>
            <w:r>
              <w:rPr>
                <w:rFonts w:cs="Arial"/>
                <w:sz w:val="18"/>
                <w:szCs w:val="18"/>
                <w:lang w:val="cs-CZ" w:eastAsia="cs-CZ"/>
              </w:rPr>
              <w:t>částečně</w:t>
            </w:r>
            <w:r w:rsidRPr="00A76D60">
              <w:rPr>
                <w:rFonts w:cs="Arial"/>
                <w:sz w:val="18"/>
                <w:szCs w:val="18"/>
                <w:lang w:val="cs-CZ" w:eastAsia="cs-CZ"/>
              </w:rPr>
              <w:t xml:space="preserve"> </w:t>
            </w:r>
          </w:p>
        </w:tc>
        <w:tc>
          <w:tcPr>
            <w:tcW w:w="1701" w:type="dxa"/>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highlight w:val="yellow"/>
                <w:lang w:val="cs-CZ" w:eastAsia="cs-CZ"/>
              </w:rPr>
            </w:pPr>
          </w:p>
        </w:tc>
        <w:tc>
          <w:tcPr>
            <w:tcW w:w="7230" w:type="dxa"/>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rPr>
            </w:pPr>
            <w:r w:rsidRPr="00A76D60">
              <w:rPr>
                <w:rFonts w:cs="Arial"/>
                <w:sz w:val="18"/>
                <w:szCs w:val="18"/>
              </w:rPr>
              <w:t>V přípravě - probíhá příprava indikátorových soustav programů a spolupráce s ČSÚ pro definování zdrojů statistických dat.</w:t>
            </w:r>
          </w:p>
          <w:p w:rsidR="0083711E" w:rsidRDefault="0083711E" w:rsidP="00C36EE6">
            <w:pPr>
              <w:pStyle w:val="DAVA"/>
              <w:spacing w:before="80" w:after="80"/>
              <w:rPr>
                <w:rFonts w:cs="Arial"/>
                <w:sz w:val="18"/>
                <w:szCs w:val="18"/>
                <w:lang w:val="cs-CZ"/>
              </w:rPr>
            </w:pPr>
            <w:r w:rsidRPr="00A76D60">
              <w:rPr>
                <w:rFonts w:cs="Arial"/>
                <w:sz w:val="18"/>
                <w:szCs w:val="18"/>
              </w:rPr>
              <w:t>V rámci přípravy programových dokumentů probíhá intenzivní spolupráce mezi MMR-NOK, ŘO a ex-ante hodnotiteli, kdy je kromě jiných témat kladen důraz na správné nastavení intervenční logiky programu (resp. teorie změny) včetně navazující soustavy indikátorů. Indikátorové soustavy a tvorba programově specifických indikátorů je připravována koordinovaně dle závazného metodického pokynu pro tvorbu indikátorů (MP indikátorů 2014-2020) a respektuje požadavky EK včetně obsahu této předběžné podmínky. V souladu s MP monitorování a MP evaluace budou pravidelně probíhat hodnocení plnění stanovených cílů. Závěry provedených evaluací budou vodítek k případné revizi strategie resp. programového dokumentu.</w:t>
            </w:r>
          </w:p>
          <w:p w:rsidR="009204DA" w:rsidRPr="00403BFF" w:rsidRDefault="009204DA" w:rsidP="00B6702E">
            <w:pPr>
              <w:pStyle w:val="DAVA"/>
              <w:spacing w:before="80" w:after="80"/>
              <w:rPr>
                <w:rFonts w:cs="Arial"/>
                <w:sz w:val="20"/>
                <w:lang w:val="cs-CZ"/>
              </w:rPr>
            </w:pPr>
            <w:r w:rsidRPr="00403BFF">
              <w:rPr>
                <w:rFonts w:cs="Arial"/>
                <w:sz w:val="20"/>
                <w:lang w:val="cs-CZ"/>
              </w:rPr>
              <w:t xml:space="preserve">ŘO OP PIK: </w:t>
            </w:r>
          </w:p>
          <w:p w:rsidR="00403BFF" w:rsidRPr="009204DA" w:rsidRDefault="00403BFF" w:rsidP="00403BFF">
            <w:pPr>
              <w:pStyle w:val="DAVA"/>
              <w:spacing w:before="80" w:after="80"/>
              <w:rPr>
                <w:rFonts w:cs="Arial"/>
                <w:color w:val="000000"/>
                <w:sz w:val="18"/>
                <w:szCs w:val="18"/>
                <w:lang w:val="cs-CZ" w:eastAsia="cs-CZ"/>
              </w:rPr>
            </w:pPr>
            <w:r w:rsidRPr="00403BFF">
              <w:rPr>
                <w:rFonts w:cs="Arial"/>
                <w:sz w:val="20"/>
              </w:rPr>
              <w:t>Ukazatele výsledků SC byly nastaveny ve spolupráci s ex-ante hodnotitelem OP PIK a při zohlednění specifických připomínek a doporučení EK (</w:t>
            </w:r>
            <w:proofErr w:type="spellStart"/>
            <w:r w:rsidRPr="00403BFF">
              <w:rPr>
                <w:rFonts w:cs="Arial"/>
                <w:sz w:val="20"/>
              </w:rPr>
              <w:t>Evaluation</w:t>
            </w:r>
            <w:proofErr w:type="spellEnd"/>
            <w:r w:rsidRPr="00403BFF">
              <w:rPr>
                <w:rFonts w:cs="Arial"/>
                <w:sz w:val="20"/>
              </w:rPr>
              <w:t xml:space="preserve"> Unit) . Ukazatele výsledků SC byly voleny tak, aby co nejlépe vyjadřovaly žádoucí změnu.</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Odstavecseseznamem"/>
              <w:spacing w:before="80" w:after="80" w:line="240" w:lineRule="auto"/>
              <w:ind w:left="0"/>
              <w:contextualSpacing w:val="0"/>
              <w:rPr>
                <w:rFonts w:ascii="Arial" w:hAnsi="Arial" w:cs="Arial"/>
                <w:bCs/>
                <w:sz w:val="18"/>
                <w:szCs w:val="18"/>
              </w:rPr>
            </w:pPr>
            <w:r w:rsidRPr="00A76D60">
              <w:rPr>
                <w:rFonts w:ascii="Arial" w:hAnsi="Arial" w:cs="Arial"/>
                <w:bCs/>
                <w:sz w:val="18"/>
                <w:szCs w:val="18"/>
              </w:rPr>
              <w:t>Účinný systém ukazatelů výsledků, včetně:</w:t>
            </w:r>
          </w:p>
          <w:p w:rsidR="0083711E" w:rsidRPr="00A76D60" w:rsidRDefault="0083711E" w:rsidP="0083711E">
            <w:pPr>
              <w:pStyle w:val="Odstavecseseznamem"/>
              <w:numPr>
                <w:ilvl w:val="0"/>
                <w:numId w:val="2"/>
              </w:numPr>
              <w:overflowPunct/>
              <w:autoSpaceDE/>
              <w:autoSpaceDN/>
              <w:adjustRightInd/>
              <w:spacing w:before="80" w:after="80" w:line="240" w:lineRule="auto"/>
              <w:ind w:left="360"/>
              <w:contextualSpacing w:val="0"/>
              <w:textAlignment w:val="auto"/>
              <w:rPr>
                <w:rFonts w:ascii="Arial" w:hAnsi="Arial" w:cs="Arial"/>
                <w:bCs/>
                <w:sz w:val="18"/>
                <w:szCs w:val="18"/>
              </w:rPr>
            </w:pPr>
            <w:r w:rsidRPr="00A76D60">
              <w:rPr>
                <w:rFonts w:ascii="Arial" w:hAnsi="Arial" w:cs="Arial"/>
                <w:bCs/>
                <w:sz w:val="18"/>
                <w:szCs w:val="18"/>
              </w:rPr>
              <w:t>vytyčení cílů pro tyto ukazatele,</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B6702E" w:rsidP="00C36EE6">
            <w:pPr>
              <w:pStyle w:val="DAVA"/>
              <w:spacing w:before="80" w:after="80"/>
              <w:rPr>
                <w:rFonts w:cs="Arial"/>
                <w:sz w:val="18"/>
                <w:szCs w:val="18"/>
                <w:lang w:val="cs-CZ" w:eastAsia="cs-CZ"/>
              </w:rPr>
            </w:pPr>
            <w:r>
              <w:rPr>
                <w:rFonts w:cs="Arial"/>
                <w:sz w:val="18"/>
                <w:szCs w:val="18"/>
                <w:lang w:val="cs-CZ" w:eastAsia="cs-CZ"/>
              </w:rPr>
              <w:t>částečně</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rPr>
            </w:pPr>
            <w:r w:rsidRPr="00A76D60">
              <w:rPr>
                <w:rFonts w:cs="Arial"/>
                <w:sz w:val="18"/>
                <w:szCs w:val="18"/>
              </w:rPr>
              <w:t xml:space="preserve">Budou součástí programových dokumentů. </w:t>
            </w:r>
          </w:p>
          <w:p w:rsidR="0083711E" w:rsidRDefault="0083711E" w:rsidP="00C36EE6">
            <w:pPr>
              <w:pStyle w:val="DAVA"/>
              <w:spacing w:before="80" w:after="80"/>
              <w:rPr>
                <w:rFonts w:cs="Arial"/>
                <w:sz w:val="18"/>
                <w:szCs w:val="18"/>
                <w:lang w:val="cs-CZ"/>
              </w:rPr>
            </w:pPr>
            <w:r w:rsidRPr="00A76D60">
              <w:rPr>
                <w:rFonts w:cs="Arial"/>
                <w:sz w:val="18"/>
                <w:szCs w:val="18"/>
              </w:rPr>
              <w:t>Nastavení výchozích a cílových hodnot je prováděno v rámci přípravy programů. Průběžně ve spolupráci s ex-ante hodnotiteli probíhá expertní posuzování relevance hodnot ve vazbě na alokaci pro dané téma.</w:t>
            </w:r>
          </w:p>
          <w:p w:rsidR="009204DA" w:rsidRPr="00403BFF" w:rsidRDefault="009204DA" w:rsidP="00B6702E">
            <w:pPr>
              <w:pStyle w:val="DAVA"/>
              <w:spacing w:before="80" w:after="80"/>
              <w:rPr>
                <w:rFonts w:cs="Arial"/>
                <w:sz w:val="20"/>
                <w:lang w:val="cs-CZ"/>
              </w:rPr>
            </w:pPr>
            <w:r w:rsidRPr="00403BFF">
              <w:rPr>
                <w:rFonts w:cs="Arial"/>
                <w:sz w:val="20"/>
                <w:lang w:val="cs-CZ"/>
              </w:rPr>
              <w:t xml:space="preserve">ŘO OP PIK: </w:t>
            </w:r>
          </w:p>
          <w:p w:rsidR="00403BFF" w:rsidRPr="009204DA" w:rsidRDefault="00403BFF" w:rsidP="00403BFF">
            <w:pPr>
              <w:pStyle w:val="DAVA"/>
              <w:spacing w:before="80" w:after="80"/>
              <w:rPr>
                <w:rFonts w:cs="Arial"/>
                <w:color w:val="000000"/>
                <w:sz w:val="18"/>
                <w:szCs w:val="18"/>
                <w:lang w:val="cs-CZ" w:eastAsia="cs-CZ"/>
              </w:rPr>
            </w:pPr>
            <w:r w:rsidRPr="00403BFF">
              <w:rPr>
                <w:sz w:val="20"/>
              </w:rPr>
              <w:t>Cílové hodnoty ukazatelů výsledků OP PIK byly nastaveny na základě spolupráce odborných pracovníků ŘO s externí poradenskou firmou a ověřeny a potvrzeny ex-ante hodnotitelem.</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Odstavecseseznamem"/>
              <w:spacing w:before="80" w:after="80" w:line="240" w:lineRule="auto"/>
              <w:ind w:left="0"/>
              <w:contextualSpacing w:val="0"/>
              <w:rPr>
                <w:rFonts w:ascii="Arial" w:hAnsi="Arial" w:cs="Arial"/>
                <w:bCs/>
                <w:sz w:val="18"/>
                <w:szCs w:val="18"/>
              </w:rPr>
            </w:pPr>
            <w:r w:rsidRPr="00A76D60">
              <w:rPr>
                <w:rFonts w:ascii="Arial" w:hAnsi="Arial" w:cs="Arial"/>
                <w:bCs/>
                <w:sz w:val="18"/>
                <w:szCs w:val="18"/>
              </w:rPr>
              <w:t>Účinný systém ukazatelů výsledků, včetně:</w:t>
            </w:r>
          </w:p>
          <w:p w:rsidR="0083711E" w:rsidRPr="00A76D60" w:rsidRDefault="0083711E" w:rsidP="0083711E">
            <w:pPr>
              <w:pStyle w:val="Odstavecseseznamem"/>
              <w:numPr>
                <w:ilvl w:val="0"/>
                <w:numId w:val="2"/>
              </w:numPr>
              <w:overflowPunct/>
              <w:autoSpaceDE/>
              <w:autoSpaceDN/>
              <w:adjustRightInd/>
              <w:spacing w:before="80" w:after="80" w:line="240" w:lineRule="auto"/>
              <w:ind w:left="360"/>
              <w:contextualSpacing w:val="0"/>
              <w:textAlignment w:val="auto"/>
              <w:rPr>
                <w:rFonts w:ascii="Arial" w:hAnsi="Arial" w:cs="Arial"/>
                <w:bCs/>
                <w:sz w:val="18"/>
                <w:szCs w:val="18"/>
              </w:rPr>
            </w:pPr>
            <w:r w:rsidRPr="00A76D60">
              <w:rPr>
                <w:rFonts w:ascii="Arial" w:hAnsi="Arial" w:cs="Arial"/>
                <w:bCs/>
                <w:sz w:val="18"/>
                <w:szCs w:val="18"/>
              </w:rPr>
              <w:t xml:space="preserve">musí být zajištěn soulad každého ukazatele s těmito podmínkami: </w:t>
            </w:r>
            <w:r w:rsidRPr="00A76D60">
              <w:rPr>
                <w:rFonts w:ascii="Arial" w:hAnsi="Arial" w:cs="Arial"/>
                <w:bCs/>
                <w:sz w:val="18"/>
                <w:szCs w:val="18"/>
              </w:rPr>
              <w:lastRenderedPageBreak/>
              <w:t>robustností a statistickou validací, jasným normativním výkladem, souladem se strategiemi, včasným sběrem údajů,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B6702E" w:rsidP="00C36EE6">
            <w:pPr>
              <w:pStyle w:val="DAVA"/>
              <w:spacing w:before="80" w:after="80"/>
              <w:rPr>
                <w:rFonts w:cs="Arial"/>
                <w:sz w:val="18"/>
                <w:szCs w:val="18"/>
                <w:lang w:val="cs-CZ" w:eastAsia="cs-CZ"/>
              </w:rPr>
            </w:pPr>
            <w:r>
              <w:rPr>
                <w:rFonts w:cs="Arial"/>
                <w:sz w:val="18"/>
                <w:szCs w:val="18"/>
                <w:lang w:val="cs-CZ" w:eastAsia="cs-CZ"/>
              </w:rPr>
              <w:lastRenderedPageBreak/>
              <w:t>částečně</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Default="0083711E" w:rsidP="00C36EE6">
            <w:pPr>
              <w:rPr>
                <w:rFonts w:ascii="Arial" w:hAnsi="Arial" w:cs="Arial"/>
                <w:sz w:val="18"/>
                <w:szCs w:val="18"/>
                <w:lang w:eastAsia="x-none"/>
              </w:rPr>
            </w:pPr>
            <w:r w:rsidRPr="00A76D60">
              <w:rPr>
                <w:rFonts w:ascii="Arial" w:hAnsi="Arial" w:cs="Arial"/>
                <w:sz w:val="18"/>
                <w:szCs w:val="18"/>
                <w:lang w:val="x-none" w:eastAsia="x-none"/>
              </w:rPr>
              <w:t>Je součástí programových dokumentů. Stejná pravidla jsou součástí MP indikátorů (schváleno ÚV 597/2013).</w:t>
            </w:r>
          </w:p>
          <w:p w:rsidR="009204DA" w:rsidRPr="009204DA" w:rsidRDefault="009204DA" w:rsidP="00C36EE6">
            <w:pPr>
              <w:rPr>
                <w:rFonts w:ascii="Arial" w:hAnsi="Arial" w:cs="Arial"/>
                <w:sz w:val="18"/>
                <w:szCs w:val="18"/>
                <w:lang w:eastAsia="x-none"/>
              </w:rPr>
            </w:pPr>
          </w:p>
          <w:p w:rsidR="0083711E" w:rsidRPr="00403BFF" w:rsidRDefault="00403BFF" w:rsidP="00B6702E">
            <w:pPr>
              <w:rPr>
                <w:rFonts w:ascii="Arial" w:hAnsi="Arial" w:cs="Arial"/>
                <w:lang w:eastAsia="x-none"/>
              </w:rPr>
            </w:pPr>
            <w:r w:rsidRPr="00403BFF">
              <w:rPr>
                <w:rFonts w:ascii="Arial" w:hAnsi="Arial" w:cs="Arial"/>
                <w:lang w:eastAsia="x-none"/>
              </w:rPr>
              <w:t>Ř</w:t>
            </w:r>
            <w:r w:rsidR="009204DA" w:rsidRPr="00403BFF">
              <w:rPr>
                <w:rFonts w:ascii="Arial" w:hAnsi="Arial" w:cs="Arial"/>
                <w:lang w:eastAsia="x-none"/>
              </w:rPr>
              <w:t xml:space="preserve">O OP PIK: </w:t>
            </w:r>
          </w:p>
          <w:p w:rsidR="00403BFF" w:rsidRPr="00A76D60" w:rsidRDefault="00403BFF" w:rsidP="00B6702E">
            <w:pPr>
              <w:rPr>
                <w:rFonts w:cs="Arial"/>
                <w:color w:val="000000"/>
                <w:sz w:val="18"/>
                <w:szCs w:val="18"/>
              </w:rPr>
            </w:pPr>
            <w:r w:rsidRPr="00403BFF">
              <w:rPr>
                <w:rFonts w:ascii="Arial" w:hAnsi="Arial" w:cs="Arial"/>
              </w:rPr>
              <w:t>Ukazatele výsledků SC byly nastaveny ve spolupráci s ex-ante hodnotitelem OP PIK a při zohlednění specifických připomínek a doporučení EK (</w:t>
            </w:r>
            <w:proofErr w:type="spellStart"/>
            <w:r w:rsidRPr="00403BFF">
              <w:rPr>
                <w:rFonts w:ascii="Arial" w:hAnsi="Arial" w:cs="Arial"/>
              </w:rPr>
              <w:t>Evaluation</w:t>
            </w:r>
            <w:proofErr w:type="spellEnd"/>
            <w:r w:rsidRPr="00403BFF">
              <w:rPr>
                <w:rFonts w:ascii="Arial" w:hAnsi="Arial" w:cs="Arial"/>
              </w:rPr>
              <w:t xml:space="preserve"> Unit) a splňují požadavky na robustnost a statistickou validaci.</w:t>
            </w:r>
          </w:p>
        </w:tc>
      </w:tr>
      <w:tr w:rsidR="0083711E" w:rsidRPr="00A76D60" w:rsidTr="00C36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spacing w:before="80" w:after="80"/>
              <w:rPr>
                <w:rFonts w:ascii="Arial" w:hAnsi="Arial" w:cs="Arial"/>
                <w:b/>
                <w:sz w:val="18"/>
                <w:szCs w:val="18"/>
              </w:rPr>
            </w:pPr>
          </w:p>
        </w:tc>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sz w:val="18"/>
                <w:szCs w:val="18"/>
                <w:lang w:val="cs-CZ" w:eastAsia="cs-CZ"/>
              </w:rPr>
            </w:pPr>
          </w:p>
        </w:tc>
        <w:tc>
          <w:tcPr>
            <w:tcW w:w="1134" w:type="dxa"/>
            <w:vMerge/>
            <w:tcBorders>
              <w:left w:val="single" w:sz="4" w:space="0" w:color="auto"/>
              <w:bottom w:val="single" w:sz="4" w:space="0" w:color="auto"/>
              <w:right w:val="single" w:sz="4" w:space="0" w:color="auto"/>
            </w:tcBorders>
            <w:shd w:val="clear" w:color="auto" w:fill="FFFFFF"/>
          </w:tcPr>
          <w:p w:rsidR="0083711E" w:rsidRPr="00A76D60" w:rsidRDefault="0083711E" w:rsidP="00C36EE6">
            <w:pPr>
              <w:pStyle w:val="DAVA"/>
              <w:spacing w:before="80" w:after="80"/>
              <w:rPr>
                <w:rFonts w:cs="Arial"/>
                <w:i/>
                <w:sz w:val="18"/>
                <w:szCs w:val="18"/>
                <w:lang w:val="cs-CZ" w:eastAsia="cs-CZ"/>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r w:rsidRPr="00A76D60">
              <w:rPr>
                <w:rFonts w:cs="Arial"/>
                <w:bCs/>
                <w:sz w:val="18"/>
                <w:szCs w:val="18"/>
                <w:lang w:val="cs-CZ" w:eastAsia="cs-CZ"/>
              </w:rPr>
              <w:t>Postupy zajišťující, aby všechny operace financované z programu používaly účinný systém ukazatelů.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B6702E" w:rsidP="00C36EE6">
            <w:pPr>
              <w:pStyle w:val="DAVA"/>
              <w:spacing w:before="80" w:after="80"/>
              <w:rPr>
                <w:rFonts w:cs="Arial"/>
                <w:sz w:val="18"/>
                <w:szCs w:val="18"/>
                <w:lang w:val="cs-CZ" w:eastAsia="cs-CZ"/>
              </w:rPr>
            </w:pPr>
            <w:r>
              <w:rPr>
                <w:rFonts w:cs="Arial"/>
                <w:sz w:val="18"/>
                <w:szCs w:val="18"/>
                <w:lang w:val="cs-CZ" w:eastAsia="cs-CZ"/>
              </w:rPr>
              <w:t>částečně</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lang w:val="cs-CZ" w:eastAsia="cs-CZ"/>
              </w:rPr>
            </w:pPr>
          </w:p>
          <w:p w:rsidR="0083711E" w:rsidRPr="00A76D60" w:rsidRDefault="0083711E" w:rsidP="00C36EE6">
            <w:pPr>
              <w:pStyle w:val="DAVA"/>
              <w:spacing w:before="80" w:after="80"/>
              <w:rPr>
                <w:rFonts w:cs="Arial"/>
                <w:sz w:val="18"/>
                <w:szCs w:val="18"/>
              </w:rPr>
            </w:pPr>
            <w:r w:rsidRPr="00A76D60">
              <w:rPr>
                <w:rStyle w:val="Hypertextovodkaz"/>
                <w:sz w:val="18"/>
                <w:szCs w:val="18"/>
              </w:rPr>
              <w:t>http://www.s-f.cz/cs/Fondy-EU/2014-2020/Metodicke-pokyny</w:t>
            </w:r>
          </w:p>
        </w:tc>
        <w:tc>
          <w:tcPr>
            <w:tcW w:w="723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83711E" w:rsidRPr="00A76D60" w:rsidRDefault="0083711E" w:rsidP="00C36EE6">
            <w:pPr>
              <w:pStyle w:val="DAVA"/>
              <w:spacing w:before="80" w:after="80"/>
              <w:rPr>
                <w:rFonts w:cs="Arial"/>
                <w:sz w:val="18"/>
                <w:szCs w:val="18"/>
              </w:rPr>
            </w:pPr>
            <w:r w:rsidRPr="00A76D60">
              <w:rPr>
                <w:rFonts w:cs="Arial"/>
                <w:sz w:val="18"/>
                <w:szCs w:val="18"/>
              </w:rPr>
              <w:t>Povinné postupy pro splnění kritéria jsou součástí schváleného závazného metodického prostředí:</w:t>
            </w:r>
          </w:p>
          <w:p w:rsidR="0083711E" w:rsidRPr="00A76D60" w:rsidRDefault="0083711E" w:rsidP="00C36EE6">
            <w:pPr>
              <w:pStyle w:val="DAVA"/>
              <w:spacing w:before="80" w:after="80"/>
              <w:rPr>
                <w:rFonts w:cs="Arial"/>
                <w:sz w:val="18"/>
                <w:szCs w:val="18"/>
              </w:rPr>
            </w:pPr>
            <w:r w:rsidRPr="00A76D60">
              <w:rPr>
                <w:rFonts w:cs="Arial"/>
                <w:sz w:val="18"/>
                <w:szCs w:val="18"/>
              </w:rPr>
              <w:t xml:space="preserve">MP indikátory (ÚV 597/2013 a MP výběr a hodnocení projektů (schválen ÚV 873/2013), které definují závazná pravidla pro výběr a plnění alespoň jednoho indikátoru ve vazbě na specifický cíl. V rámci uvedeného pokynu jsou současně promítnuty principy 3E pro výběr a hodnocení operací. Závazné a jednotné metodické konstrukce všech indikátorů používaných v rámci programů a každé operace jsou definovány v rámci tzn. Národního číselníku indikátorů pro programové období 2014-2020 (NČI2014+), který ve své finální podobě bude obsahovat seznam a popis metodické konstrukce všech společných a specifických indikátorů, kterou jsou v programech fondů ESI rámci období 2014-2020 využívány. Předpokládaný termín dokončení NČI2014+ bude korespondovat s termíny schvalování jednotlivých programů. </w:t>
            </w:r>
          </w:p>
          <w:p w:rsidR="0083711E" w:rsidRPr="00A76D60" w:rsidRDefault="0083711E" w:rsidP="00C36EE6">
            <w:pPr>
              <w:pStyle w:val="DAVA"/>
              <w:spacing w:before="80" w:after="80"/>
              <w:rPr>
                <w:rFonts w:cs="Arial"/>
                <w:sz w:val="18"/>
                <w:szCs w:val="18"/>
              </w:rPr>
            </w:pPr>
            <w:r w:rsidRPr="00A76D60">
              <w:rPr>
                <w:rFonts w:cs="Arial"/>
                <w:sz w:val="18"/>
                <w:szCs w:val="18"/>
              </w:rPr>
              <w:t>Následně bude ze strany ŘO připravena relevantní programová dokumentace (např. příručky pro žadatele), která bude reflektovat již schválené závazné metodické pokyny.</w:t>
            </w:r>
          </w:p>
          <w:p w:rsidR="00464549" w:rsidRDefault="0083711E" w:rsidP="00C36EE6">
            <w:pPr>
              <w:pStyle w:val="DAVA"/>
              <w:spacing w:before="80" w:after="80"/>
              <w:rPr>
                <w:rFonts w:cs="Arial"/>
                <w:sz w:val="18"/>
                <w:szCs w:val="18"/>
                <w:lang w:val="cs-CZ"/>
              </w:rPr>
            </w:pPr>
            <w:r w:rsidRPr="00A76D60">
              <w:rPr>
                <w:rFonts w:cs="Arial"/>
                <w:sz w:val="18"/>
                <w:szCs w:val="18"/>
              </w:rPr>
              <w:t>Metodická pravidla jsou reflektována v rámci připravovaného monitorovacího systému MS2014+, kde bude technicky zajištěna automatická agregace dat z úrovně projektů.</w:t>
            </w:r>
          </w:p>
          <w:p w:rsidR="00464549" w:rsidRPr="00403BFF" w:rsidRDefault="00403BFF" w:rsidP="005B63B2">
            <w:pPr>
              <w:pStyle w:val="DAVA"/>
              <w:spacing w:before="80" w:after="80"/>
              <w:rPr>
                <w:rFonts w:cs="Arial"/>
                <w:sz w:val="20"/>
                <w:lang w:val="cs-CZ"/>
              </w:rPr>
            </w:pPr>
            <w:r>
              <w:rPr>
                <w:rFonts w:cs="Arial"/>
                <w:sz w:val="20"/>
                <w:lang w:val="cs-CZ"/>
              </w:rPr>
              <w:t xml:space="preserve">ŘO OP </w:t>
            </w:r>
            <w:r w:rsidR="00464549" w:rsidRPr="00403BFF">
              <w:rPr>
                <w:rFonts w:cs="Arial"/>
                <w:sz w:val="20"/>
                <w:lang w:val="cs-CZ"/>
              </w:rPr>
              <w:t xml:space="preserve">PIK: </w:t>
            </w:r>
          </w:p>
          <w:p w:rsidR="00403BFF" w:rsidRPr="008568F8" w:rsidRDefault="008568F8" w:rsidP="005B63B2">
            <w:pPr>
              <w:pStyle w:val="DAVA"/>
              <w:spacing w:before="80" w:after="80"/>
              <w:rPr>
                <w:rFonts w:cs="Arial"/>
                <w:color w:val="000000"/>
                <w:sz w:val="18"/>
                <w:szCs w:val="18"/>
                <w:lang w:val="cs-CZ" w:eastAsia="cs-CZ"/>
              </w:rPr>
            </w:pPr>
            <w:r w:rsidRPr="008568F8">
              <w:rPr>
                <w:rFonts w:cs="Arial"/>
                <w:sz w:val="18"/>
                <w:szCs w:val="18"/>
              </w:rPr>
              <w:t>Požadavky a pravidla na používání systému ukazatelů OP PIK jsou součástí navazující řídící dokumentace k programu a také pokynů a podmínek pro žadatele a příjemce, kde budou podrobně popsány povinnosti příjemců poskytovat ŘO potřebné informace pro naplňování indikátorů.</w:t>
            </w:r>
            <w:r w:rsidR="00403BFF" w:rsidRPr="008568F8">
              <w:rPr>
                <w:rFonts w:cs="Arial"/>
                <w:sz w:val="18"/>
                <w:szCs w:val="18"/>
              </w:rPr>
              <w:t>.</w:t>
            </w:r>
          </w:p>
        </w:tc>
      </w:tr>
    </w:tbl>
    <w:p w:rsidR="0083711E" w:rsidRDefault="0083711E" w:rsidP="0083711E">
      <w:pPr>
        <w:pStyle w:val="DAVA"/>
        <w:spacing w:before="240" w:after="120"/>
        <w:rPr>
          <w:rFonts w:cs="Arial"/>
          <w:b/>
          <w:sz w:val="18"/>
          <w:szCs w:val="18"/>
          <w:lang w:val="cs-CZ"/>
        </w:rPr>
      </w:pPr>
    </w:p>
    <w:p w:rsidR="0083711E" w:rsidRDefault="0083711E" w:rsidP="0083711E">
      <w:pPr>
        <w:pStyle w:val="DAVA"/>
        <w:spacing w:before="480" w:after="120"/>
        <w:rPr>
          <w:rFonts w:cs="Arial"/>
          <w:b/>
          <w:sz w:val="18"/>
          <w:szCs w:val="18"/>
          <w:lang w:val="cs-CZ"/>
        </w:rPr>
      </w:pPr>
    </w:p>
    <w:p w:rsidR="0083711E" w:rsidRDefault="0083711E" w:rsidP="0083711E">
      <w:pPr>
        <w:pStyle w:val="DAVA"/>
        <w:spacing w:before="480" w:after="120"/>
        <w:ind w:left="-567"/>
        <w:rPr>
          <w:b/>
          <w:sz w:val="18"/>
          <w:szCs w:val="18"/>
          <w:lang w:val="cs-CZ"/>
        </w:rPr>
      </w:pPr>
      <w:r w:rsidRPr="00FE21ED">
        <w:rPr>
          <w:b/>
          <w:sz w:val="18"/>
          <w:szCs w:val="18"/>
        </w:rPr>
        <w:t>II</w:t>
      </w:r>
      <w:r>
        <w:rPr>
          <w:b/>
          <w:sz w:val="18"/>
          <w:szCs w:val="18"/>
          <w:lang w:val="cs-CZ"/>
        </w:rPr>
        <w:t>B</w:t>
      </w:r>
      <w:r w:rsidRPr="00FE21ED">
        <w:rPr>
          <w:b/>
          <w:sz w:val="18"/>
          <w:szCs w:val="18"/>
        </w:rPr>
        <w:t xml:space="preserve"> / Částečně splněné a nesplněné OBECNÉ předběžné podmínky</w:t>
      </w:r>
    </w:p>
    <w:p w:rsidR="0083711E" w:rsidRPr="00BE4690" w:rsidRDefault="0083711E" w:rsidP="0083711E">
      <w:pPr>
        <w:pStyle w:val="DAVA"/>
        <w:spacing w:after="120"/>
        <w:ind w:left="-567" w:right="-597"/>
        <w:jc w:val="both"/>
        <w:rPr>
          <w:b/>
          <w:sz w:val="18"/>
          <w:szCs w:val="18"/>
          <w:lang w:val="cs-CZ"/>
        </w:rPr>
      </w:pPr>
      <w:r>
        <w:rPr>
          <w:sz w:val="18"/>
          <w:szCs w:val="18"/>
          <w:lang w:val="cs-CZ"/>
        </w:rPr>
        <w:t xml:space="preserve">U vybraných </w:t>
      </w:r>
      <w:r w:rsidRPr="00E85515">
        <w:rPr>
          <w:sz w:val="18"/>
          <w:szCs w:val="18"/>
          <w:lang w:val="cs-CZ"/>
        </w:rPr>
        <w:t>předběžných podmínek</w:t>
      </w:r>
      <w:r>
        <w:rPr>
          <w:sz w:val="18"/>
          <w:szCs w:val="18"/>
          <w:lang w:val="cs-CZ"/>
        </w:rPr>
        <w:t xml:space="preserve"> jsou</w:t>
      </w:r>
      <w:r w:rsidRPr="00E85515">
        <w:rPr>
          <w:sz w:val="18"/>
          <w:szCs w:val="18"/>
          <w:lang w:val="cs-CZ"/>
        </w:rPr>
        <w:t xml:space="preserve"> gestor</w:t>
      </w:r>
      <w:r>
        <w:rPr>
          <w:sz w:val="18"/>
          <w:szCs w:val="18"/>
          <w:lang w:val="cs-CZ"/>
        </w:rPr>
        <w:t>y</w:t>
      </w:r>
      <w:r w:rsidRPr="00E85515">
        <w:rPr>
          <w:sz w:val="18"/>
          <w:szCs w:val="18"/>
          <w:lang w:val="cs-CZ"/>
        </w:rPr>
        <w:t xml:space="preserve"> </w:t>
      </w:r>
      <w:r>
        <w:rPr>
          <w:sz w:val="18"/>
          <w:szCs w:val="18"/>
          <w:lang w:val="cs-CZ"/>
        </w:rPr>
        <w:t xml:space="preserve">subjekty </w:t>
      </w:r>
      <w:r w:rsidRPr="00E85515">
        <w:rPr>
          <w:sz w:val="18"/>
          <w:szCs w:val="18"/>
          <w:lang w:val="cs-CZ"/>
        </w:rPr>
        <w:t xml:space="preserve">na národní úrovni, ale zároveň </w:t>
      </w:r>
      <w:r>
        <w:rPr>
          <w:sz w:val="18"/>
          <w:szCs w:val="18"/>
          <w:lang w:val="cs-CZ"/>
        </w:rPr>
        <w:t>i</w:t>
      </w:r>
      <w:r w:rsidRPr="00E85515">
        <w:rPr>
          <w:sz w:val="18"/>
          <w:szCs w:val="18"/>
          <w:lang w:val="cs-CZ"/>
        </w:rPr>
        <w:t xml:space="preserve"> řídící orgán</w:t>
      </w:r>
      <w:r>
        <w:rPr>
          <w:sz w:val="18"/>
          <w:szCs w:val="18"/>
          <w:lang w:val="cs-CZ"/>
        </w:rPr>
        <w:t>y. Proto je v Dohodě o partnerství je naplňování provedeno na národní úrodni (s odkazem na specifické naplňování na úrovni ŘO) a v jednotlivých programech je pak popsáno naplňování relevantních kritérií a PP ve vztahu k danému programu (s odkazem na popis na národní úrovni v Dohodě o partnerství).</w:t>
      </w:r>
    </w:p>
    <w:tbl>
      <w:tblPr>
        <w:tblW w:w="533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3070"/>
        <w:gridCol w:w="4077"/>
        <w:gridCol w:w="3000"/>
        <w:gridCol w:w="2472"/>
      </w:tblGrid>
      <w:tr w:rsidR="0083711E" w:rsidRPr="00A76D60" w:rsidTr="00D00116">
        <w:trPr>
          <w:trHeight w:val="647"/>
          <w:tblHeader/>
        </w:trPr>
        <w:tc>
          <w:tcPr>
            <w:tcW w:w="840" w:type="pct"/>
            <w:shd w:val="clear" w:color="auto" w:fill="E5B8B7"/>
          </w:tcPr>
          <w:p w:rsidR="0083711E" w:rsidRPr="00A76D60" w:rsidRDefault="0083711E" w:rsidP="00C36EE6">
            <w:pPr>
              <w:pStyle w:val="Default"/>
              <w:spacing w:before="80" w:after="80"/>
              <w:rPr>
                <w:rFonts w:ascii="Arial" w:hAnsi="Arial" w:cs="Arial"/>
                <w:b/>
                <w:bCs/>
                <w:sz w:val="18"/>
                <w:szCs w:val="18"/>
              </w:rPr>
            </w:pPr>
            <w:r w:rsidRPr="00A76D60">
              <w:rPr>
                <w:rFonts w:ascii="Arial" w:hAnsi="Arial" w:cs="Arial"/>
                <w:b/>
                <w:bCs/>
                <w:sz w:val="18"/>
                <w:szCs w:val="18"/>
              </w:rPr>
              <w:t xml:space="preserve">Nesplněná nebo částečně splněná použitelná </w:t>
            </w:r>
            <w:r w:rsidRPr="00A76D60">
              <w:rPr>
                <w:rFonts w:ascii="Arial" w:hAnsi="Arial" w:cs="Arial"/>
                <w:b/>
                <w:bCs/>
                <w:sz w:val="18"/>
                <w:szCs w:val="18"/>
                <w:u w:val="single"/>
              </w:rPr>
              <w:t>obecná</w:t>
            </w:r>
            <w:r w:rsidRPr="00A76D60">
              <w:rPr>
                <w:rFonts w:ascii="Arial" w:hAnsi="Arial" w:cs="Arial"/>
                <w:b/>
                <w:bCs/>
                <w:sz w:val="18"/>
                <w:szCs w:val="18"/>
              </w:rPr>
              <w:t xml:space="preserve"> předběžná podmínka</w:t>
            </w:r>
          </w:p>
        </w:tc>
        <w:tc>
          <w:tcPr>
            <w:tcW w:w="1012" w:type="pct"/>
            <w:shd w:val="clear" w:color="auto" w:fill="E5B8B7"/>
          </w:tcPr>
          <w:p w:rsidR="0083711E" w:rsidRPr="00A76D60" w:rsidRDefault="0083711E" w:rsidP="00C36EE6">
            <w:pPr>
              <w:pStyle w:val="Default"/>
              <w:spacing w:before="80" w:after="80"/>
              <w:rPr>
                <w:rFonts w:ascii="Arial" w:hAnsi="Arial" w:cs="Arial"/>
                <w:b/>
                <w:bCs/>
                <w:sz w:val="18"/>
                <w:szCs w:val="18"/>
              </w:rPr>
            </w:pPr>
            <w:r w:rsidRPr="00A76D60">
              <w:rPr>
                <w:rFonts w:ascii="Arial" w:hAnsi="Arial" w:cs="Arial"/>
                <w:b/>
                <w:bCs/>
                <w:sz w:val="18"/>
                <w:szCs w:val="18"/>
              </w:rPr>
              <w:t xml:space="preserve">Nesplněná kritéria </w:t>
            </w:r>
          </w:p>
        </w:tc>
        <w:tc>
          <w:tcPr>
            <w:tcW w:w="1344" w:type="pct"/>
            <w:shd w:val="clear" w:color="auto" w:fill="E5B8B7"/>
          </w:tcPr>
          <w:p w:rsidR="0083711E" w:rsidRPr="00A76D60" w:rsidRDefault="0083711E" w:rsidP="00C36EE6">
            <w:pPr>
              <w:pStyle w:val="Default"/>
              <w:spacing w:before="80" w:after="80"/>
              <w:rPr>
                <w:rFonts w:ascii="Arial" w:hAnsi="Arial" w:cs="Arial"/>
                <w:b/>
                <w:bCs/>
                <w:sz w:val="18"/>
                <w:szCs w:val="18"/>
              </w:rPr>
            </w:pPr>
            <w:r w:rsidRPr="00A76D60">
              <w:rPr>
                <w:rFonts w:ascii="Arial" w:hAnsi="Arial" w:cs="Arial"/>
                <w:b/>
                <w:bCs/>
                <w:sz w:val="18"/>
                <w:szCs w:val="18"/>
              </w:rPr>
              <w:t xml:space="preserve">Opatření, která je nutno přijmout </w:t>
            </w:r>
          </w:p>
        </w:tc>
        <w:tc>
          <w:tcPr>
            <w:tcW w:w="989" w:type="pct"/>
            <w:shd w:val="clear" w:color="auto" w:fill="E5B8B7"/>
          </w:tcPr>
          <w:p w:rsidR="0083711E" w:rsidRPr="00A76D60" w:rsidRDefault="0083711E" w:rsidP="00C36EE6">
            <w:pPr>
              <w:pStyle w:val="Default"/>
              <w:spacing w:before="80" w:after="80"/>
              <w:rPr>
                <w:rFonts w:ascii="Arial" w:hAnsi="Arial" w:cs="Arial"/>
                <w:b/>
                <w:bCs/>
                <w:sz w:val="18"/>
                <w:szCs w:val="18"/>
              </w:rPr>
            </w:pPr>
            <w:r w:rsidRPr="00A76D60">
              <w:rPr>
                <w:rFonts w:ascii="Arial" w:hAnsi="Arial" w:cs="Arial"/>
                <w:b/>
                <w:bCs/>
                <w:sz w:val="18"/>
                <w:szCs w:val="18"/>
              </w:rPr>
              <w:t>Termín splnění (datum)</w:t>
            </w:r>
          </w:p>
        </w:tc>
        <w:tc>
          <w:tcPr>
            <w:tcW w:w="815" w:type="pct"/>
            <w:shd w:val="clear" w:color="auto" w:fill="E5B8B7"/>
          </w:tcPr>
          <w:p w:rsidR="0083711E" w:rsidRPr="00A76D60" w:rsidRDefault="0083711E" w:rsidP="00C36EE6">
            <w:pPr>
              <w:pStyle w:val="Default"/>
              <w:spacing w:before="80" w:after="80"/>
              <w:rPr>
                <w:rFonts w:ascii="Arial" w:hAnsi="Arial" w:cs="Arial"/>
                <w:b/>
                <w:bCs/>
                <w:sz w:val="18"/>
                <w:szCs w:val="18"/>
              </w:rPr>
            </w:pPr>
            <w:r w:rsidRPr="00A76D60">
              <w:rPr>
                <w:rFonts w:ascii="Arial" w:hAnsi="Arial" w:cs="Arial"/>
                <w:b/>
                <w:bCs/>
                <w:sz w:val="18"/>
                <w:szCs w:val="18"/>
              </w:rPr>
              <w:t>Orgány zodpovědné za plnění</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val="restart"/>
          </w:tcPr>
          <w:p w:rsidR="00D00116" w:rsidRPr="00464549" w:rsidRDefault="00D00116" w:rsidP="00C36EE6">
            <w:pPr>
              <w:pStyle w:val="DAVA"/>
              <w:spacing w:before="80" w:after="80"/>
              <w:rPr>
                <w:rFonts w:cs="Arial"/>
                <w:b/>
                <w:sz w:val="18"/>
                <w:szCs w:val="18"/>
                <w:highlight w:val="yellow"/>
                <w:lang w:val="cs-CZ" w:eastAsia="cs-CZ"/>
              </w:rPr>
            </w:pPr>
            <w:r w:rsidRPr="0020297F">
              <w:rPr>
                <w:rFonts w:cs="Arial"/>
                <w:b/>
                <w:sz w:val="18"/>
                <w:szCs w:val="18"/>
                <w:lang w:val="cs-CZ" w:eastAsia="cs-CZ"/>
              </w:rPr>
              <w:t>4 Existence opatření pro účinné uplatňování právních předpisů Unie o veřejných zakázkách v oblasti fondů ESI</w:t>
            </w:r>
          </w:p>
        </w:tc>
        <w:tc>
          <w:tcPr>
            <w:tcW w:w="1012" w:type="pct"/>
          </w:tcPr>
          <w:p w:rsidR="00D00116" w:rsidRPr="00415224" w:rsidRDefault="00D00116" w:rsidP="00C36EE6">
            <w:pPr>
              <w:pStyle w:val="DAVA"/>
              <w:spacing w:before="80" w:after="80"/>
              <w:rPr>
                <w:rFonts w:cs="Arial"/>
                <w:sz w:val="18"/>
                <w:szCs w:val="18"/>
                <w:lang w:val="cs-CZ" w:eastAsia="cs-CZ"/>
              </w:rPr>
            </w:pPr>
            <w:r w:rsidRPr="00415224">
              <w:rPr>
                <w:rFonts w:cs="Arial"/>
                <w:sz w:val="18"/>
                <w:szCs w:val="18"/>
                <w:lang w:val="cs-CZ" w:eastAsia="cs-CZ"/>
              </w:rPr>
              <w:t>Opatření pro účinné uplatňování předpisů Unie o veřejných zakázkách prostřednictvím odpovídajících mechanismů</w:t>
            </w:r>
          </w:p>
        </w:tc>
        <w:tc>
          <w:tcPr>
            <w:tcW w:w="1344" w:type="pct"/>
          </w:tcPr>
          <w:p w:rsidR="00D00116" w:rsidRPr="009B41F6" w:rsidRDefault="00D00116" w:rsidP="00EF7E99">
            <w:pPr>
              <w:pStyle w:val="DAVA"/>
              <w:spacing w:before="80" w:after="80"/>
              <w:rPr>
                <w:rFonts w:cs="Arial"/>
                <w:sz w:val="18"/>
                <w:szCs w:val="18"/>
                <w:lang w:val="cs-CZ" w:eastAsia="cs-CZ"/>
              </w:rPr>
            </w:pPr>
            <w:r w:rsidRPr="0016109B">
              <w:rPr>
                <w:rFonts w:cs="Arial"/>
                <w:sz w:val="18"/>
                <w:szCs w:val="18"/>
                <w:u w:val="single"/>
                <w:lang w:val="cs-CZ" w:eastAsia="cs-CZ"/>
              </w:rPr>
              <w:t>Bude připraven zcela nový zákon o veřejných zakázkách, který bude představovat transpozici nových zadávacích směrnic EU</w:t>
            </w:r>
            <w:r w:rsidRPr="009B41F6">
              <w:rPr>
                <w:rFonts w:cs="Arial"/>
                <w:sz w:val="18"/>
                <w:szCs w:val="18"/>
                <w:lang w:val="cs-CZ" w:eastAsia="cs-CZ"/>
              </w:rPr>
              <w:t>. Základními principy, které bude nový zákon obsahovat, jsou:</w:t>
            </w:r>
          </w:p>
          <w:p w:rsidR="00D00116" w:rsidRPr="009B41F6" w:rsidRDefault="00D00116" w:rsidP="00D2490A">
            <w:pPr>
              <w:pStyle w:val="DAVA"/>
              <w:numPr>
                <w:ilvl w:val="0"/>
                <w:numId w:val="67"/>
              </w:numPr>
              <w:spacing w:before="80" w:after="80"/>
              <w:rPr>
                <w:rFonts w:cs="Arial"/>
                <w:sz w:val="18"/>
                <w:szCs w:val="18"/>
                <w:lang w:val="cs-CZ" w:eastAsia="cs-CZ"/>
              </w:rPr>
            </w:pPr>
            <w:r w:rsidRPr="009B41F6">
              <w:rPr>
                <w:rFonts w:cs="Arial"/>
                <w:sz w:val="18"/>
                <w:szCs w:val="18"/>
                <w:lang w:val="cs-CZ" w:eastAsia="cs-CZ"/>
              </w:rPr>
              <w:t>transpozice všech relevantních (povinných) ustanovení, které musí členské státy přijmout,</w:t>
            </w:r>
          </w:p>
          <w:p w:rsidR="00D00116" w:rsidRPr="009B41F6" w:rsidRDefault="00D00116" w:rsidP="00D2490A">
            <w:pPr>
              <w:pStyle w:val="DAVA"/>
              <w:numPr>
                <w:ilvl w:val="0"/>
                <w:numId w:val="67"/>
              </w:numPr>
              <w:spacing w:before="80" w:after="80"/>
              <w:rPr>
                <w:rFonts w:cs="Arial"/>
                <w:sz w:val="18"/>
                <w:szCs w:val="18"/>
                <w:lang w:val="cs-CZ" w:eastAsia="cs-CZ"/>
              </w:rPr>
            </w:pPr>
            <w:r w:rsidRPr="009B41F6">
              <w:rPr>
                <w:rFonts w:cs="Arial"/>
                <w:sz w:val="18"/>
                <w:szCs w:val="18"/>
                <w:lang w:val="cs-CZ" w:eastAsia="cs-CZ"/>
              </w:rPr>
              <w:t>obdobný režim pro podlimitní veřejné zakázky,</w:t>
            </w:r>
          </w:p>
          <w:p w:rsidR="00D00116" w:rsidRPr="009B41F6" w:rsidRDefault="00D00116" w:rsidP="00D2490A">
            <w:pPr>
              <w:pStyle w:val="DAVA"/>
              <w:numPr>
                <w:ilvl w:val="0"/>
                <w:numId w:val="67"/>
              </w:numPr>
              <w:spacing w:before="80" w:after="80"/>
              <w:rPr>
                <w:rFonts w:cs="Arial"/>
                <w:sz w:val="18"/>
                <w:szCs w:val="18"/>
                <w:lang w:val="cs-CZ" w:eastAsia="cs-CZ"/>
              </w:rPr>
            </w:pPr>
            <w:r w:rsidRPr="009B41F6">
              <w:rPr>
                <w:rFonts w:cs="Arial"/>
                <w:sz w:val="18"/>
                <w:szCs w:val="18"/>
                <w:lang w:val="cs-CZ" w:eastAsia="cs-CZ"/>
              </w:rPr>
              <w:t>snížení administrativní náročnosti zadávání,</w:t>
            </w:r>
          </w:p>
          <w:p w:rsidR="00D00116" w:rsidRDefault="00D00116" w:rsidP="00D2490A">
            <w:pPr>
              <w:pStyle w:val="DAVA"/>
              <w:numPr>
                <w:ilvl w:val="0"/>
                <w:numId w:val="67"/>
              </w:numPr>
              <w:spacing w:before="80" w:after="80"/>
              <w:rPr>
                <w:rFonts w:cs="Arial"/>
                <w:sz w:val="18"/>
                <w:szCs w:val="18"/>
                <w:lang w:val="cs-CZ" w:eastAsia="cs-CZ"/>
              </w:rPr>
            </w:pPr>
            <w:r w:rsidRPr="009B41F6">
              <w:rPr>
                <w:rFonts w:cs="Arial"/>
                <w:sz w:val="18"/>
                <w:szCs w:val="18"/>
                <w:lang w:val="cs-CZ" w:eastAsia="cs-CZ"/>
              </w:rPr>
              <w:t>zvýšení elektronizace (použití elektronických nástrojů) při zadávání</w:t>
            </w:r>
            <w:r>
              <w:rPr>
                <w:rFonts w:cs="Arial"/>
                <w:sz w:val="18"/>
                <w:szCs w:val="18"/>
                <w:lang w:val="cs-CZ" w:eastAsia="cs-CZ"/>
              </w:rPr>
              <w:t xml:space="preserve"> bude odpovídat povinnostem uvedeným v nových zadávacích směrnicích</w:t>
            </w:r>
            <w:r>
              <w:rPr>
                <w:rStyle w:val="Znakapoznpodarou"/>
                <w:rFonts w:cs="Arial"/>
                <w:sz w:val="18"/>
                <w:szCs w:val="18"/>
                <w:lang w:val="cs-CZ" w:eastAsia="cs-CZ"/>
              </w:rPr>
              <w:footnoteReference w:id="10"/>
            </w:r>
            <w:r>
              <w:rPr>
                <w:rFonts w:cs="Arial"/>
                <w:sz w:val="18"/>
                <w:szCs w:val="18"/>
                <w:lang w:val="cs-CZ" w:eastAsia="cs-CZ"/>
              </w:rPr>
              <w:t>,</w:t>
            </w:r>
          </w:p>
          <w:p w:rsidR="00D00116" w:rsidRPr="00675486" w:rsidRDefault="00D00116" w:rsidP="00D2490A">
            <w:pPr>
              <w:pStyle w:val="DAVA"/>
              <w:numPr>
                <w:ilvl w:val="0"/>
                <w:numId w:val="65"/>
              </w:numPr>
              <w:spacing w:before="80" w:after="80"/>
              <w:rPr>
                <w:sz w:val="18"/>
                <w:szCs w:val="18"/>
                <w:lang w:val="cs-CZ"/>
              </w:rPr>
            </w:pPr>
            <w:r w:rsidRPr="00675486">
              <w:rPr>
                <w:sz w:val="18"/>
                <w:szCs w:val="18"/>
                <w:lang w:val="cs-CZ"/>
              </w:rPr>
              <w:t xml:space="preserve">ČR  k 18. 4. 2016 přijme zákonnou úpravu o povinném elektronickém zadávání veřejných zakázek v souladu se směrnicemi 2014/23/ES, 2014/24/ES a 2014/25/ES., , </w:t>
            </w:r>
            <w:r>
              <w:rPr>
                <w:sz w:val="18"/>
                <w:szCs w:val="18"/>
                <w:lang w:val="cs-CZ"/>
              </w:rPr>
              <w:lastRenderedPageBreak/>
              <w:t>G</w:t>
            </w:r>
            <w:r w:rsidRPr="00675486">
              <w:rPr>
                <w:sz w:val="18"/>
                <w:szCs w:val="18"/>
                <w:lang w:val="cs-CZ"/>
              </w:rPr>
              <w:t>arantujeme zavedení elektronizace v termí</w:t>
            </w:r>
            <w:r>
              <w:rPr>
                <w:sz w:val="18"/>
                <w:szCs w:val="18"/>
                <w:lang w:val="cs-CZ"/>
              </w:rPr>
              <w:t>nech požadovaných SM EU 2014/24.</w:t>
            </w:r>
          </w:p>
          <w:p w:rsidR="00D00116" w:rsidRPr="00675486" w:rsidRDefault="00D00116" w:rsidP="00D2490A">
            <w:pPr>
              <w:pStyle w:val="DAVA"/>
              <w:numPr>
                <w:ilvl w:val="0"/>
                <w:numId w:val="65"/>
              </w:numPr>
              <w:spacing w:before="80" w:after="80"/>
              <w:rPr>
                <w:sz w:val="18"/>
                <w:szCs w:val="18"/>
                <w:lang w:val="cs-CZ"/>
              </w:rPr>
            </w:pPr>
            <w:r w:rsidRPr="00675486">
              <w:rPr>
                <w:sz w:val="18"/>
                <w:szCs w:val="18"/>
                <w:lang w:val="cs-CZ"/>
              </w:rPr>
              <w:t>spuštění ostrého provozu Národního elektronického nástroje (NEN),</w:t>
            </w:r>
          </w:p>
          <w:p w:rsidR="00D00116" w:rsidRPr="000D30C7" w:rsidRDefault="00D00116" w:rsidP="00602DA2">
            <w:pPr>
              <w:pStyle w:val="DAVA"/>
              <w:numPr>
                <w:ilvl w:val="0"/>
                <w:numId w:val="65"/>
              </w:numPr>
              <w:spacing w:before="80" w:after="80"/>
              <w:rPr>
                <w:sz w:val="18"/>
                <w:szCs w:val="18"/>
                <w:lang w:val="cs-CZ"/>
              </w:rPr>
            </w:pPr>
            <w:r w:rsidRPr="00675486">
              <w:rPr>
                <w:sz w:val="18"/>
                <w:szCs w:val="18"/>
                <w:lang w:val="cs-CZ"/>
              </w:rPr>
              <w:t>Vláda ČR rozhodne o povinnosti používat NEN pro jednotlivé druhy zadavatelů</w:t>
            </w:r>
          </w:p>
          <w:p w:rsidR="00D00116" w:rsidRPr="009B41F6" w:rsidRDefault="00D00116" w:rsidP="000D30C7">
            <w:pPr>
              <w:pStyle w:val="DAVA"/>
              <w:spacing w:before="80" w:after="80"/>
              <w:ind w:left="369"/>
              <w:rPr>
                <w:rFonts w:cs="Arial"/>
                <w:sz w:val="18"/>
                <w:szCs w:val="18"/>
                <w:lang w:val="cs-CZ" w:eastAsia="cs-CZ"/>
              </w:rPr>
            </w:pPr>
            <w:r>
              <w:rPr>
                <w:rFonts w:cs="Arial"/>
                <w:sz w:val="18"/>
                <w:szCs w:val="18"/>
                <w:lang w:val="cs-CZ" w:eastAsia="cs-CZ"/>
              </w:rPr>
              <w:t xml:space="preserve">5) </w:t>
            </w:r>
            <w:r w:rsidRPr="009B41F6">
              <w:rPr>
                <w:rFonts w:cs="Arial"/>
                <w:sz w:val="18"/>
                <w:szCs w:val="18"/>
                <w:lang w:val="cs-CZ" w:eastAsia="cs-CZ"/>
              </w:rPr>
              <w:t>zohlednění zásady proporcionality v zadávacím řízení,</w:t>
            </w:r>
          </w:p>
          <w:p w:rsidR="00D00116" w:rsidRDefault="00D00116" w:rsidP="00A3297D">
            <w:pPr>
              <w:pStyle w:val="DAVA"/>
              <w:spacing w:before="80" w:after="80"/>
              <w:ind w:left="356"/>
              <w:rPr>
                <w:rFonts w:cs="Arial"/>
                <w:sz w:val="18"/>
                <w:szCs w:val="18"/>
                <w:lang w:val="cs-CZ"/>
              </w:rPr>
            </w:pPr>
            <w:r>
              <w:rPr>
                <w:rFonts w:cs="Arial"/>
                <w:sz w:val="18"/>
                <w:szCs w:val="18"/>
                <w:lang w:val="cs-CZ" w:eastAsia="cs-CZ"/>
              </w:rPr>
              <w:t xml:space="preserve">6) </w:t>
            </w:r>
            <w:r w:rsidRPr="009B41F6">
              <w:rPr>
                <w:rFonts w:cs="Arial"/>
                <w:sz w:val="18"/>
                <w:szCs w:val="18"/>
                <w:lang w:val="cs-CZ" w:eastAsia="cs-CZ"/>
              </w:rPr>
              <w:t>na základě analýz rozhodovací praxe UOHS a kontrolních a auditních zjištění budou zpracovány návrhy na úpravu legislativy.</w:t>
            </w:r>
          </w:p>
        </w:tc>
        <w:tc>
          <w:tcPr>
            <w:tcW w:w="989" w:type="pct"/>
          </w:tcPr>
          <w:p w:rsidR="00D00116" w:rsidRDefault="00D00116" w:rsidP="00EF7E99">
            <w:pPr>
              <w:pStyle w:val="DAVA"/>
              <w:spacing w:before="80" w:after="80"/>
              <w:rPr>
                <w:rFonts w:cs="Arial"/>
                <w:sz w:val="18"/>
                <w:szCs w:val="18"/>
                <w:lang w:val="cs-CZ" w:eastAsia="cs-CZ"/>
              </w:rPr>
            </w:pPr>
            <w:r w:rsidRPr="009B41F6">
              <w:rPr>
                <w:rFonts w:cs="Arial"/>
                <w:sz w:val="18"/>
                <w:szCs w:val="18"/>
                <w:lang w:val="cs-CZ" w:eastAsia="cs-CZ"/>
              </w:rPr>
              <w:lastRenderedPageBreak/>
              <w:t xml:space="preserve">18. 4. 2016; </w:t>
            </w:r>
          </w:p>
          <w:p w:rsidR="00D00116" w:rsidRDefault="00D00116" w:rsidP="00EF7E99">
            <w:pPr>
              <w:pStyle w:val="DAVA"/>
              <w:spacing w:before="80" w:after="80"/>
              <w:rPr>
                <w:rFonts w:cs="Arial"/>
                <w:sz w:val="18"/>
                <w:szCs w:val="18"/>
                <w:lang w:val="cs-CZ" w:eastAsia="cs-CZ"/>
              </w:rPr>
            </w:pPr>
            <w:r>
              <w:rPr>
                <w:rFonts w:cs="Arial"/>
                <w:sz w:val="18"/>
                <w:szCs w:val="18"/>
                <w:lang w:val="cs-CZ" w:eastAsia="cs-CZ"/>
              </w:rPr>
              <w:t xml:space="preserve">31. 12. 2015 </w:t>
            </w:r>
            <w:r w:rsidRPr="009B41F6">
              <w:rPr>
                <w:rFonts w:cs="Arial"/>
                <w:sz w:val="18"/>
                <w:szCs w:val="18"/>
                <w:lang w:val="cs-CZ" w:eastAsia="cs-CZ"/>
              </w:rPr>
              <w:t>bod 6</w:t>
            </w:r>
          </w:p>
          <w:p w:rsidR="00D00116" w:rsidRDefault="00D00116" w:rsidP="00656D79">
            <w:pPr>
              <w:pStyle w:val="DAVA"/>
              <w:spacing w:before="80" w:after="80"/>
              <w:rPr>
                <w:rFonts w:cs="Arial"/>
                <w:sz w:val="18"/>
                <w:szCs w:val="18"/>
                <w:lang w:val="cs-CZ" w:eastAsia="cs-CZ"/>
              </w:rPr>
            </w:pPr>
            <w:r>
              <w:rPr>
                <w:rFonts w:cs="Arial"/>
                <w:sz w:val="18"/>
                <w:szCs w:val="18"/>
                <w:lang w:val="cs-CZ" w:eastAsia="cs-CZ"/>
              </w:rPr>
              <w:t>18. 4. 2016 bod 4a</w:t>
            </w:r>
          </w:p>
          <w:p w:rsidR="00D00116" w:rsidRDefault="00D00116" w:rsidP="00656D79">
            <w:pPr>
              <w:pStyle w:val="DAVA"/>
              <w:spacing w:before="80" w:after="80"/>
              <w:rPr>
                <w:rFonts w:cs="Arial"/>
                <w:sz w:val="18"/>
                <w:szCs w:val="18"/>
                <w:lang w:val="cs-CZ" w:eastAsia="cs-CZ"/>
              </w:rPr>
            </w:pPr>
            <w:r>
              <w:rPr>
                <w:rFonts w:cs="Arial"/>
                <w:sz w:val="18"/>
                <w:szCs w:val="18"/>
                <w:lang w:val="cs-CZ" w:eastAsia="cs-CZ"/>
              </w:rPr>
              <w:t>1. 10. 2015 bod 4b</w:t>
            </w:r>
          </w:p>
          <w:p w:rsidR="00D00116" w:rsidRDefault="00D00116" w:rsidP="00656D79">
            <w:pPr>
              <w:pStyle w:val="DAVA"/>
              <w:spacing w:before="80" w:after="80"/>
              <w:rPr>
                <w:rFonts w:cs="Arial"/>
                <w:sz w:val="18"/>
                <w:szCs w:val="18"/>
                <w:lang w:val="cs-CZ" w:eastAsia="cs-CZ"/>
              </w:rPr>
            </w:pPr>
            <w:r>
              <w:rPr>
                <w:rFonts w:cs="Arial"/>
                <w:sz w:val="18"/>
                <w:szCs w:val="18"/>
                <w:lang w:val="cs-CZ" w:eastAsia="cs-CZ"/>
              </w:rPr>
              <w:t>31. 12. 2016 bod 4c</w:t>
            </w:r>
          </w:p>
          <w:p w:rsidR="00D00116" w:rsidRDefault="00D00116" w:rsidP="00EF7E99">
            <w:pPr>
              <w:pStyle w:val="DAVA"/>
              <w:spacing w:before="80" w:after="80"/>
              <w:rPr>
                <w:rFonts w:cs="Arial"/>
                <w:sz w:val="18"/>
                <w:szCs w:val="18"/>
                <w:lang w:val="cs-CZ"/>
              </w:rPr>
            </w:pPr>
          </w:p>
        </w:tc>
        <w:tc>
          <w:tcPr>
            <w:tcW w:w="815" w:type="pct"/>
          </w:tcPr>
          <w:p w:rsidR="00D00116" w:rsidRPr="00A76D60" w:rsidRDefault="00D00116" w:rsidP="00EF7E99">
            <w:pPr>
              <w:pStyle w:val="DAVA"/>
              <w:spacing w:before="80" w:after="80"/>
              <w:rPr>
                <w:rFonts w:cs="Arial"/>
                <w:sz w:val="18"/>
                <w:szCs w:val="18"/>
                <w:lang w:val="cs-CZ"/>
              </w:rPr>
            </w:pPr>
            <w:r>
              <w:rPr>
                <w:rFonts w:cs="Arial"/>
                <w:sz w:val="18"/>
                <w:szCs w:val="18"/>
                <w:lang w:val="cs-CZ"/>
              </w:rPr>
              <w:t>MMR</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415224" w:rsidRDefault="00D00116" w:rsidP="00C36EE6">
            <w:pPr>
              <w:pStyle w:val="DAVA"/>
              <w:spacing w:before="80" w:after="80"/>
              <w:rPr>
                <w:rFonts w:cs="Arial"/>
                <w:sz w:val="18"/>
                <w:szCs w:val="18"/>
                <w:lang w:val="cs-CZ" w:eastAsia="cs-CZ"/>
              </w:rPr>
            </w:pPr>
            <w:r w:rsidRPr="00415224">
              <w:rPr>
                <w:rFonts w:cs="Arial"/>
                <w:sz w:val="18"/>
                <w:szCs w:val="18"/>
                <w:lang w:val="cs-CZ" w:eastAsia="cs-CZ"/>
              </w:rPr>
              <w:t>Opatření pro účinné uplatňování předpisů Unie o veřejných zakázkách prostřednictvím odpovídajících mechanismů</w:t>
            </w:r>
          </w:p>
        </w:tc>
        <w:tc>
          <w:tcPr>
            <w:tcW w:w="1344" w:type="pct"/>
          </w:tcPr>
          <w:p w:rsidR="00D00116" w:rsidRPr="003C3E9F" w:rsidRDefault="00D00116" w:rsidP="00EF7E99">
            <w:pPr>
              <w:pStyle w:val="DAVA"/>
              <w:spacing w:before="80" w:after="80"/>
              <w:rPr>
                <w:rFonts w:cs="Arial"/>
                <w:sz w:val="18"/>
                <w:szCs w:val="18"/>
                <w:u w:val="single"/>
                <w:lang w:val="cs-CZ"/>
              </w:rPr>
            </w:pPr>
            <w:r w:rsidRPr="0016109B">
              <w:rPr>
                <w:rFonts w:cs="Arial"/>
                <w:sz w:val="18"/>
                <w:szCs w:val="18"/>
                <w:u w:val="single"/>
                <w:lang w:val="cs-CZ"/>
              </w:rPr>
              <w:t>Provedení série opatření, jejichž cílem bude zefektivnění dohledové činnosti ÚOHS  - zejména s ohledem n</w:t>
            </w:r>
            <w:r>
              <w:rPr>
                <w:rFonts w:cs="Arial"/>
                <w:sz w:val="18"/>
                <w:szCs w:val="18"/>
                <w:u w:val="single"/>
                <w:lang w:val="cs-CZ"/>
              </w:rPr>
              <w:t xml:space="preserve">a zkrácení lhůt k rozhodování. </w:t>
            </w:r>
          </w:p>
          <w:p w:rsidR="00D00116" w:rsidRDefault="00D00116" w:rsidP="00EF7E99">
            <w:pPr>
              <w:pStyle w:val="DAVA"/>
              <w:spacing w:before="80" w:after="80"/>
              <w:rPr>
                <w:rFonts w:cs="Arial"/>
                <w:sz w:val="18"/>
                <w:szCs w:val="18"/>
                <w:lang w:val="cs-CZ"/>
              </w:rPr>
            </w:pPr>
            <w:r>
              <w:rPr>
                <w:rFonts w:cs="Arial"/>
                <w:sz w:val="18"/>
                <w:szCs w:val="18"/>
                <w:lang w:val="cs-CZ"/>
              </w:rPr>
              <w:t>Nelegislativní opatření:</w:t>
            </w:r>
          </w:p>
          <w:p w:rsidR="00D00116" w:rsidRDefault="00D00116" w:rsidP="000D30C7">
            <w:pPr>
              <w:pStyle w:val="DAVA"/>
              <w:numPr>
                <w:ilvl w:val="0"/>
                <w:numId w:val="47"/>
              </w:numPr>
              <w:spacing w:before="80" w:after="80"/>
              <w:rPr>
                <w:rFonts w:cs="Arial"/>
                <w:sz w:val="18"/>
                <w:szCs w:val="18"/>
                <w:lang w:val="cs-CZ" w:eastAsia="cs-CZ"/>
              </w:rPr>
            </w:pPr>
            <w:r>
              <w:rPr>
                <w:rFonts w:cs="Arial"/>
                <w:sz w:val="18"/>
                <w:szCs w:val="18"/>
                <w:lang w:val="cs-CZ"/>
              </w:rPr>
              <w:t>Standardizace podnětů k zahájení řízení o přezkoumání úkonů zadavatele zasílaných ŘO.</w:t>
            </w:r>
          </w:p>
          <w:p w:rsidR="00D00116" w:rsidRPr="009B41F6" w:rsidRDefault="00D00116" w:rsidP="00EF7E99">
            <w:pPr>
              <w:pStyle w:val="DAVA"/>
              <w:spacing w:before="80" w:after="80"/>
              <w:rPr>
                <w:rFonts w:cs="Arial"/>
                <w:sz w:val="18"/>
                <w:szCs w:val="18"/>
                <w:lang w:val="cs-CZ" w:eastAsia="cs-CZ"/>
              </w:rPr>
            </w:pPr>
            <w:r>
              <w:rPr>
                <w:rFonts w:cs="Arial"/>
                <w:sz w:val="18"/>
                <w:szCs w:val="18"/>
                <w:lang w:val="cs-CZ"/>
              </w:rPr>
              <w:t>Legislativní:</w:t>
            </w:r>
          </w:p>
          <w:p w:rsidR="00D00116" w:rsidRDefault="00D00116" w:rsidP="000D30C7">
            <w:pPr>
              <w:pStyle w:val="DAVA"/>
              <w:numPr>
                <w:ilvl w:val="0"/>
                <w:numId w:val="47"/>
              </w:numPr>
              <w:spacing w:before="80" w:after="80"/>
              <w:rPr>
                <w:rFonts w:cs="Arial"/>
                <w:sz w:val="18"/>
                <w:szCs w:val="18"/>
                <w:lang w:val="cs-CZ"/>
              </w:rPr>
            </w:pPr>
            <w:r>
              <w:rPr>
                <w:rFonts w:cs="Arial"/>
                <w:sz w:val="18"/>
                <w:szCs w:val="18"/>
                <w:lang w:val="cs-CZ" w:eastAsia="cs-CZ"/>
              </w:rPr>
              <w:t>Dne 6. 3. 2015 vstoupila v účinnost Technická</w:t>
            </w:r>
            <w:r w:rsidRPr="009B41F6">
              <w:rPr>
                <w:rFonts w:cs="Arial"/>
                <w:sz w:val="18"/>
                <w:szCs w:val="18"/>
                <w:lang w:val="cs-CZ" w:eastAsia="cs-CZ"/>
              </w:rPr>
              <w:t xml:space="preserve"> novela ZVZ, která upravuje řízení před UOHS. Předmětem úpravy je povinnost účastníků řízení předkládat veškeré návrhy a důkazní prostředky co nejdříve, nejpozději do 15 dnů od zahájení řízení.</w:t>
            </w:r>
            <w:r>
              <w:rPr>
                <w:rFonts w:cs="Arial"/>
                <w:sz w:val="18"/>
                <w:szCs w:val="18"/>
                <w:lang w:val="cs-CZ" w:eastAsia="cs-CZ"/>
              </w:rPr>
              <w:t xml:space="preserve"> </w:t>
            </w:r>
          </w:p>
          <w:p w:rsidR="00D00116" w:rsidRDefault="00D00116" w:rsidP="00EF7E99">
            <w:pPr>
              <w:pStyle w:val="DAVA"/>
              <w:spacing w:before="80" w:after="80"/>
              <w:ind w:left="720"/>
              <w:rPr>
                <w:rFonts w:cs="Arial"/>
                <w:sz w:val="18"/>
                <w:szCs w:val="18"/>
                <w:lang w:val="cs-CZ"/>
              </w:rPr>
            </w:pPr>
          </w:p>
          <w:p w:rsidR="00D00116" w:rsidRDefault="00D00116" w:rsidP="000D30C7">
            <w:pPr>
              <w:pStyle w:val="DAVA"/>
              <w:numPr>
                <w:ilvl w:val="0"/>
                <w:numId w:val="47"/>
              </w:numPr>
              <w:spacing w:before="80" w:after="80"/>
              <w:rPr>
                <w:rFonts w:cs="Arial"/>
                <w:sz w:val="18"/>
                <w:szCs w:val="18"/>
                <w:lang w:val="cs-CZ"/>
              </w:rPr>
            </w:pPr>
            <w:r w:rsidRPr="009B41F6">
              <w:rPr>
                <w:rFonts w:cs="Arial"/>
                <w:sz w:val="18"/>
                <w:szCs w:val="18"/>
                <w:lang w:val="cs-CZ" w:eastAsia="cs-CZ"/>
              </w:rPr>
              <w:t xml:space="preserve">Při přípravě nového zákona dojde </w:t>
            </w:r>
            <w:r w:rsidRPr="009B41F6">
              <w:rPr>
                <w:rFonts w:cs="Arial"/>
                <w:sz w:val="18"/>
                <w:szCs w:val="18"/>
                <w:lang w:val="cs-CZ" w:eastAsia="cs-CZ"/>
              </w:rPr>
              <w:lastRenderedPageBreak/>
              <w:t>k dalšímu zvýšení elektronizace řízení před UOHS (povinnost zasílat dokumentaci v elektronické podobě) a zefektivnění činnosti UOHS.</w:t>
            </w:r>
          </w:p>
          <w:p w:rsidR="00D00116" w:rsidRDefault="00D00116" w:rsidP="00EF7E99">
            <w:pPr>
              <w:pStyle w:val="DAVA"/>
              <w:spacing w:before="80" w:after="80"/>
              <w:rPr>
                <w:rFonts w:cs="Arial"/>
                <w:sz w:val="18"/>
                <w:szCs w:val="18"/>
                <w:lang w:val="cs-CZ" w:eastAsia="cs-CZ"/>
              </w:rPr>
            </w:pPr>
          </w:p>
          <w:p w:rsidR="00D00116" w:rsidRPr="00A76D60" w:rsidRDefault="00D00116" w:rsidP="00EF7E99">
            <w:pPr>
              <w:pStyle w:val="DAVA"/>
              <w:spacing w:before="80" w:after="80"/>
              <w:rPr>
                <w:rFonts w:cs="Arial"/>
                <w:sz w:val="18"/>
                <w:szCs w:val="18"/>
                <w:lang w:val="cs-CZ"/>
              </w:rPr>
            </w:pPr>
            <w:r>
              <w:rPr>
                <w:rFonts w:cs="Arial"/>
                <w:sz w:val="18"/>
                <w:szCs w:val="18"/>
                <w:lang w:val="cs-CZ"/>
              </w:rPr>
              <w:t xml:space="preserve">MMR </w:t>
            </w:r>
            <w:r w:rsidRPr="00A76D60">
              <w:rPr>
                <w:rFonts w:cs="Arial"/>
                <w:sz w:val="18"/>
                <w:szCs w:val="18"/>
                <w:lang w:val="cs-CZ"/>
              </w:rPr>
              <w:t xml:space="preserve">předloží Evropské komisi informaci o pokroku ve věci zpoždění s rozhodovací činností ÚOHS. </w:t>
            </w:r>
          </w:p>
        </w:tc>
        <w:tc>
          <w:tcPr>
            <w:tcW w:w="989" w:type="pct"/>
          </w:tcPr>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r w:rsidRPr="00A76D60">
              <w:rPr>
                <w:rFonts w:cs="Arial"/>
                <w:sz w:val="18"/>
                <w:szCs w:val="18"/>
                <w:lang w:val="cs-CZ"/>
              </w:rPr>
              <w:t>30. 6. 201</w:t>
            </w:r>
            <w:r>
              <w:rPr>
                <w:rFonts w:cs="Arial"/>
                <w:sz w:val="18"/>
                <w:szCs w:val="18"/>
                <w:lang w:val="cs-CZ"/>
              </w:rPr>
              <w:t xml:space="preserve">5 </w:t>
            </w: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r>
              <w:rPr>
                <w:rFonts w:cs="Arial"/>
                <w:sz w:val="18"/>
                <w:szCs w:val="18"/>
                <w:lang w:val="cs-CZ"/>
              </w:rPr>
              <w:t>18.4.2016</w:t>
            </w: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Pr="00A76D60" w:rsidRDefault="00D00116" w:rsidP="00EF7E99">
            <w:pPr>
              <w:pStyle w:val="DAVA"/>
              <w:spacing w:before="80" w:after="80"/>
              <w:rPr>
                <w:rFonts w:cs="Arial"/>
                <w:sz w:val="18"/>
                <w:szCs w:val="18"/>
                <w:lang w:val="cs-CZ"/>
              </w:rPr>
            </w:pPr>
            <w:r>
              <w:rPr>
                <w:rFonts w:cs="Arial"/>
                <w:sz w:val="18"/>
                <w:szCs w:val="18"/>
                <w:lang w:val="cs-CZ"/>
              </w:rPr>
              <w:t>30. 6. 2016 Zpráva o pokroku v rámci činnosti UOHS zahrnující body 1), 2) a 3)</w:t>
            </w:r>
          </w:p>
        </w:tc>
        <w:tc>
          <w:tcPr>
            <w:tcW w:w="815" w:type="pct"/>
          </w:tcPr>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r>
              <w:rPr>
                <w:rFonts w:cs="Arial"/>
                <w:sz w:val="18"/>
                <w:szCs w:val="18"/>
                <w:lang w:val="cs-CZ"/>
              </w:rPr>
              <w:t>MMR UOHS</w:t>
            </w: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r>
              <w:rPr>
                <w:rFonts w:cs="Arial"/>
                <w:sz w:val="18"/>
                <w:szCs w:val="18"/>
                <w:lang w:val="cs-CZ"/>
              </w:rPr>
              <w:t>MMR</w:t>
            </w: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r w:rsidRPr="00A76D60">
              <w:rPr>
                <w:rFonts w:cs="Arial"/>
                <w:sz w:val="18"/>
                <w:szCs w:val="18"/>
                <w:lang w:val="cs-CZ"/>
              </w:rPr>
              <w:lastRenderedPageBreak/>
              <w:t>MMR</w:t>
            </w: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Default="00D00116" w:rsidP="00EF7E99">
            <w:pPr>
              <w:pStyle w:val="DAVA"/>
              <w:spacing w:before="80" w:after="80"/>
              <w:rPr>
                <w:rFonts w:cs="Arial"/>
                <w:sz w:val="18"/>
                <w:szCs w:val="18"/>
                <w:lang w:val="cs-CZ"/>
              </w:rPr>
            </w:pPr>
          </w:p>
          <w:p w:rsidR="00D00116" w:rsidRPr="00A76D60" w:rsidRDefault="00D00116" w:rsidP="00EF7E99">
            <w:pPr>
              <w:pStyle w:val="DAVA"/>
              <w:spacing w:before="80" w:after="80"/>
              <w:rPr>
                <w:rFonts w:cs="Arial"/>
                <w:sz w:val="18"/>
                <w:szCs w:val="18"/>
                <w:lang w:val="cs-CZ"/>
              </w:rPr>
            </w:pPr>
            <w:r>
              <w:rPr>
                <w:rFonts w:cs="Arial"/>
                <w:sz w:val="18"/>
                <w:szCs w:val="18"/>
                <w:lang w:val="cs-CZ"/>
              </w:rPr>
              <w:t xml:space="preserve">MMR, ÚOHS                                                                                                                                                                                                                                                                                                                                                                                                                                               </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415224" w:rsidRDefault="00D00116" w:rsidP="00C36EE6">
            <w:pPr>
              <w:pStyle w:val="DAVA"/>
              <w:spacing w:before="80" w:after="80"/>
              <w:rPr>
                <w:rFonts w:cs="Arial"/>
                <w:sz w:val="18"/>
                <w:szCs w:val="18"/>
                <w:lang w:val="cs-CZ" w:eastAsia="cs-CZ"/>
              </w:rPr>
            </w:pPr>
            <w:r w:rsidRPr="00415224">
              <w:rPr>
                <w:rFonts w:cs="Arial"/>
                <w:sz w:val="18"/>
                <w:szCs w:val="18"/>
                <w:lang w:val="cs-CZ" w:eastAsia="cs-CZ"/>
              </w:rPr>
              <w:t>Opatření pro účinné uplatňování předpisů Unie o veřejných zakázkách prostřednictvím odpovídajících mechanismů</w:t>
            </w:r>
          </w:p>
        </w:tc>
        <w:tc>
          <w:tcPr>
            <w:tcW w:w="1344" w:type="pct"/>
          </w:tcPr>
          <w:p w:rsidR="00D00116" w:rsidRPr="0016109B" w:rsidRDefault="00D00116" w:rsidP="00EF7E99">
            <w:pPr>
              <w:pStyle w:val="DAVA"/>
              <w:spacing w:before="80" w:after="80"/>
              <w:rPr>
                <w:rFonts w:cs="Arial"/>
                <w:sz w:val="18"/>
                <w:szCs w:val="18"/>
                <w:u w:val="single"/>
                <w:lang w:val="cs-CZ" w:eastAsia="cs-CZ"/>
              </w:rPr>
            </w:pPr>
            <w:r w:rsidRPr="0016109B">
              <w:rPr>
                <w:rFonts w:cs="Arial"/>
                <w:sz w:val="18"/>
                <w:szCs w:val="18"/>
                <w:u w:val="single"/>
                <w:lang w:val="cs-CZ" w:eastAsia="cs-CZ"/>
              </w:rPr>
              <w:t>Opatření ke snížení chybovosti a zvýšení efektivity zadávání veřejných zakázek:</w:t>
            </w:r>
          </w:p>
          <w:p w:rsidR="00D00116" w:rsidRPr="0016109B" w:rsidRDefault="00D00116" w:rsidP="00EF7E99">
            <w:pPr>
              <w:pStyle w:val="DAVA"/>
              <w:spacing w:before="80" w:after="80"/>
              <w:rPr>
                <w:rFonts w:cs="Arial"/>
                <w:sz w:val="18"/>
                <w:szCs w:val="18"/>
                <w:u w:val="single"/>
                <w:lang w:val="cs-CZ"/>
              </w:rPr>
            </w:pPr>
            <w:r w:rsidRPr="0016109B">
              <w:rPr>
                <w:rFonts w:cs="Arial"/>
                <w:sz w:val="18"/>
                <w:szCs w:val="18"/>
                <w:u w:val="single"/>
                <w:lang w:val="cs-CZ"/>
              </w:rPr>
              <w:t xml:space="preserve">MMR zpracuje každý rok zprávu o činnosti a pokroku </w:t>
            </w:r>
            <w:proofErr w:type="spellStart"/>
            <w:r w:rsidRPr="0016109B">
              <w:rPr>
                <w:rFonts w:cs="Arial"/>
                <w:sz w:val="18"/>
                <w:szCs w:val="18"/>
                <w:u w:val="single"/>
                <w:lang w:val="cs-CZ"/>
              </w:rPr>
              <w:t>tzv</w:t>
            </w:r>
            <w:proofErr w:type="spellEnd"/>
            <w:r w:rsidRPr="0016109B">
              <w:rPr>
                <w:rFonts w:cs="Arial"/>
                <w:sz w:val="18"/>
                <w:szCs w:val="18"/>
                <w:u w:val="single"/>
                <w:lang w:val="cs-CZ"/>
              </w:rPr>
              <w:t xml:space="preserve"> </w:t>
            </w:r>
            <w:proofErr w:type="spellStart"/>
            <w:r>
              <w:rPr>
                <w:rFonts w:cs="Arial"/>
                <w:sz w:val="18"/>
                <w:szCs w:val="18"/>
                <w:u w:val="single"/>
                <w:lang w:val="cs-CZ"/>
              </w:rPr>
              <w:t>Progress</w:t>
            </w:r>
            <w:proofErr w:type="spellEnd"/>
            <w:r w:rsidRPr="0016109B">
              <w:rPr>
                <w:rFonts w:cs="Arial"/>
                <w:sz w:val="18"/>
                <w:szCs w:val="18"/>
                <w:u w:val="single"/>
                <w:lang w:val="cs-CZ"/>
              </w:rPr>
              <w:t xml:space="preserve"> report.</w:t>
            </w:r>
          </w:p>
          <w:p w:rsidR="00D00116" w:rsidRDefault="00D00116" w:rsidP="00EF7E99">
            <w:pPr>
              <w:pStyle w:val="DAVA"/>
              <w:spacing w:before="80" w:after="80"/>
              <w:rPr>
                <w:rFonts w:cs="Arial"/>
                <w:sz w:val="18"/>
                <w:szCs w:val="18"/>
                <w:lang w:val="cs-CZ"/>
              </w:rPr>
            </w:pPr>
            <w:proofErr w:type="spellStart"/>
            <w:r>
              <w:rPr>
                <w:rFonts w:cs="Arial"/>
                <w:sz w:val="18"/>
                <w:szCs w:val="18"/>
                <w:lang w:val="cs-CZ"/>
              </w:rPr>
              <w:t>Progress</w:t>
            </w:r>
            <w:proofErr w:type="spellEnd"/>
            <w:r>
              <w:rPr>
                <w:rFonts w:cs="Arial"/>
                <w:sz w:val="18"/>
                <w:szCs w:val="18"/>
                <w:lang w:val="cs-CZ"/>
              </w:rPr>
              <w:t xml:space="preserve"> report bude sloužit jako hlavní nástroj identifikace nejčastějších pochybení a problémů v rámci zadávání. </w:t>
            </w:r>
          </w:p>
          <w:p w:rsidR="00D00116" w:rsidRDefault="00D00116" w:rsidP="00EF7E99">
            <w:pPr>
              <w:pStyle w:val="DAVA"/>
              <w:spacing w:before="80" w:after="80"/>
              <w:rPr>
                <w:rFonts w:cs="Arial"/>
                <w:sz w:val="18"/>
                <w:szCs w:val="18"/>
                <w:lang w:val="cs-CZ"/>
              </w:rPr>
            </w:pPr>
            <w:r>
              <w:rPr>
                <w:rFonts w:cs="Arial"/>
                <w:sz w:val="18"/>
                <w:szCs w:val="18"/>
                <w:lang w:val="cs-CZ"/>
              </w:rPr>
              <w:t>Po provedení identifikace nejčastějších problémů v rámci zadávání, budou vydefinována i opatření k jejich odstranění.</w:t>
            </w:r>
          </w:p>
          <w:p w:rsidR="00D00116" w:rsidRDefault="00D00116" w:rsidP="00EF7E99">
            <w:pPr>
              <w:pStyle w:val="DAVA"/>
              <w:spacing w:before="80" w:after="80"/>
              <w:rPr>
                <w:rFonts w:cs="Arial"/>
                <w:sz w:val="18"/>
                <w:szCs w:val="18"/>
                <w:lang w:val="cs-CZ"/>
              </w:rPr>
            </w:pPr>
            <w:r w:rsidRPr="00D64BEF">
              <w:rPr>
                <w:rFonts w:cs="Arial"/>
                <w:sz w:val="18"/>
                <w:szCs w:val="18"/>
                <w:lang w:val="cs-CZ"/>
              </w:rPr>
              <w:t xml:space="preserve"> Zpráva bude obsahovat </w:t>
            </w:r>
            <w:r>
              <w:rPr>
                <w:rFonts w:cs="Arial"/>
                <w:sz w:val="18"/>
                <w:szCs w:val="18"/>
                <w:lang w:val="cs-CZ"/>
              </w:rPr>
              <w:t>zejména:</w:t>
            </w:r>
          </w:p>
          <w:p w:rsidR="00D00116" w:rsidRPr="006E3DD0" w:rsidRDefault="00D00116" w:rsidP="000D30C7">
            <w:pPr>
              <w:pStyle w:val="DAVA"/>
              <w:numPr>
                <w:ilvl w:val="0"/>
                <w:numId w:val="68"/>
              </w:numPr>
              <w:spacing w:before="80" w:after="80"/>
              <w:rPr>
                <w:rFonts w:cs="Arial"/>
                <w:sz w:val="18"/>
                <w:szCs w:val="18"/>
                <w:lang w:val="cs-CZ" w:eastAsia="cs-CZ"/>
              </w:rPr>
            </w:pPr>
            <w:r w:rsidRPr="00D64BEF">
              <w:rPr>
                <w:rFonts w:cs="Arial"/>
                <w:sz w:val="18"/>
                <w:szCs w:val="18"/>
                <w:lang w:val="cs-CZ"/>
              </w:rPr>
              <w:t xml:space="preserve">seznam analyzovaných podkladů, zejména rozhodnutí UOHS, soudů, </w:t>
            </w:r>
            <w:r w:rsidRPr="009B41F6">
              <w:rPr>
                <w:rFonts w:cs="Arial"/>
                <w:sz w:val="18"/>
                <w:szCs w:val="18"/>
                <w:lang w:val="cs-CZ" w:eastAsia="cs-CZ"/>
              </w:rPr>
              <w:t xml:space="preserve">Soudního dvora EU </w:t>
            </w:r>
            <w:r w:rsidRPr="00D64BEF">
              <w:rPr>
                <w:rFonts w:cs="Arial"/>
                <w:sz w:val="18"/>
                <w:szCs w:val="18"/>
                <w:lang w:val="cs-CZ"/>
              </w:rPr>
              <w:t>auditních zpráv.</w:t>
            </w:r>
            <w:r w:rsidRPr="009B41F6">
              <w:rPr>
                <w:rFonts w:cs="Arial"/>
                <w:sz w:val="18"/>
                <w:szCs w:val="18"/>
                <w:lang w:val="cs-CZ" w:eastAsia="cs-CZ"/>
              </w:rPr>
              <w:t xml:space="preserve"> které v ČR budou provádět auditoři z EÚD a EK, se zaměřením na analýzu negativních a pozitivních zjištění a doporučení týkajících se zadávání veřejných zakázek</w:t>
            </w:r>
          </w:p>
          <w:p w:rsidR="00D00116" w:rsidRDefault="00D00116" w:rsidP="000D30C7">
            <w:pPr>
              <w:pStyle w:val="DAVA"/>
              <w:numPr>
                <w:ilvl w:val="0"/>
                <w:numId w:val="68"/>
              </w:numPr>
              <w:spacing w:before="80" w:after="80"/>
              <w:rPr>
                <w:rFonts w:cs="Arial"/>
                <w:sz w:val="18"/>
                <w:szCs w:val="18"/>
                <w:lang w:val="cs-CZ"/>
              </w:rPr>
            </w:pPr>
            <w:r>
              <w:rPr>
                <w:rFonts w:cs="Arial"/>
                <w:sz w:val="18"/>
                <w:szCs w:val="18"/>
                <w:lang w:val="cs-CZ"/>
              </w:rPr>
              <w:t>Vyhodnocení souladu nastavení metodického prostředí s aplikační praxí a relevantní legislativou:</w:t>
            </w:r>
          </w:p>
          <w:p w:rsidR="00D00116" w:rsidRDefault="00D00116" w:rsidP="000D30C7">
            <w:pPr>
              <w:pStyle w:val="DAVA"/>
              <w:numPr>
                <w:ilvl w:val="0"/>
                <w:numId w:val="68"/>
              </w:numPr>
              <w:spacing w:before="80" w:after="80"/>
              <w:rPr>
                <w:rFonts w:cs="Arial"/>
                <w:sz w:val="18"/>
                <w:szCs w:val="18"/>
                <w:lang w:val="cs-CZ" w:eastAsia="cs-CZ"/>
              </w:rPr>
            </w:pPr>
            <w:r>
              <w:rPr>
                <w:rFonts w:cs="Arial"/>
                <w:sz w:val="18"/>
                <w:szCs w:val="18"/>
                <w:lang w:val="cs-CZ" w:eastAsia="cs-CZ"/>
              </w:rPr>
              <w:t xml:space="preserve">Vyhodnocení aplikační praxe </w:t>
            </w:r>
            <w:r>
              <w:rPr>
                <w:rFonts w:cs="Arial"/>
                <w:sz w:val="18"/>
                <w:szCs w:val="18"/>
                <w:lang w:val="cs-CZ" w:eastAsia="cs-CZ"/>
              </w:rPr>
              <w:lastRenderedPageBreak/>
              <w:t>v oblasti kontrol:</w:t>
            </w:r>
          </w:p>
          <w:p w:rsidR="00D00116" w:rsidRDefault="00D00116" w:rsidP="000D30C7">
            <w:pPr>
              <w:pStyle w:val="DAVA"/>
              <w:numPr>
                <w:ilvl w:val="0"/>
                <w:numId w:val="68"/>
              </w:numPr>
              <w:spacing w:before="80" w:after="80"/>
              <w:rPr>
                <w:rFonts w:cs="Arial"/>
                <w:sz w:val="18"/>
                <w:szCs w:val="18"/>
                <w:lang w:val="cs-CZ" w:eastAsia="cs-CZ"/>
              </w:rPr>
            </w:pPr>
            <w:r>
              <w:rPr>
                <w:rFonts w:cs="Arial"/>
                <w:sz w:val="18"/>
                <w:szCs w:val="18"/>
                <w:lang w:val="cs-CZ" w:eastAsia="cs-CZ"/>
              </w:rPr>
              <w:t>Vyhodnocení funkčnosti</w:t>
            </w:r>
            <w:r w:rsidRPr="00AA47D7">
              <w:rPr>
                <w:rFonts w:cs="Arial"/>
                <w:sz w:val="18"/>
                <w:szCs w:val="18"/>
                <w:lang w:val="cs-CZ" w:eastAsia="cs-CZ"/>
              </w:rPr>
              <w:t xml:space="preserve"> systému prevence </w:t>
            </w:r>
          </w:p>
          <w:p w:rsidR="00D00116" w:rsidRPr="00AA47D7" w:rsidRDefault="00D00116" w:rsidP="000D30C7">
            <w:pPr>
              <w:pStyle w:val="DAVA"/>
              <w:numPr>
                <w:ilvl w:val="0"/>
                <w:numId w:val="68"/>
              </w:numPr>
              <w:spacing w:before="80" w:after="80"/>
              <w:rPr>
                <w:rFonts w:cs="Arial"/>
                <w:sz w:val="18"/>
                <w:szCs w:val="18"/>
                <w:lang w:val="cs-CZ" w:eastAsia="cs-CZ"/>
              </w:rPr>
            </w:pPr>
            <w:r w:rsidRPr="00B76B82">
              <w:rPr>
                <w:rFonts w:cs="Arial"/>
                <w:sz w:val="18"/>
                <w:szCs w:val="18"/>
                <w:lang w:val="cs-CZ"/>
              </w:rPr>
              <w:t>Seznam přijatých opatření (zpracovaná metodická doporučení, případné úpravy legislativních předpisů</w:t>
            </w:r>
            <w:r>
              <w:rPr>
                <w:rFonts w:cs="Arial"/>
                <w:sz w:val="18"/>
                <w:szCs w:val="18"/>
                <w:lang w:val="cs-CZ"/>
              </w:rPr>
              <w:t xml:space="preserve"> či metodik</w:t>
            </w:r>
            <w:r w:rsidRPr="00B76B82">
              <w:rPr>
                <w:rFonts w:cs="Arial"/>
                <w:sz w:val="18"/>
                <w:szCs w:val="18"/>
                <w:lang w:val="cs-CZ"/>
              </w:rPr>
              <w:t>) a</w:t>
            </w:r>
          </w:p>
          <w:p w:rsidR="00D00116" w:rsidRDefault="00D00116" w:rsidP="000D30C7">
            <w:pPr>
              <w:pStyle w:val="DAVA"/>
              <w:numPr>
                <w:ilvl w:val="0"/>
                <w:numId w:val="68"/>
              </w:numPr>
              <w:spacing w:before="80" w:after="80"/>
              <w:rPr>
                <w:rFonts w:cs="Arial"/>
                <w:sz w:val="18"/>
                <w:szCs w:val="18"/>
                <w:lang w:val="cs-CZ" w:eastAsia="cs-CZ"/>
              </w:rPr>
            </w:pPr>
            <w:r w:rsidRPr="00B76B82">
              <w:rPr>
                <w:rFonts w:cs="Arial"/>
                <w:sz w:val="18"/>
                <w:szCs w:val="18"/>
                <w:lang w:val="cs-CZ"/>
              </w:rPr>
              <w:t xml:space="preserve">analýzu dopadů přijatých opatření a analýzu příčin chybovosti.  </w:t>
            </w:r>
          </w:p>
          <w:p w:rsidR="00D00116" w:rsidRPr="00B76B82" w:rsidRDefault="00D00116" w:rsidP="000D30C7">
            <w:pPr>
              <w:pStyle w:val="DAVA"/>
              <w:numPr>
                <w:ilvl w:val="0"/>
                <w:numId w:val="68"/>
              </w:numPr>
              <w:spacing w:before="80" w:after="80"/>
              <w:rPr>
                <w:rFonts w:cs="Arial"/>
                <w:sz w:val="18"/>
                <w:szCs w:val="18"/>
                <w:lang w:val="cs-CZ" w:eastAsia="cs-CZ"/>
              </w:rPr>
            </w:pPr>
            <w:r>
              <w:rPr>
                <w:rFonts w:cs="Arial"/>
                <w:sz w:val="18"/>
                <w:szCs w:val="18"/>
                <w:lang w:val="cs-CZ"/>
              </w:rPr>
              <w:t>Návrhy opatření legislativního i nelegislativního charakteru vydefinovaného na základě výše uvedených bodů, včetně harmonogramu realizace těchto opatření.</w:t>
            </w:r>
          </w:p>
          <w:p w:rsidR="00D00116" w:rsidRPr="00415224" w:rsidRDefault="00D00116" w:rsidP="00EF7E99">
            <w:pPr>
              <w:pStyle w:val="DAVA"/>
              <w:spacing w:before="80" w:after="80"/>
              <w:rPr>
                <w:rFonts w:cs="Arial"/>
                <w:sz w:val="18"/>
                <w:szCs w:val="18"/>
                <w:lang w:val="cs-CZ"/>
              </w:rPr>
            </w:pPr>
            <w:r w:rsidRPr="009B41F6">
              <w:rPr>
                <w:rFonts w:cs="Arial"/>
                <w:sz w:val="18"/>
                <w:szCs w:val="18"/>
                <w:lang w:val="cs-CZ"/>
              </w:rPr>
              <w:t xml:space="preserve">Na základě </w:t>
            </w:r>
            <w:r>
              <w:rPr>
                <w:rFonts w:cs="Arial"/>
                <w:sz w:val="18"/>
                <w:szCs w:val="18"/>
                <w:lang w:val="cs-CZ"/>
              </w:rPr>
              <w:t>výstupů z této zprávy</w:t>
            </w:r>
            <w:r w:rsidRPr="009B41F6">
              <w:rPr>
                <w:rFonts w:cs="Arial"/>
                <w:sz w:val="18"/>
                <w:szCs w:val="18"/>
                <w:lang w:val="cs-CZ"/>
              </w:rPr>
              <w:t xml:space="preserve"> bude MMR </w:t>
            </w:r>
            <w:r>
              <w:rPr>
                <w:rFonts w:cs="Arial"/>
                <w:sz w:val="18"/>
                <w:szCs w:val="18"/>
                <w:lang w:val="cs-CZ"/>
              </w:rPr>
              <w:t xml:space="preserve">rovněž </w:t>
            </w:r>
            <w:r w:rsidRPr="009B41F6">
              <w:rPr>
                <w:rFonts w:cs="Arial"/>
                <w:sz w:val="18"/>
                <w:szCs w:val="18"/>
                <w:lang w:val="cs-CZ"/>
              </w:rPr>
              <w:t>poskytovat průběžnou konzultační činnost subjektům implementační struktury a příjemcům (zadavatelům).</w:t>
            </w:r>
          </w:p>
        </w:tc>
        <w:tc>
          <w:tcPr>
            <w:tcW w:w="989" w:type="pct"/>
          </w:tcPr>
          <w:p w:rsidR="00D00116" w:rsidRPr="00D64BEF" w:rsidRDefault="00D00116" w:rsidP="00EF7E99">
            <w:pPr>
              <w:pStyle w:val="DAVA"/>
              <w:spacing w:before="80" w:after="80"/>
              <w:rPr>
                <w:rFonts w:cs="Arial"/>
                <w:sz w:val="18"/>
                <w:szCs w:val="18"/>
                <w:lang w:val="en-GB"/>
              </w:rPr>
            </w:pPr>
            <w:r w:rsidRPr="00D64BEF">
              <w:rPr>
                <w:rFonts w:cs="Arial"/>
                <w:sz w:val="18"/>
                <w:szCs w:val="18"/>
                <w:lang w:val="en-GB"/>
              </w:rPr>
              <w:lastRenderedPageBreak/>
              <w:t>31. 12. 2015</w:t>
            </w:r>
          </w:p>
          <w:p w:rsidR="00D00116" w:rsidRPr="00D64BEF" w:rsidRDefault="00D00116" w:rsidP="00EF7E99">
            <w:pPr>
              <w:pStyle w:val="DAVA"/>
              <w:spacing w:before="80" w:after="80"/>
              <w:rPr>
                <w:rFonts w:cs="Arial"/>
                <w:sz w:val="18"/>
                <w:szCs w:val="18"/>
                <w:lang w:val="en-GB"/>
              </w:rPr>
            </w:pPr>
            <w:r w:rsidRPr="00D64BEF">
              <w:rPr>
                <w:rFonts w:cs="Arial"/>
                <w:sz w:val="18"/>
                <w:szCs w:val="18"/>
                <w:lang w:val="en-GB"/>
              </w:rPr>
              <w:t>31. 12. 2016</w:t>
            </w:r>
          </w:p>
          <w:p w:rsidR="00D00116" w:rsidRPr="009B41F6" w:rsidRDefault="00D00116" w:rsidP="00EF7E99">
            <w:pPr>
              <w:pStyle w:val="DAVA"/>
              <w:spacing w:before="80" w:after="80"/>
              <w:rPr>
                <w:rFonts w:cs="Arial"/>
                <w:sz w:val="18"/>
                <w:szCs w:val="18"/>
                <w:lang w:val="cs-CZ"/>
              </w:rPr>
            </w:pPr>
          </w:p>
        </w:tc>
        <w:tc>
          <w:tcPr>
            <w:tcW w:w="815" w:type="pct"/>
          </w:tcPr>
          <w:p w:rsidR="00D00116" w:rsidRPr="00A76D60" w:rsidRDefault="00D00116" w:rsidP="00EF7E99">
            <w:pPr>
              <w:pStyle w:val="DAVA"/>
              <w:spacing w:before="80" w:after="80"/>
              <w:rPr>
                <w:rFonts w:cs="Arial"/>
                <w:sz w:val="18"/>
                <w:szCs w:val="18"/>
                <w:lang w:val="cs-CZ"/>
              </w:rPr>
            </w:pPr>
            <w:r>
              <w:rPr>
                <w:rFonts w:cs="Arial"/>
                <w:sz w:val="18"/>
                <w:szCs w:val="18"/>
                <w:lang w:val="cs-CZ"/>
              </w:rPr>
              <w:t>MMR, ŘO</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8B15D2" w:rsidRDefault="00D00116" w:rsidP="00C36EE6">
            <w:pPr>
              <w:pStyle w:val="DAVA"/>
              <w:spacing w:before="80" w:after="80"/>
              <w:rPr>
                <w:rFonts w:cs="Arial"/>
                <w:sz w:val="18"/>
                <w:szCs w:val="18"/>
                <w:lang w:val="cs-CZ" w:eastAsia="cs-CZ"/>
              </w:rPr>
            </w:pPr>
            <w:r w:rsidRPr="008B15D2">
              <w:rPr>
                <w:rFonts w:cs="Arial"/>
                <w:sz w:val="18"/>
                <w:szCs w:val="18"/>
                <w:lang w:val="cs-CZ" w:eastAsia="cs-CZ"/>
              </w:rPr>
              <w:t>Opatření pro účinné uplatňování předpisů Unie o veřejných zakázkách prostřednictvím odpovídajících mechanismů</w:t>
            </w:r>
          </w:p>
        </w:tc>
        <w:tc>
          <w:tcPr>
            <w:tcW w:w="1344" w:type="pct"/>
          </w:tcPr>
          <w:p w:rsidR="00D00116" w:rsidRPr="0016109B" w:rsidRDefault="00D00116" w:rsidP="005A64E1">
            <w:pPr>
              <w:pStyle w:val="DAVA"/>
              <w:spacing w:before="80" w:after="80"/>
              <w:rPr>
                <w:rFonts w:cs="Arial"/>
                <w:sz w:val="18"/>
                <w:szCs w:val="18"/>
                <w:highlight w:val="yellow"/>
                <w:u w:val="single"/>
                <w:lang w:val="cs-CZ"/>
              </w:rPr>
            </w:pPr>
            <w:r w:rsidRPr="0016109B">
              <w:rPr>
                <w:rFonts w:cs="Arial"/>
                <w:sz w:val="18"/>
                <w:szCs w:val="18"/>
                <w:u w:val="single"/>
                <w:lang w:val="cs-CZ"/>
              </w:rPr>
              <w:t>Zajištění souladu nastavení metodického prostředí napříč ŘO s aplikační praxí a relevantní legislativou:</w:t>
            </w:r>
          </w:p>
          <w:p w:rsidR="00D00116" w:rsidRPr="00C03AB6" w:rsidRDefault="00D00116" w:rsidP="000D30C7">
            <w:pPr>
              <w:pStyle w:val="DAVA"/>
              <w:numPr>
                <w:ilvl w:val="0"/>
                <w:numId w:val="69"/>
              </w:numPr>
              <w:spacing w:before="80" w:after="80"/>
              <w:rPr>
                <w:rFonts w:cs="Arial"/>
                <w:sz w:val="18"/>
                <w:szCs w:val="18"/>
                <w:lang w:val="cs-CZ"/>
              </w:rPr>
            </w:pPr>
            <w:r w:rsidRPr="0016109B">
              <w:rPr>
                <w:rFonts w:cs="Arial"/>
                <w:sz w:val="18"/>
                <w:szCs w:val="18"/>
                <w:lang w:val="cs-CZ" w:eastAsia="cs-CZ"/>
              </w:rPr>
              <w:t>Gestor ZVZ ověří pomocí připravených kontrolních listů, zda každý jeden řídící orgán převzal Metodický pokyn pro oblast zadávání zakázek pro programové období 2014-2020 do své řízené dokumentace programu.</w:t>
            </w:r>
          </w:p>
          <w:p w:rsidR="00D00116" w:rsidRPr="003C3E9F" w:rsidRDefault="00D00116" w:rsidP="000D30C7">
            <w:pPr>
              <w:pStyle w:val="DAVA"/>
              <w:numPr>
                <w:ilvl w:val="0"/>
                <w:numId w:val="69"/>
              </w:numPr>
              <w:spacing w:before="80" w:after="80"/>
              <w:rPr>
                <w:rFonts w:cs="Arial"/>
                <w:sz w:val="18"/>
                <w:szCs w:val="18"/>
                <w:lang w:val="cs-CZ" w:eastAsia="cs-CZ"/>
              </w:rPr>
            </w:pPr>
            <w:r w:rsidRPr="005462E3">
              <w:rPr>
                <w:rFonts w:cs="Arial"/>
                <w:sz w:val="18"/>
                <w:szCs w:val="18"/>
                <w:lang w:val="cs-CZ"/>
              </w:rPr>
              <w:t>Každoročně</w:t>
            </w:r>
            <w:r>
              <w:rPr>
                <w:rFonts w:cs="Arial"/>
                <w:sz w:val="18"/>
                <w:szCs w:val="18"/>
                <w:lang w:val="cs-CZ"/>
              </w:rPr>
              <w:t xml:space="preserve"> v rámci výše uvedené </w:t>
            </w:r>
            <w:proofErr w:type="spellStart"/>
            <w:r>
              <w:rPr>
                <w:rFonts w:cs="Arial"/>
                <w:sz w:val="18"/>
                <w:szCs w:val="18"/>
                <w:lang w:val="cs-CZ"/>
              </w:rPr>
              <w:t>Progress</w:t>
            </w:r>
            <w:proofErr w:type="spellEnd"/>
            <w:r w:rsidRPr="005462E3">
              <w:rPr>
                <w:rFonts w:cs="Arial"/>
                <w:sz w:val="18"/>
                <w:szCs w:val="18"/>
                <w:lang w:val="cs-CZ"/>
              </w:rPr>
              <w:t xml:space="preserve"> report bude </w:t>
            </w:r>
            <w:r w:rsidRPr="005462E3">
              <w:rPr>
                <w:rFonts w:cs="Arial"/>
                <w:sz w:val="18"/>
                <w:szCs w:val="18"/>
              </w:rPr>
              <w:t>vyhodnocen</w:t>
            </w:r>
            <w:r w:rsidRPr="005462E3">
              <w:rPr>
                <w:rFonts w:cs="Arial"/>
                <w:sz w:val="18"/>
                <w:szCs w:val="18"/>
                <w:lang w:val="cs-CZ"/>
              </w:rPr>
              <w:t>a</w:t>
            </w:r>
            <w:r w:rsidRPr="005462E3">
              <w:rPr>
                <w:rFonts w:cs="Arial"/>
                <w:sz w:val="18"/>
                <w:szCs w:val="18"/>
              </w:rPr>
              <w:t xml:space="preserve"> potřebnost provedení aktualizace Metodického pokynu pro oblast </w:t>
            </w:r>
            <w:r w:rsidRPr="005462E3">
              <w:rPr>
                <w:rFonts w:cs="Arial"/>
                <w:sz w:val="18"/>
                <w:szCs w:val="18"/>
              </w:rPr>
              <w:lastRenderedPageBreak/>
              <w:t>zadávání veřejných zakázek pro programové období 2014-2020.</w:t>
            </w:r>
            <w:r>
              <w:rPr>
                <w:rFonts w:cs="Arial"/>
                <w:sz w:val="18"/>
                <w:szCs w:val="18"/>
                <w:lang w:val="cs-CZ"/>
              </w:rPr>
              <w:t xml:space="preserve"> V případě, že bude shledána nutnost této aktualizace, bude provedena nejpozději do pěti měsíců od vydání </w:t>
            </w:r>
            <w:proofErr w:type="spellStart"/>
            <w:r>
              <w:rPr>
                <w:rFonts w:cs="Arial"/>
                <w:sz w:val="18"/>
                <w:szCs w:val="18"/>
                <w:lang w:val="cs-CZ"/>
              </w:rPr>
              <w:t>progress</w:t>
            </w:r>
            <w:proofErr w:type="spellEnd"/>
            <w:r>
              <w:rPr>
                <w:rFonts w:cs="Arial"/>
                <w:sz w:val="18"/>
                <w:szCs w:val="18"/>
                <w:lang w:val="cs-CZ"/>
              </w:rPr>
              <w:t xml:space="preserve"> report.</w:t>
            </w:r>
            <w:r w:rsidRPr="005462E3">
              <w:rPr>
                <w:rFonts w:cs="Arial"/>
                <w:sz w:val="18"/>
                <w:szCs w:val="18"/>
              </w:rPr>
              <w:t xml:space="preserve"> </w:t>
            </w:r>
          </w:p>
        </w:tc>
        <w:tc>
          <w:tcPr>
            <w:tcW w:w="989" w:type="pct"/>
          </w:tcPr>
          <w:p w:rsidR="00D00116" w:rsidRDefault="00D00116" w:rsidP="005A64E1">
            <w:pPr>
              <w:pStyle w:val="DAVA"/>
              <w:spacing w:before="80" w:after="80"/>
              <w:rPr>
                <w:rFonts w:cs="Arial"/>
                <w:sz w:val="18"/>
                <w:szCs w:val="18"/>
                <w:lang w:val="cs-CZ" w:eastAsia="cs-CZ"/>
              </w:rPr>
            </w:pPr>
            <w:r>
              <w:rPr>
                <w:rFonts w:cs="Arial"/>
                <w:sz w:val="18"/>
                <w:szCs w:val="18"/>
                <w:lang w:val="cs-CZ" w:eastAsia="cs-CZ"/>
              </w:rPr>
              <w:lastRenderedPageBreak/>
              <w:t xml:space="preserve">30.6.2015 </w:t>
            </w:r>
          </w:p>
          <w:p w:rsidR="00D00116" w:rsidRDefault="00D00116" w:rsidP="005A64E1">
            <w:pPr>
              <w:pStyle w:val="DAVA"/>
              <w:spacing w:before="80" w:after="80"/>
              <w:rPr>
                <w:rFonts w:cs="Arial"/>
                <w:sz w:val="18"/>
                <w:szCs w:val="18"/>
                <w:lang w:val="cs-CZ" w:eastAsia="cs-CZ"/>
              </w:rPr>
            </w:pPr>
            <w:r>
              <w:rPr>
                <w:rFonts w:cs="Arial"/>
                <w:sz w:val="18"/>
                <w:szCs w:val="18"/>
                <w:lang w:val="cs-CZ" w:eastAsia="cs-CZ"/>
              </w:rPr>
              <w:t>(v návaznosti na schvalování programů nejpozději do 31.12.2015)</w:t>
            </w:r>
          </w:p>
          <w:p w:rsidR="00D00116" w:rsidRDefault="00D00116" w:rsidP="005A64E1">
            <w:pPr>
              <w:pStyle w:val="DAVA"/>
              <w:rPr>
                <w:rFonts w:cs="Arial"/>
                <w:sz w:val="18"/>
                <w:szCs w:val="18"/>
                <w:lang w:val="en-GB"/>
              </w:rPr>
            </w:pPr>
          </w:p>
          <w:p w:rsidR="00D00116" w:rsidRDefault="00D00116" w:rsidP="005A64E1">
            <w:pPr>
              <w:pStyle w:val="DAVA"/>
              <w:rPr>
                <w:rFonts w:cs="Arial"/>
                <w:sz w:val="18"/>
                <w:szCs w:val="18"/>
                <w:lang w:val="en-GB"/>
              </w:rPr>
            </w:pPr>
          </w:p>
          <w:p w:rsidR="00D00116" w:rsidRDefault="00D00116" w:rsidP="005A64E1">
            <w:pPr>
              <w:pStyle w:val="DAVA"/>
              <w:rPr>
                <w:rFonts w:cs="Arial"/>
                <w:sz w:val="18"/>
                <w:szCs w:val="18"/>
                <w:lang w:val="en-GB"/>
              </w:rPr>
            </w:pPr>
          </w:p>
          <w:p w:rsidR="00D00116" w:rsidRDefault="00D00116" w:rsidP="005A64E1">
            <w:pPr>
              <w:pStyle w:val="DAVA"/>
              <w:rPr>
                <w:rFonts w:cs="Arial"/>
                <w:sz w:val="18"/>
                <w:szCs w:val="18"/>
                <w:lang w:val="en-GB"/>
              </w:rPr>
            </w:pPr>
          </w:p>
          <w:p w:rsidR="00D00116" w:rsidRDefault="00D00116" w:rsidP="005A64E1">
            <w:pPr>
              <w:pStyle w:val="DAVA"/>
              <w:rPr>
                <w:rFonts w:cs="Arial"/>
                <w:sz w:val="18"/>
                <w:szCs w:val="18"/>
                <w:lang w:val="en-GB"/>
              </w:rPr>
            </w:pPr>
          </w:p>
          <w:p w:rsidR="00D00116" w:rsidRPr="00723325" w:rsidRDefault="00D00116" w:rsidP="005A64E1">
            <w:pPr>
              <w:pStyle w:val="DAVA"/>
              <w:rPr>
                <w:rFonts w:cs="Arial"/>
                <w:sz w:val="18"/>
                <w:szCs w:val="18"/>
                <w:lang w:val="en-GB"/>
              </w:rPr>
            </w:pPr>
            <w:r w:rsidRPr="00723325">
              <w:rPr>
                <w:rFonts w:cs="Arial"/>
                <w:sz w:val="18"/>
                <w:szCs w:val="18"/>
                <w:lang w:val="en-GB"/>
              </w:rPr>
              <w:t>31. 12. 2015</w:t>
            </w:r>
            <w:r>
              <w:rPr>
                <w:rFonts w:cs="Arial"/>
                <w:sz w:val="18"/>
                <w:szCs w:val="18"/>
                <w:lang w:val="en-GB"/>
              </w:rPr>
              <w:t xml:space="preserve"> </w:t>
            </w:r>
          </w:p>
          <w:p w:rsidR="00D00116" w:rsidRPr="00723325" w:rsidRDefault="00D00116" w:rsidP="005A64E1">
            <w:pPr>
              <w:pStyle w:val="DAVA"/>
              <w:rPr>
                <w:rFonts w:cs="Arial"/>
                <w:sz w:val="18"/>
                <w:szCs w:val="18"/>
                <w:lang w:val="en-GB"/>
              </w:rPr>
            </w:pPr>
            <w:r w:rsidRPr="00723325">
              <w:rPr>
                <w:rFonts w:cs="Arial"/>
                <w:sz w:val="18"/>
                <w:szCs w:val="18"/>
                <w:lang w:val="en-GB"/>
              </w:rPr>
              <w:t>31. 12. 2016</w:t>
            </w:r>
          </w:p>
          <w:p w:rsidR="00D00116" w:rsidRPr="009B41F6" w:rsidRDefault="00D00116" w:rsidP="005A64E1">
            <w:pPr>
              <w:pStyle w:val="DAVA"/>
              <w:rPr>
                <w:rFonts w:cs="Arial"/>
                <w:sz w:val="18"/>
                <w:szCs w:val="18"/>
                <w:lang w:val="cs-CZ"/>
              </w:rPr>
            </w:pPr>
          </w:p>
        </w:tc>
        <w:tc>
          <w:tcPr>
            <w:tcW w:w="815" w:type="pct"/>
          </w:tcPr>
          <w:p w:rsidR="00D00116" w:rsidRDefault="00D00116" w:rsidP="005A64E1">
            <w:pPr>
              <w:pStyle w:val="DAVA"/>
              <w:spacing w:before="80" w:after="80"/>
              <w:rPr>
                <w:rFonts w:cs="Arial"/>
                <w:sz w:val="18"/>
                <w:szCs w:val="18"/>
                <w:lang w:val="cs-CZ"/>
              </w:rPr>
            </w:pPr>
            <w:r>
              <w:rPr>
                <w:rFonts w:cs="Arial"/>
                <w:sz w:val="18"/>
                <w:szCs w:val="18"/>
                <w:lang w:val="cs-CZ"/>
              </w:rPr>
              <w:lastRenderedPageBreak/>
              <w:t xml:space="preserve">MMR,ŘO </w:t>
            </w:r>
          </w:p>
          <w:p w:rsidR="00D00116" w:rsidRPr="00A76D60" w:rsidRDefault="00D00116" w:rsidP="005A64E1">
            <w:pPr>
              <w:pStyle w:val="DAVA"/>
              <w:spacing w:before="80" w:after="80"/>
              <w:rPr>
                <w:rFonts w:cs="Arial"/>
                <w:sz w:val="18"/>
                <w:szCs w:val="18"/>
                <w:lang w:val="cs-CZ"/>
              </w:rPr>
            </w:pP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8B15D2" w:rsidRDefault="00D00116" w:rsidP="00C36EE6">
            <w:pPr>
              <w:pStyle w:val="DAVA"/>
              <w:spacing w:before="80" w:after="80"/>
              <w:rPr>
                <w:rFonts w:cs="Arial"/>
                <w:sz w:val="18"/>
                <w:szCs w:val="18"/>
                <w:lang w:val="cs-CZ" w:eastAsia="cs-CZ"/>
              </w:rPr>
            </w:pPr>
            <w:r w:rsidRPr="008B15D2">
              <w:rPr>
                <w:rFonts w:cs="Arial"/>
                <w:sz w:val="18"/>
                <w:szCs w:val="18"/>
                <w:lang w:val="cs-CZ" w:eastAsia="cs-CZ"/>
              </w:rPr>
              <w:t>Opatření pro účinné uplatňování předpisů Unie o veřejných zakázkách prostřednictvím odpovídajících mechanismů</w:t>
            </w:r>
          </w:p>
        </w:tc>
        <w:tc>
          <w:tcPr>
            <w:tcW w:w="1344" w:type="pct"/>
          </w:tcPr>
          <w:p w:rsidR="00D00116" w:rsidRPr="0016109B" w:rsidRDefault="00D00116" w:rsidP="005A64E1">
            <w:pPr>
              <w:pStyle w:val="DAVA"/>
              <w:spacing w:before="80" w:after="80"/>
              <w:rPr>
                <w:rFonts w:cs="Arial"/>
                <w:sz w:val="18"/>
                <w:szCs w:val="18"/>
                <w:u w:val="single"/>
                <w:lang w:val="cs-CZ" w:eastAsia="cs-CZ"/>
              </w:rPr>
            </w:pPr>
            <w:r w:rsidRPr="0016109B">
              <w:rPr>
                <w:rFonts w:cs="Arial"/>
                <w:sz w:val="18"/>
                <w:szCs w:val="18"/>
                <w:u w:val="single"/>
                <w:lang w:val="cs-CZ" w:eastAsia="cs-CZ"/>
              </w:rPr>
              <w:t>Sjednocení a zlepšení aplikační praxe v oblasti kontrol.</w:t>
            </w:r>
          </w:p>
          <w:p w:rsidR="00D00116" w:rsidRDefault="00D00116" w:rsidP="005A64E1">
            <w:pPr>
              <w:pStyle w:val="DAVA"/>
              <w:spacing w:before="80" w:after="80"/>
              <w:rPr>
                <w:rFonts w:cs="Arial"/>
                <w:sz w:val="18"/>
                <w:szCs w:val="18"/>
                <w:lang w:val="cs-CZ" w:eastAsia="cs-CZ"/>
              </w:rPr>
            </w:pPr>
            <w:r>
              <w:rPr>
                <w:rFonts w:cs="Arial"/>
                <w:sz w:val="18"/>
                <w:szCs w:val="18"/>
                <w:lang w:val="cs-CZ" w:eastAsia="cs-CZ"/>
              </w:rPr>
              <w:t>N</w:t>
            </w:r>
            <w:r w:rsidRPr="009B41F6">
              <w:rPr>
                <w:rFonts w:cs="Arial"/>
                <w:sz w:val="18"/>
                <w:szCs w:val="18"/>
                <w:lang w:val="cs-CZ" w:eastAsia="cs-CZ"/>
              </w:rPr>
              <w:t>a základě analýz jednotlivých zjištění budou vydávána doporučení pro ŘO ve věci kontroly veřejných zakázek</w:t>
            </w:r>
            <w:r>
              <w:rPr>
                <w:rFonts w:cs="Arial"/>
                <w:sz w:val="18"/>
                <w:szCs w:val="18"/>
                <w:lang w:val="cs-CZ" w:eastAsia="cs-CZ"/>
              </w:rPr>
              <w:t>.</w:t>
            </w:r>
          </w:p>
          <w:p w:rsidR="00D00116" w:rsidRDefault="00D00116" w:rsidP="005A64E1">
            <w:pPr>
              <w:pStyle w:val="DAVA"/>
              <w:spacing w:before="80" w:after="80"/>
              <w:rPr>
                <w:rFonts w:cs="Arial"/>
                <w:sz w:val="18"/>
                <w:szCs w:val="18"/>
                <w:lang w:val="cs-CZ" w:eastAsia="cs-CZ"/>
              </w:rPr>
            </w:pPr>
            <w:r>
              <w:rPr>
                <w:rFonts w:cs="Arial"/>
                <w:sz w:val="18"/>
                <w:szCs w:val="18"/>
                <w:lang w:val="cs-CZ" w:eastAsia="cs-CZ"/>
              </w:rPr>
              <w:t>Metodická doporučení budou projednávána na PS Veřejné zakázky.</w:t>
            </w:r>
          </w:p>
          <w:p w:rsidR="00D00116" w:rsidRPr="009B41F6" w:rsidRDefault="00D00116" w:rsidP="005A64E1">
            <w:pPr>
              <w:pStyle w:val="DAVA"/>
              <w:spacing w:before="80" w:after="80"/>
              <w:rPr>
                <w:rFonts w:cs="Arial"/>
                <w:sz w:val="18"/>
                <w:szCs w:val="18"/>
                <w:lang w:val="cs-CZ" w:eastAsia="cs-CZ"/>
              </w:rPr>
            </w:pPr>
            <w:r>
              <w:rPr>
                <w:rFonts w:cs="Arial"/>
                <w:sz w:val="18"/>
                <w:szCs w:val="18"/>
                <w:lang w:val="cs-CZ" w:eastAsia="cs-CZ"/>
              </w:rPr>
              <w:t xml:space="preserve">Posuny v rámci této oblasti budou součástí </w:t>
            </w:r>
            <w:proofErr w:type="spellStart"/>
            <w:r>
              <w:rPr>
                <w:rFonts w:cs="Arial"/>
                <w:sz w:val="18"/>
                <w:szCs w:val="18"/>
                <w:lang w:val="cs-CZ" w:eastAsia="cs-CZ"/>
              </w:rPr>
              <w:t>Progress</w:t>
            </w:r>
            <w:proofErr w:type="spellEnd"/>
            <w:r>
              <w:rPr>
                <w:rFonts w:cs="Arial"/>
                <w:sz w:val="18"/>
                <w:szCs w:val="18"/>
                <w:lang w:val="cs-CZ" w:eastAsia="cs-CZ"/>
              </w:rPr>
              <w:t xml:space="preserve"> report.</w:t>
            </w:r>
          </w:p>
        </w:tc>
        <w:tc>
          <w:tcPr>
            <w:tcW w:w="989" w:type="pct"/>
          </w:tcPr>
          <w:p w:rsidR="00D00116" w:rsidRPr="00723325" w:rsidRDefault="00D00116" w:rsidP="005A64E1">
            <w:pPr>
              <w:pStyle w:val="DAVA"/>
              <w:rPr>
                <w:rFonts w:cs="Arial"/>
                <w:sz w:val="18"/>
                <w:szCs w:val="18"/>
                <w:lang w:val="en-GB"/>
              </w:rPr>
            </w:pPr>
            <w:r w:rsidRPr="00723325">
              <w:rPr>
                <w:rFonts w:cs="Arial"/>
                <w:sz w:val="18"/>
                <w:szCs w:val="18"/>
                <w:lang w:val="en-GB"/>
              </w:rPr>
              <w:t>31. 12. 2015</w:t>
            </w:r>
          </w:p>
          <w:p w:rsidR="00D00116" w:rsidRPr="00723325" w:rsidRDefault="00D00116" w:rsidP="005A64E1">
            <w:pPr>
              <w:pStyle w:val="DAVA"/>
              <w:rPr>
                <w:rFonts w:cs="Arial"/>
                <w:sz w:val="18"/>
                <w:szCs w:val="18"/>
                <w:lang w:val="en-GB"/>
              </w:rPr>
            </w:pPr>
            <w:r w:rsidRPr="00723325">
              <w:rPr>
                <w:rFonts w:cs="Arial"/>
                <w:sz w:val="18"/>
                <w:szCs w:val="18"/>
                <w:lang w:val="en-GB"/>
              </w:rPr>
              <w:t>31. 12. 2016</w:t>
            </w:r>
          </w:p>
          <w:p w:rsidR="00D00116" w:rsidRPr="009B41F6" w:rsidRDefault="00D00116" w:rsidP="005A64E1">
            <w:pPr>
              <w:pStyle w:val="DAVA"/>
              <w:spacing w:before="80" w:after="80"/>
              <w:rPr>
                <w:rFonts w:cs="Arial"/>
                <w:sz w:val="18"/>
                <w:szCs w:val="18"/>
                <w:lang w:val="cs-CZ"/>
              </w:rPr>
            </w:pPr>
          </w:p>
        </w:tc>
        <w:tc>
          <w:tcPr>
            <w:tcW w:w="815" w:type="pct"/>
          </w:tcPr>
          <w:p w:rsidR="00D00116" w:rsidRPr="00A76D60" w:rsidRDefault="00D00116" w:rsidP="005A64E1">
            <w:pPr>
              <w:pStyle w:val="DAVA"/>
              <w:spacing w:before="80" w:after="80"/>
              <w:rPr>
                <w:rFonts w:cs="Arial"/>
                <w:sz w:val="18"/>
                <w:szCs w:val="18"/>
                <w:lang w:val="cs-CZ"/>
              </w:rPr>
            </w:pPr>
            <w:r>
              <w:rPr>
                <w:rFonts w:cs="Arial"/>
                <w:sz w:val="18"/>
                <w:szCs w:val="18"/>
                <w:lang w:val="cs-CZ"/>
              </w:rPr>
              <w:t xml:space="preserve">MMR </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8B15D2" w:rsidRDefault="00D00116" w:rsidP="00C36EE6">
            <w:pPr>
              <w:pStyle w:val="DAVA"/>
              <w:spacing w:before="80" w:after="80"/>
              <w:rPr>
                <w:rFonts w:cs="Arial"/>
                <w:sz w:val="18"/>
                <w:szCs w:val="18"/>
                <w:lang w:val="cs-CZ" w:eastAsia="cs-CZ"/>
              </w:rPr>
            </w:pPr>
            <w:r w:rsidRPr="008B15D2">
              <w:rPr>
                <w:rFonts w:cs="Arial"/>
                <w:sz w:val="18"/>
                <w:szCs w:val="18"/>
                <w:lang w:val="cs-CZ" w:eastAsia="cs-CZ"/>
              </w:rPr>
              <w:t>Opatření pro účinné uplatňování předpisů Unie o veřejných zakázkách prostřednictvím odpovídajících mechanismů</w:t>
            </w:r>
          </w:p>
        </w:tc>
        <w:tc>
          <w:tcPr>
            <w:tcW w:w="1344" w:type="pct"/>
          </w:tcPr>
          <w:p w:rsidR="00D00116" w:rsidRDefault="00D00116" w:rsidP="005A64E1">
            <w:pPr>
              <w:pStyle w:val="DAVA"/>
              <w:spacing w:before="80" w:after="80"/>
              <w:rPr>
                <w:rFonts w:cs="Arial"/>
                <w:sz w:val="18"/>
                <w:szCs w:val="18"/>
                <w:lang w:val="cs-CZ" w:eastAsia="cs-CZ"/>
              </w:rPr>
            </w:pPr>
            <w:r>
              <w:rPr>
                <w:rFonts w:cs="Arial"/>
                <w:sz w:val="18"/>
                <w:szCs w:val="18"/>
                <w:lang w:val="cs-CZ" w:eastAsia="cs-CZ"/>
              </w:rPr>
              <w:t>Vytvoření efektivního systému prevence za účelem ex ante realizace preventivních opatření.</w:t>
            </w:r>
          </w:p>
          <w:p w:rsidR="00D00116" w:rsidRDefault="00D00116" w:rsidP="005A64E1">
            <w:pPr>
              <w:pStyle w:val="DAVA"/>
              <w:spacing w:before="80" w:after="80"/>
              <w:rPr>
                <w:rFonts w:cs="Arial"/>
                <w:sz w:val="18"/>
                <w:szCs w:val="18"/>
                <w:lang w:val="cs-CZ" w:eastAsia="cs-CZ"/>
              </w:rPr>
            </w:pPr>
            <w:r>
              <w:rPr>
                <w:rFonts w:cs="Arial"/>
                <w:sz w:val="18"/>
                <w:szCs w:val="18"/>
                <w:lang w:val="cs-CZ" w:eastAsia="cs-CZ"/>
              </w:rPr>
              <w:t>Základním nástrojem pro zajiš</w:t>
            </w:r>
            <w:r w:rsidR="000D30C7">
              <w:rPr>
                <w:rFonts w:cs="Arial"/>
                <w:sz w:val="18"/>
                <w:szCs w:val="18"/>
                <w:lang w:val="cs-CZ" w:eastAsia="cs-CZ"/>
              </w:rPr>
              <w:t>tění jsou následující opatření:</w:t>
            </w:r>
          </w:p>
          <w:p w:rsidR="00D00116" w:rsidRDefault="00D00116" w:rsidP="000D30C7">
            <w:pPr>
              <w:pStyle w:val="DAVA"/>
              <w:numPr>
                <w:ilvl w:val="0"/>
                <w:numId w:val="50"/>
              </w:numPr>
              <w:spacing w:before="80" w:after="80"/>
              <w:rPr>
                <w:rFonts w:cs="Arial"/>
                <w:sz w:val="18"/>
                <w:szCs w:val="18"/>
                <w:lang w:val="cs-CZ" w:eastAsia="cs-CZ"/>
              </w:rPr>
            </w:pPr>
            <w:r>
              <w:rPr>
                <w:rFonts w:cs="Arial"/>
                <w:sz w:val="18"/>
                <w:szCs w:val="18"/>
                <w:lang w:val="cs-CZ" w:eastAsia="cs-CZ"/>
              </w:rPr>
              <w:t xml:space="preserve"> Zřízení PS Veřejné zakázky ze sítě expertů napříč  ŘO, členy jsou mimo ŘO a MMR i experti ministerstva financí, ÚOHS a krajů. (tato skupina již byla zřízena) Činnost skupiny je především preventivní a slouží jako hlavní komunikační kanál.</w:t>
            </w:r>
          </w:p>
          <w:p w:rsidR="00D00116" w:rsidRDefault="00D00116" w:rsidP="000D30C7">
            <w:pPr>
              <w:pStyle w:val="DAVA"/>
              <w:numPr>
                <w:ilvl w:val="0"/>
                <w:numId w:val="50"/>
              </w:numPr>
              <w:spacing w:before="80" w:after="80"/>
              <w:rPr>
                <w:rFonts w:cs="Arial"/>
                <w:sz w:val="18"/>
                <w:szCs w:val="18"/>
                <w:lang w:val="cs-CZ" w:eastAsia="cs-CZ"/>
              </w:rPr>
            </w:pPr>
            <w:r>
              <w:rPr>
                <w:rFonts w:cs="Arial"/>
                <w:sz w:val="18"/>
                <w:szCs w:val="18"/>
                <w:lang w:val="cs-CZ" w:eastAsia="cs-CZ"/>
              </w:rPr>
              <w:t xml:space="preserve">V relevantních případech budou vydávána doporučení. </w:t>
            </w:r>
            <w:r w:rsidRPr="009B41F6">
              <w:rPr>
                <w:rFonts w:cs="Arial"/>
                <w:sz w:val="18"/>
                <w:szCs w:val="18"/>
                <w:lang w:val="cs-CZ" w:eastAsia="cs-CZ"/>
              </w:rPr>
              <w:t>Tato doporučení budou projednávána právě na PS Veřejné zakázky a formalizována aktualizací Metodického pokynu pro oblast zadávání zakázek pro programové období 2014-2020, který je pro ŘO závazný.</w:t>
            </w:r>
          </w:p>
          <w:p w:rsidR="00D00116" w:rsidRPr="00AA47D7" w:rsidRDefault="00D00116" w:rsidP="000D30C7">
            <w:pPr>
              <w:pStyle w:val="DAVA"/>
              <w:numPr>
                <w:ilvl w:val="0"/>
                <w:numId w:val="50"/>
              </w:numPr>
              <w:spacing w:before="80" w:after="80"/>
              <w:rPr>
                <w:rFonts w:cs="Arial"/>
                <w:sz w:val="18"/>
                <w:szCs w:val="18"/>
                <w:lang w:val="cs-CZ" w:eastAsia="cs-CZ"/>
              </w:rPr>
            </w:pPr>
            <w:r w:rsidRPr="004D3548">
              <w:rPr>
                <w:rFonts w:cs="Arial"/>
                <w:sz w:val="18"/>
                <w:szCs w:val="18"/>
                <w:lang w:val="cs-CZ" w:eastAsia="cs-CZ"/>
              </w:rPr>
              <w:lastRenderedPageBreak/>
              <w:t xml:space="preserve">Zprostředkovaně přes ŘO budou vydávána doporučení pro příjemce (zadavatele) k tomu, jak správně postupovat při zadávání veřejných zakázek a jakých postupů se naopak vyvarovat. </w:t>
            </w:r>
          </w:p>
          <w:p w:rsidR="00D00116" w:rsidRPr="00A55A42" w:rsidRDefault="00D00116" w:rsidP="000D30C7">
            <w:pPr>
              <w:pStyle w:val="DAVA"/>
              <w:numPr>
                <w:ilvl w:val="0"/>
                <w:numId w:val="50"/>
              </w:numPr>
              <w:spacing w:before="80" w:after="80"/>
              <w:rPr>
                <w:rFonts w:cs="Arial"/>
                <w:sz w:val="18"/>
                <w:szCs w:val="18"/>
                <w:lang w:val="cs-CZ" w:eastAsia="cs-CZ"/>
              </w:rPr>
            </w:pPr>
            <w:r w:rsidRPr="00A55A42">
              <w:rPr>
                <w:rFonts w:cs="Arial"/>
                <w:sz w:val="18"/>
                <w:szCs w:val="18"/>
                <w:lang w:val="cs-CZ" w:eastAsia="cs-CZ"/>
              </w:rPr>
              <w:t>V mezidobí provádění aktualizací budou (mohou být) v urgentních případech vydávána metodická stanoviska ministra pr</w:t>
            </w:r>
            <w:r w:rsidRPr="00B9757F">
              <w:rPr>
                <w:rFonts w:cs="Arial"/>
                <w:sz w:val="18"/>
                <w:szCs w:val="18"/>
                <w:lang w:val="cs-CZ" w:eastAsia="cs-CZ"/>
              </w:rPr>
              <w:t xml:space="preserve">o místní rozvoj, která budou pro ŘO závazná. </w:t>
            </w:r>
          </w:p>
          <w:p w:rsidR="00D00116" w:rsidRPr="007C4D05" w:rsidDel="00445CF8" w:rsidRDefault="00D00116" w:rsidP="005A64E1">
            <w:pPr>
              <w:pStyle w:val="DAVA"/>
              <w:spacing w:before="80" w:after="80"/>
              <w:rPr>
                <w:rFonts w:cs="Arial"/>
                <w:sz w:val="18"/>
                <w:szCs w:val="18"/>
                <w:lang w:val="cs-CZ" w:eastAsia="cs-CZ"/>
              </w:rPr>
            </w:pPr>
            <w:r w:rsidRPr="009B41F6">
              <w:rPr>
                <w:rFonts w:cs="Arial"/>
                <w:sz w:val="18"/>
                <w:szCs w:val="18"/>
                <w:lang w:val="cs-CZ" w:eastAsia="cs-CZ"/>
              </w:rPr>
              <w:t>Každý rok zpracuje MMR zprávu o činnosti skupiny a</w:t>
            </w:r>
            <w:r>
              <w:rPr>
                <w:rFonts w:cs="Arial"/>
                <w:sz w:val="18"/>
                <w:szCs w:val="18"/>
                <w:lang w:val="cs-CZ" w:eastAsia="cs-CZ"/>
              </w:rPr>
              <w:t xml:space="preserve"> zejména o obsahu a</w:t>
            </w:r>
            <w:r w:rsidRPr="009B41F6">
              <w:rPr>
                <w:rFonts w:cs="Arial"/>
                <w:sz w:val="18"/>
                <w:szCs w:val="18"/>
                <w:lang w:val="cs-CZ" w:eastAsia="cs-CZ"/>
              </w:rPr>
              <w:t xml:space="preserve"> způsobu realizace jednotlivých doporučení.</w:t>
            </w:r>
            <w:r>
              <w:rPr>
                <w:rFonts w:cs="Arial"/>
                <w:sz w:val="18"/>
                <w:szCs w:val="18"/>
                <w:lang w:val="cs-CZ" w:eastAsia="cs-CZ"/>
              </w:rPr>
              <w:t xml:space="preserve"> Tato zpráva bude součásti </w:t>
            </w:r>
            <w:proofErr w:type="spellStart"/>
            <w:r>
              <w:rPr>
                <w:rFonts w:cs="Arial"/>
                <w:sz w:val="18"/>
                <w:szCs w:val="18"/>
                <w:lang w:val="cs-CZ" w:eastAsia="cs-CZ"/>
              </w:rPr>
              <w:t>Progress</w:t>
            </w:r>
            <w:proofErr w:type="spellEnd"/>
            <w:r>
              <w:rPr>
                <w:rFonts w:cs="Arial"/>
                <w:sz w:val="18"/>
                <w:szCs w:val="18"/>
                <w:lang w:val="cs-CZ" w:eastAsia="cs-CZ"/>
              </w:rPr>
              <w:t xml:space="preserve"> report.</w:t>
            </w:r>
          </w:p>
        </w:tc>
        <w:tc>
          <w:tcPr>
            <w:tcW w:w="989" w:type="pct"/>
          </w:tcPr>
          <w:p w:rsidR="00D00116" w:rsidRPr="00723325" w:rsidRDefault="00D00116" w:rsidP="005A64E1">
            <w:pPr>
              <w:pStyle w:val="DAVA"/>
              <w:rPr>
                <w:rFonts w:cs="Arial"/>
                <w:sz w:val="18"/>
                <w:szCs w:val="18"/>
                <w:lang w:val="en-GB"/>
              </w:rPr>
            </w:pPr>
            <w:r w:rsidRPr="00723325">
              <w:rPr>
                <w:rFonts w:cs="Arial"/>
                <w:sz w:val="18"/>
                <w:szCs w:val="18"/>
                <w:lang w:val="en-GB"/>
              </w:rPr>
              <w:lastRenderedPageBreak/>
              <w:t>31. 12. 2015</w:t>
            </w:r>
          </w:p>
          <w:p w:rsidR="00D00116" w:rsidRPr="00723325" w:rsidRDefault="00D00116" w:rsidP="005A64E1">
            <w:pPr>
              <w:pStyle w:val="DAVA"/>
              <w:rPr>
                <w:rFonts w:cs="Arial"/>
                <w:sz w:val="18"/>
                <w:szCs w:val="18"/>
                <w:lang w:val="en-GB"/>
              </w:rPr>
            </w:pPr>
            <w:r w:rsidRPr="00723325">
              <w:rPr>
                <w:rFonts w:cs="Arial"/>
                <w:sz w:val="18"/>
                <w:szCs w:val="18"/>
                <w:lang w:val="en-GB"/>
              </w:rPr>
              <w:t>31. 12. 2016</w:t>
            </w:r>
          </w:p>
          <w:p w:rsidR="00D00116" w:rsidRPr="00531E71" w:rsidDel="009B6FBC" w:rsidRDefault="00D00116" w:rsidP="005A64E1">
            <w:pPr>
              <w:pStyle w:val="DAVA"/>
              <w:spacing w:before="80" w:after="80"/>
              <w:rPr>
                <w:rFonts w:cs="Arial"/>
                <w:sz w:val="18"/>
                <w:szCs w:val="18"/>
                <w:highlight w:val="yellow"/>
                <w:lang w:val="cs-CZ" w:eastAsia="cs-CZ"/>
              </w:rPr>
            </w:pPr>
          </w:p>
        </w:tc>
        <w:tc>
          <w:tcPr>
            <w:tcW w:w="815" w:type="pct"/>
          </w:tcPr>
          <w:p w:rsidR="00D00116" w:rsidRPr="00B63B2D" w:rsidRDefault="00D00116" w:rsidP="005A64E1">
            <w:pPr>
              <w:pStyle w:val="DAVA"/>
              <w:spacing w:before="80" w:after="80"/>
              <w:rPr>
                <w:rFonts w:cs="Arial"/>
                <w:sz w:val="18"/>
                <w:szCs w:val="18"/>
                <w:highlight w:val="yellow"/>
                <w:lang w:val="cs-CZ"/>
              </w:rPr>
            </w:pPr>
            <w:r w:rsidRPr="007C4D05">
              <w:rPr>
                <w:rFonts w:cs="Arial"/>
                <w:sz w:val="18"/>
                <w:szCs w:val="18"/>
                <w:lang w:val="cs-CZ"/>
              </w:rPr>
              <w:t>MMR, ŘO</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20297F" w:rsidRDefault="00D00116" w:rsidP="00C36EE6">
            <w:pPr>
              <w:pStyle w:val="DAVA"/>
              <w:spacing w:before="80" w:after="80"/>
              <w:rPr>
                <w:rFonts w:cs="Arial"/>
                <w:sz w:val="18"/>
                <w:szCs w:val="18"/>
                <w:lang w:val="cs-CZ" w:eastAsia="cs-CZ"/>
              </w:rPr>
            </w:pPr>
            <w:r w:rsidRPr="0020297F">
              <w:rPr>
                <w:rFonts w:cs="Arial"/>
                <w:sz w:val="18"/>
                <w:szCs w:val="18"/>
                <w:lang w:val="cs-CZ" w:eastAsia="cs-CZ"/>
              </w:rPr>
              <w:t>Opatření pro účinné uplatňování předpisů Unie o veřejných zakázkách prostřednictvím odpovídajících mechanismů</w:t>
            </w:r>
          </w:p>
        </w:tc>
        <w:tc>
          <w:tcPr>
            <w:tcW w:w="1344" w:type="pct"/>
          </w:tcPr>
          <w:p w:rsidR="00D00116" w:rsidRPr="0016109B" w:rsidRDefault="00D00116" w:rsidP="005A64E1">
            <w:pPr>
              <w:pStyle w:val="DAVA"/>
              <w:spacing w:before="80" w:after="80"/>
              <w:rPr>
                <w:rFonts w:cs="Arial"/>
                <w:sz w:val="18"/>
                <w:szCs w:val="18"/>
                <w:u w:val="single"/>
                <w:lang w:val="cs-CZ" w:eastAsia="cs-CZ"/>
              </w:rPr>
            </w:pPr>
            <w:r w:rsidRPr="0016109B">
              <w:rPr>
                <w:rFonts w:cs="Arial"/>
                <w:sz w:val="18"/>
                <w:szCs w:val="18"/>
                <w:u w:val="single"/>
                <w:lang w:val="cs-CZ" w:eastAsia="cs-CZ"/>
              </w:rPr>
              <w:t xml:space="preserve">Opatření ke zlepšení systému šíření informací: </w:t>
            </w:r>
          </w:p>
          <w:p w:rsidR="00D00116" w:rsidRDefault="00D00116" w:rsidP="005A64E1">
            <w:pPr>
              <w:pStyle w:val="DAVA"/>
              <w:spacing w:before="80" w:after="80"/>
              <w:rPr>
                <w:rFonts w:cs="Arial"/>
                <w:sz w:val="18"/>
                <w:szCs w:val="18"/>
                <w:lang w:val="cs-CZ" w:eastAsia="cs-CZ"/>
              </w:rPr>
            </w:pPr>
            <w:r>
              <w:rPr>
                <w:rFonts w:cs="Arial"/>
                <w:sz w:val="18"/>
                <w:szCs w:val="18"/>
                <w:lang w:val="cs-CZ" w:eastAsia="cs-CZ"/>
              </w:rPr>
              <w:t>Ke zlepšení systému šíření informací a zvýšení informovanosti všech subjektů v oblasti zadávání budou přijata následující opatření:</w:t>
            </w:r>
          </w:p>
          <w:p w:rsidR="00D00116" w:rsidRDefault="00D00116" w:rsidP="005A64E1">
            <w:pPr>
              <w:pStyle w:val="DAVA"/>
              <w:spacing w:before="80" w:after="80"/>
              <w:rPr>
                <w:rFonts w:cs="Arial"/>
                <w:sz w:val="18"/>
                <w:szCs w:val="18"/>
                <w:lang w:val="cs-CZ" w:eastAsia="cs-CZ"/>
              </w:rPr>
            </w:pPr>
            <w:r>
              <w:rPr>
                <w:rFonts w:cs="Arial"/>
                <w:sz w:val="18"/>
                <w:szCs w:val="18"/>
                <w:lang w:val="cs-CZ" w:eastAsia="cs-CZ"/>
              </w:rPr>
              <w:t>1)Technická ú</w:t>
            </w:r>
            <w:r w:rsidRPr="009B41F6">
              <w:rPr>
                <w:rFonts w:cs="Arial"/>
                <w:sz w:val="18"/>
                <w:szCs w:val="18"/>
                <w:lang w:val="cs-CZ" w:eastAsia="cs-CZ"/>
              </w:rPr>
              <w:t xml:space="preserve">prava </w:t>
            </w:r>
            <w:proofErr w:type="spellStart"/>
            <w:r w:rsidRPr="009B41F6">
              <w:rPr>
                <w:rFonts w:cs="Arial"/>
                <w:sz w:val="18"/>
                <w:szCs w:val="18"/>
                <w:lang w:val="cs-CZ" w:eastAsia="cs-CZ"/>
              </w:rPr>
              <w:t>Info</w:t>
            </w:r>
            <w:proofErr w:type="spellEnd"/>
            <w:r w:rsidRPr="009B41F6">
              <w:rPr>
                <w:rFonts w:cs="Arial"/>
                <w:sz w:val="18"/>
                <w:szCs w:val="18"/>
                <w:lang w:val="cs-CZ" w:eastAsia="cs-CZ"/>
              </w:rPr>
              <w:t>-fóra na Portálu o veřejných zakázkách a koncesích</w:t>
            </w:r>
            <w:r>
              <w:rPr>
                <w:rFonts w:cs="Arial"/>
                <w:sz w:val="18"/>
                <w:szCs w:val="18"/>
                <w:lang w:val="cs-CZ" w:eastAsia="cs-CZ"/>
              </w:rPr>
              <w:t xml:space="preserve"> za účelem zlepšení uživatelské přívětivosti a snadného vyhledávání </w:t>
            </w:r>
            <w:r w:rsidRPr="009B41F6">
              <w:rPr>
                <w:rFonts w:cs="Arial"/>
                <w:sz w:val="18"/>
                <w:szCs w:val="18"/>
                <w:lang w:val="cs-CZ" w:eastAsia="cs-CZ"/>
              </w:rPr>
              <w:t>týkající dobré a špatné praxe při přípravě a vedení zadávacího řízení na základě klíčových slov.</w:t>
            </w:r>
          </w:p>
          <w:p w:rsidR="00D00116" w:rsidRDefault="00D00116" w:rsidP="005A64E1">
            <w:pPr>
              <w:pStyle w:val="DAVA"/>
              <w:spacing w:before="80" w:after="80"/>
              <w:rPr>
                <w:rFonts w:cs="Arial"/>
                <w:sz w:val="18"/>
                <w:szCs w:val="18"/>
                <w:lang w:val="cs-CZ" w:eastAsia="cs-CZ"/>
              </w:rPr>
            </w:pPr>
            <w:r w:rsidRPr="009B41F6">
              <w:rPr>
                <w:rFonts w:cs="Arial"/>
                <w:sz w:val="18"/>
                <w:szCs w:val="18"/>
                <w:lang w:val="cs-CZ" w:eastAsia="cs-CZ"/>
              </w:rPr>
              <w:t xml:space="preserve"> Portál je veřejně přístupný pro subjekty implementační struktury i příjemce (zadavatele).</w:t>
            </w:r>
            <w:r>
              <w:rPr>
                <w:rFonts w:cs="Arial"/>
                <w:sz w:val="18"/>
                <w:szCs w:val="18"/>
                <w:lang w:val="cs-CZ" w:eastAsia="cs-CZ"/>
              </w:rPr>
              <w:t xml:space="preserve"> </w:t>
            </w:r>
          </w:p>
          <w:p w:rsidR="00D00116" w:rsidRPr="009B41F6" w:rsidRDefault="00D00116" w:rsidP="005A64E1">
            <w:pPr>
              <w:pStyle w:val="DAVA"/>
              <w:spacing w:before="80" w:after="80"/>
              <w:rPr>
                <w:rFonts w:cs="Arial"/>
                <w:sz w:val="18"/>
                <w:szCs w:val="18"/>
                <w:lang w:val="cs-CZ" w:eastAsia="cs-CZ"/>
              </w:rPr>
            </w:pPr>
            <w:r w:rsidRPr="0016109B">
              <w:rPr>
                <w:rFonts w:cs="Arial"/>
                <w:sz w:val="18"/>
                <w:szCs w:val="18"/>
                <w:lang w:val="cs-CZ" w:eastAsia="cs-CZ"/>
              </w:rPr>
              <w:t>2)</w:t>
            </w:r>
            <w:r>
              <w:rPr>
                <w:rFonts w:cs="Arial"/>
                <w:sz w:val="18"/>
                <w:szCs w:val="18"/>
                <w:lang w:val="cs-CZ" w:eastAsia="cs-CZ"/>
              </w:rPr>
              <w:t xml:space="preserve"> </w:t>
            </w:r>
            <w:r w:rsidRPr="0016109B">
              <w:rPr>
                <w:rFonts w:cs="Arial"/>
                <w:sz w:val="18"/>
                <w:szCs w:val="18"/>
                <w:lang w:val="cs-CZ" w:eastAsia="cs-CZ"/>
              </w:rPr>
              <w:t>Rozšíření</w:t>
            </w:r>
            <w:r>
              <w:rPr>
                <w:rFonts w:cs="Arial"/>
                <w:sz w:val="18"/>
                <w:szCs w:val="18"/>
                <w:lang w:val="cs-CZ" w:eastAsia="cs-CZ"/>
              </w:rPr>
              <w:t xml:space="preserve"> databáze gestora ZVZ (uvedené v bodě 7 nelegislativních opatření v předchozí tabulce)  o </w:t>
            </w:r>
            <w:r w:rsidRPr="0016109B">
              <w:rPr>
                <w:rFonts w:cs="Arial"/>
                <w:sz w:val="18"/>
                <w:szCs w:val="18"/>
                <w:lang w:val="cs-CZ" w:eastAsia="cs-CZ"/>
              </w:rPr>
              <w:t>další stěžejní Rozhodnutí Úřadu pro ochranu hospodářské soutěže, českých soudů a Soudního dvora EU</w:t>
            </w:r>
            <w:r>
              <w:rPr>
                <w:rFonts w:cs="Arial"/>
                <w:sz w:val="18"/>
                <w:szCs w:val="18"/>
                <w:lang w:val="cs-CZ" w:eastAsia="cs-CZ"/>
              </w:rPr>
              <w:t xml:space="preserve"> </w:t>
            </w:r>
            <w:r w:rsidRPr="001934B8">
              <w:rPr>
                <w:sz w:val="18"/>
                <w:szCs w:val="18"/>
              </w:rPr>
              <w:t xml:space="preserve">a vybraných anonymizovaných </w:t>
            </w:r>
            <w:r w:rsidRPr="001934B8">
              <w:rPr>
                <w:sz w:val="18"/>
                <w:szCs w:val="18"/>
                <w:lang w:val="cs-CZ"/>
              </w:rPr>
              <w:t xml:space="preserve"> nejčastějších </w:t>
            </w:r>
            <w:r w:rsidRPr="001934B8">
              <w:rPr>
                <w:sz w:val="18"/>
                <w:szCs w:val="18"/>
              </w:rPr>
              <w:t>auditních zjištění v této oblasti</w:t>
            </w:r>
            <w:r w:rsidRPr="001934B8">
              <w:rPr>
                <w:rFonts w:cs="Arial"/>
                <w:sz w:val="18"/>
                <w:szCs w:val="18"/>
                <w:lang w:val="cs-CZ" w:eastAsia="cs-CZ"/>
              </w:rPr>
              <w:t xml:space="preserve">, </w:t>
            </w:r>
            <w:r w:rsidRPr="0016109B">
              <w:rPr>
                <w:rFonts w:cs="Arial"/>
                <w:sz w:val="18"/>
                <w:szCs w:val="18"/>
                <w:lang w:val="cs-CZ" w:eastAsia="cs-CZ"/>
              </w:rPr>
              <w:t>tak aby databáze tvořila ucelený rámec pro celou oblast zadávání.</w:t>
            </w:r>
          </w:p>
        </w:tc>
        <w:tc>
          <w:tcPr>
            <w:tcW w:w="989" w:type="pct"/>
          </w:tcPr>
          <w:p w:rsidR="00D00116" w:rsidRPr="009B41F6" w:rsidRDefault="00D00116" w:rsidP="005A64E1">
            <w:pPr>
              <w:pStyle w:val="DAVA"/>
              <w:spacing w:before="80" w:after="80"/>
              <w:rPr>
                <w:rFonts w:cs="Arial"/>
                <w:sz w:val="18"/>
                <w:szCs w:val="18"/>
                <w:lang w:val="cs-CZ" w:eastAsia="cs-CZ"/>
              </w:rPr>
            </w:pPr>
            <w:r w:rsidRPr="009B41F6">
              <w:rPr>
                <w:rFonts w:cs="Arial"/>
                <w:sz w:val="18"/>
                <w:szCs w:val="18"/>
                <w:lang w:val="cs-CZ" w:eastAsia="cs-CZ"/>
              </w:rPr>
              <w:t>31. 12. 2015</w:t>
            </w:r>
          </w:p>
        </w:tc>
        <w:tc>
          <w:tcPr>
            <w:tcW w:w="815" w:type="pct"/>
          </w:tcPr>
          <w:p w:rsidR="00D00116" w:rsidRDefault="00D00116" w:rsidP="005A64E1">
            <w:pPr>
              <w:pStyle w:val="DAVA"/>
              <w:spacing w:before="80" w:after="80"/>
              <w:rPr>
                <w:rFonts w:cs="Arial"/>
                <w:sz w:val="18"/>
                <w:szCs w:val="18"/>
                <w:lang w:val="cs-CZ"/>
              </w:rPr>
            </w:pPr>
            <w:r w:rsidRPr="00D711A8">
              <w:rPr>
                <w:rFonts w:cs="Arial"/>
                <w:sz w:val="18"/>
                <w:szCs w:val="18"/>
                <w:lang w:val="cs-CZ"/>
              </w:rPr>
              <w:t>MMR</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1934B8" w:rsidDel="00DE60E4" w:rsidRDefault="00D00116" w:rsidP="00C36EE6">
            <w:pPr>
              <w:pStyle w:val="DAVA"/>
              <w:spacing w:before="80" w:after="80"/>
              <w:rPr>
                <w:rFonts w:cs="Arial"/>
                <w:sz w:val="18"/>
                <w:szCs w:val="18"/>
                <w:lang w:val="cs-CZ" w:eastAsia="cs-CZ"/>
              </w:rPr>
            </w:pPr>
            <w:r w:rsidRPr="001934B8">
              <w:rPr>
                <w:rFonts w:cs="Arial"/>
                <w:sz w:val="18"/>
                <w:szCs w:val="18"/>
                <w:lang w:val="cs-CZ" w:eastAsia="cs-CZ"/>
              </w:rPr>
              <w:t>Opatření pro účinné uplatňování předpisů Unie o veřejných zakázkách prostřednictvím odpovídajících mechanismů</w:t>
            </w:r>
            <w:r w:rsidRPr="001934B8" w:rsidDel="00AD3865">
              <w:rPr>
                <w:rFonts w:cs="Arial"/>
                <w:sz w:val="18"/>
                <w:szCs w:val="18"/>
                <w:lang w:val="cs-CZ" w:eastAsia="cs-CZ"/>
              </w:rPr>
              <w:t xml:space="preserve"> </w:t>
            </w:r>
          </w:p>
        </w:tc>
        <w:tc>
          <w:tcPr>
            <w:tcW w:w="1344" w:type="pct"/>
          </w:tcPr>
          <w:p w:rsidR="00D00116" w:rsidRPr="001934B8" w:rsidDel="00DE60E4" w:rsidRDefault="00D00116" w:rsidP="00825D2B">
            <w:pPr>
              <w:pStyle w:val="Tabulka"/>
              <w:widowControl w:val="0"/>
              <w:rPr>
                <w:rFonts w:ascii="Arial" w:hAnsi="Arial" w:cs="Arial"/>
                <w:b w:val="0"/>
                <w:color w:val="auto"/>
              </w:rPr>
            </w:pPr>
            <w:r w:rsidRPr="001934B8">
              <w:rPr>
                <w:rFonts w:ascii="Arial" w:hAnsi="Arial" w:cs="Arial"/>
                <w:b w:val="0"/>
                <w:color w:val="auto"/>
              </w:rPr>
              <w:t>Gestor protikorupční strategie se zavazuje promítnout směrnice EU směřující k transparentnosti zadávání veřejných zakázek do závazků definovaných v protikorupční strategii vždy bezprostředně následující. Obdobným způsobem budou vždy bezprostředně po přijetí relevantní legislativy promítnuty, jak  směrnice uvedené výše tak ustanovení národní legislativy s tímto související do jednotného metodického prostředí pro fondy ESI.</w:t>
            </w:r>
          </w:p>
        </w:tc>
        <w:tc>
          <w:tcPr>
            <w:tcW w:w="989" w:type="pct"/>
          </w:tcPr>
          <w:p w:rsidR="00D00116" w:rsidRPr="001934B8" w:rsidDel="00DE60E4" w:rsidRDefault="00D00116" w:rsidP="00825D2B">
            <w:pPr>
              <w:pStyle w:val="Tabulka"/>
              <w:widowControl w:val="0"/>
              <w:rPr>
                <w:rFonts w:ascii="Arial" w:hAnsi="Arial" w:cs="Arial"/>
                <w:b w:val="0"/>
                <w:color w:val="auto"/>
              </w:rPr>
            </w:pPr>
            <w:r w:rsidRPr="001934B8">
              <w:rPr>
                <w:rFonts w:ascii="Arial" w:hAnsi="Arial" w:cs="Arial"/>
                <w:b w:val="0"/>
                <w:color w:val="auto"/>
              </w:rPr>
              <w:t>V návaznosti na aktuální vývoj v oblasti přijímání legislativy EU budou promítány nové závazky do aktuálních vydání protikorupční strategie a jednotného metodického prostředí pro fondy ESI.</w:t>
            </w:r>
          </w:p>
        </w:tc>
        <w:tc>
          <w:tcPr>
            <w:tcW w:w="815" w:type="pct"/>
          </w:tcPr>
          <w:p w:rsidR="00D00116" w:rsidRPr="001934B8" w:rsidDel="00DE60E4" w:rsidRDefault="00D00116" w:rsidP="00825D2B">
            <w:pPr>
              <w:pStyle w:val="Tabulka"/>
              <w:widowControl w:val="0"/>
              <w:rPr>
                <w:rFonts w:ascii="Arial" w:hAnsi="Arial" w:cs="Arial"/>
                <w:b w:val="0"/>
                <w:color w:val="auto"/>
              </w:rPr>
            </w:pPr>
            <w:r w:rsidRPr="001934B8">
              <w:rPr>
                <w:rFonts w:ascii="Arial" w:hAnsi="Arial" w:cs="Arial"/>
                <w:b w:val="0"/>
                <w:color w:val="auto"/>
              </w:rPr>
              <w:t>ÚV/MMR</w:t>
            </w:r>
          </w:p>
        </w:tc>
      </w:tr>
      <w:tr w:rsidR="006B2AA7" w:rsidRPr="00A76D60" w:rsidTr="009376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09"/>
        </w:trPr>
        <w:tc>
          <w:tcPr>
            <w:tcW w:w="840" w:type="pct"/>
            <w:vMerge/>
          </w:tcPr>
          <w:p w:rsidR="006B2AA7" w:rsidRPr="00464549" w:rsidRDefault="006B2AA7" w:rsidP="00C36EE6">
            <w:pPr>
              <w:pStyle w:val="DAVA"/>
              <w:spacing w:before="80" w:after="80"/>
              <w:rPr>
                <w:rFonts w:cs="Arial"/>
                <w:b/>
                <w:sz w:val="18"/>
                <w:szCs w:val="18"/>
                <w:highlight w:val="yellow"/>
                <w:lang w:val="cs-CZ" w:eastAsia="cs-CZ"/>
              </w:rPr>
            </w:pPr>
          </w:p>
        </w:tc>
        <w:tc>
          <w:tcPr>
            <w:tcW w:w="1012" w:type="pct"/>
          </w:tcPr>
          <w:p w:rsidR="006B2AA7" w:rsidRPr="00464549" w:rsidRDefault="006B2AA7" w:rsidP="00C36EE6">
            <w:pPr>
              <w:pStyle w:val="DAVA"/>
              <w:spacing w:before="80" w:after="80"/>
              <w:rPr>
                <w:rFonts w:cs="Arial"/>
                <w:b/>
              </w:rPr>
            </w:pPr>
            <w:r w:rsidRPr="0020297F">
              <w:rPr>
                <w:rFonts w:cs="Arial"/>
                <w:color w:val="000000"/>
                <w:sz w:val="18"/>
                <w:szCs w:val="18"/>
                <w:lang w:eastAsia="cs-CZ"/>
              </w:rPr>
              <w:t>Opatření k posílení správní kapacity pro provádění a uplatňování právních předpisů Unie o veřejných zakázkách.</w:t>
            </w:r>
          </w:p>
        </w:tc>
        <w:tc>
          <w:tcPr>
            <w:tcW w:w="1344" w:type="pct"/>
          </w:tcPr>
          <w:p w:rsidR="006B2AA7" w:rsidRPr="00464549" w:rsidRDefault="006B2AA7" w:rsidP="008244BF">
            <w:pPr>
              <w:pStyle w:val="DAVA"/>
              <w:spacing w:before="80" w:after="80"/>
              <w:rPr>
                <w:rFonts w:cs="Arial"/>
                <w:b/>
              </w:rPr>
            </w:pPr>
            <w:r>
              <w:rPr>
                <w:rFonts w:cs="Arial"/>
                <w:sz w:val="18"/>
                <w:szCs w:val="18"/>
                <w:lang w:val="cs-CZ" w:eastAsia="cs-CZ"/>
              </w:rPr>
              <w:t>P</w:t>
            </w:r>
            <w:r w:rsidRPr="0020297F">
              <w:rPr>
                <w:rFonts w:cs="Arial"/>
                <w:sz w:val="18"/>
                <w:szCs w:val="18"/>
                <w:lang w:val="cs-CZ" w:eastAsia="cs-CZ"/>
              </w:rPr>
              <w:t>řijetí dalších 4</w:t>
            </w:r>
            <w:r>
              <w:rPr>
                <w:rFonts w:cs="Arial"/>
                <w:sz w:val="18"/>
                <w:szCs w:val="18"/>
                <w:lang w:val="cs-CZ" w:eastAsia="cs-CZ"/>
              </w:rPr>
              <w:t xml:space="preserve"> pracovníků gestorem PP</w:t>
            </w:r>
            <w:r w:rsidRPr="0020297F">
              <w:rPr>
                <w:rFonts w:cs="Arial"/>
                <w:sz w:val="18"/>
                <w:szCs w:val="18"/>
                <w:lang w:val="cs-CZ" w:eastAsia="cs-CZ"/>
              </w:rPr>
              <w:t xml:space="preserve"> (některé výše uvedené činnosti metodického charakteru budou zajišťovat i další pracovníci gestora ZVZ, kteří nejsou přímo vyčlenění na agendu ESI fondů, protože jde o obecnou metodickou činnost, kterou gestor ZVZ provádí v rámci své působnosti)</w:t>
            </w:r>
            <w:r>
              <w:rPr>
                <w:rFonts w:cs="Arial"/>
                <w:sz w:val="18"/>
                <w:szCs w:val="18"/>
                <w:lang w:val="cs-CZ" w:eastAsia="cs-CZ"/>
              </w:rPr>
              <w:t>.</w:t>
            </w:r>
          </w:p>
        </w:tc>
        <w:tc>
          <w:tcPr>
            <w:tcW w:w="989" w:type="pct"/>
          </w:tcPr>
          <w:p w:rsidR="006B2AA7" w:rsidRPr="00464549" w:rsidRDefault="006B2AA7" w:rsidP="00C36EE6">
            <w:pPr>
              <w:pStyle w:val="DAVA"/>
              <w:spacing w:before="80" w:after="80"/>
              <w:rPr>
                <w:rFonts w:cs="Arial"/>
                <w:b/>
              </w:rPr>
            </w:pPr>
            <w:r w:rsidRPr="0020297F">
              <w:rPr>
                <w:rFonts w:cs="Arial"/>
                <w:sz w:val="18"/>
                <w:szCs w:val="18"/>
                <w:lang w:val="cs-CZ" w:eastAsia="cs-CZ"/>
              </w:rPr>
              <w:t>30. 6. 2015</w:t>
            </w:r>
          </w:p>
        </w:tc>
        <w:tc>
          <w:tcPr>
            <w:tcW w:w="815" w:type="pct"/>
          </w:tcPr>
          <w:p w:rsidR="006B2AA7" w:rsidRPr="00464549" w:rsidRDefault="006B2AA7" w:rsidP="008244BF">
            <w:pPr>
              <w:pStyle w:val="DAVA"/>
              <w:spacing w:before="80" w:after="80"/>
              <w:rPr>
                <w:rFonts w:cs="Arial"/>
                <w:b/>
              </w:rPr>
            </w:pPr>
            <w:r w:rsidRPr="0020297F">
              <w:rPr>
                <w:rFonts w:cs="Arial"/>
                <w:sz w:val="18"/>
                <w:szCs w:val="18"/>
                <w:lang w:val="cs-CZ"/>
              </w:rPr>
              <w:t xml:space="preserve">MMR </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464549" w:rsidRDefault="00D00116" w:rsidP="00C36EE6">
            <w:pPr>
              <w:pStyle w:val="DAVA"/>
              <w:spacing w:before="80" w:after="80"/>
              <w:rPr>
                <w:rFonts w:cs="Arial"/>
                <w:color w:val="000000"/>
                <w:sz w:val="18"/>
                <w:szCs w:val="18"/>
                <w:lang w:eastAsia="cs-CZ"/>
              </w:rPr>
            </w:pPr>
            <w:r w:rsidRPr="00464549">
              <w:rPr>
                <w:rFonts w:cs="Arial"/>
                <w:color w:val="000000"/>
                <w:sz w:val="18"/>
                <w:szCs w:val="18"/>
                <w:lang w:eastAsia="cs-CZ"/>
              </w:rPr>
              <w:t>Opatření k posílení správní kapacity pro provádění a uplatňování právních předpisů Unie o veřejných zakázkách.</w:t>
            </w:r>
          </w:p>
        </w:tc>
        <w:tc>
          <w:tcPr>
            <w:tcW w:w="1344" w:type="pct"/>
          </w:tcPr>
          <w:p w:rsidR="00D00116" w:rsidRPr="00464549" w:rsidRDefault="00D00116" w:rsidP="00825D2B">
            <w:pPr>
              <w:pStyle w:val="Tabulka"/>
              <w:widowControl w:val="0"/>
              <w:rPr>
                <w:rFonts w:ascii="Arial" w:hAnsi="Arial" w:cs="Arial"/>
                <w:b w:val="0"/>
                <w:color w:val="auto"/>
              </w:rPr>
            </w:pPr>
            <w:r w:rsidRPr="00464549">
              <w:rPr>
                <w:rFonts w:ascii="Arial" w:hAnsi="Arial" w:cs="Arial"/>
                <w:b w:val="0"/>
                <w:color w:val="auto"/>
              </w:rPr>
              <w:t>Provedení interního vyhodnocení zajištění administrativní kapacity v oblasti veřejných zakázek a event. doplnění stavu .</w:t>
            </w:r>
          </w:p>
        </w:tc>
        <w:tc>
          <w:tcPr>
            <w:tcW w:w="989" w:type="pct"/>
          </w:tcPr>
          <w:p w:rsidR="00D00116" w:rsidRPr="00464549" w:rsidRDefault="00D00116" w:rsidP="00825D2B">
            <w:pPr>
              <w:pStyle w:val="Tabulka"/>
              <w:widowControl w:val="0"/>
              <w:rPr>
                <w:rFonts w:ascii="Arial" w:hAnsi="Arial" w:cs="Arial"/>
                <w:b w:val="0"/>
                <w:color w:val="auto"/>
              </w:rPr>
            </w:pPr>
            <w:r w:rsidRPr="00464549">
              <w:rPr>
                <w:rFonts w:ascii="Arial" w:hAnsi="Arial" w:cs="Arial"/>
                <w:b w:val="0"/>
                <w:color w:val="auto"/>
              </w:rPr>
              <w:t>31.12.2015</w:t>
            </w:r>
          </w:p>
        </w:tc>
        <w:tc>
          <w:tcPr>
            <w:tcW w:w="815" w:type="pct"/>
          </w:tcPr>
          <w:p w:rsidR="00D00116" w:rsidRPr="00464549" w:rsidRDefault="00D00116" w:rsidP="00825D2B">
            <w:pPr>
              <w:pStyle w:val="Tabulka"/>
              <w:widowControl w:val="0"/>
              <w:rPr>
                <w:rFonts w:ascii="Arial" w:hAnsi="Arial" w:cs="Arial"/>
                <w:b w:val="0"/>
                <w:color w:val="auto"/>
              </w:rPr>
            </w:pPr>
            <w:r w:rsidRPr="00464549">
              <w:rPr>
                <w:rFonts w:ascii="Arial" w:hAnsi="Arial" w:cs="Arial"/>
                <w:b w:val="0"/>
                <w:color w:val="auto"/>
              </w:rPr>
              <w:t>ŘO</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A76D60" w:rsidRDefault="00D00116" w:rsidP="00EF7E99">
            <w:pPr>
              <w:pStyle w:val="DAVA"/>
              <w:spacing w:before="80" w:after="80"/>
              <w:rPr>
                <w:rFonts w:cs="Arial"/>
                <w:color w:val="000000"/>
                <w:sz w:val="18"/>
                <w:szCs w:val="18"/>
                <w:lang w:eastAsia="cs-CZ"/>
              </w:rPr>
            </w:pPr>
            <w:r w:rsidRPr="00A74059">
              <w:rPr>
                <w:rFonts w:cs="Arial"/>
                <w:sz w:val="18"/>
                <w:szCs w:val="18"/>
                <w:lang w:val="cs-CZ" w:eastAsia="cs-CZ"/>
              </w:rPr>
              <w:t>Opatření pro odbornou přípravu a šíření informací pro zaměstnance podílející se na provádění fondů ESI</w:t>
            </w:r>
          </w:p>
        </w:tc>
        <w:tc>
          <w:tcPr>
            <w:tcW w:w="1344" w:type="pct"/>
          </w:tcPr>
          <w:p w:rsidR="00D00116" w:rsidRPr="009B41F6" w:rsidRDefault="00D00116" w:rsidP="00EF7E99">
            <w:pPr>
              <w:pStyle w:val="DAVA"/>
              <w:spacing w:before="80" w:after="80"/>
              <w:rPr>
                <w:rFonts w:cs="Arial"/>
                <w:sz w:val="18"/>
                <w:szCs w:val="18"/>
                <w:lang w:val="cs-CZ" w:eastAsia="cs-CZ"/>
              </w:rPr>
            </w:pPr>
            <w:r>
              <w:rPr>
                <w:rFonts w:cs="Arial"/>
                <w:sz w:val="18"/>
                <w:szCs w:val="18"/>
                <w:lang w:val="cs-CZ" w:eastAsia="cs-CZ"/>
              </w:rPr>
              <w:t xml:space="preserve">Zpracování závěrečné evaluace Systému vzdělávání 2007-2013 </w:t>
            </w:r>
          </w:p>
        </w:tc>
        <w:tc>
          <w:tcPr>
            <w:tcW w:w="989" w:type="pct"/>
          </w:tcPr>
          <w:p w:rsidR="00D00116" w:rsidRPr="009B41F6" w:rsidRDefault="00D00116" w:rsidP="00EF7E99">
            <w:pPr>
              <w:pStyle w:val="DAVA"/>
              <w:spacing w:before="80" w:after="80"/>
              <w:rPr>
                <w:rFonts w:cs="Arial"/>
                <w:sz w:val="18"/>
                <w:szCs w:val="18"/>
                <w:lang w:val="cs-CZ" w:eastAsia="cs-CZ"/>
              </w:rPr>
            </w:pPr>
            <w:r>
              <w:rPr>
                <w:rFonts w:cs="Arial"/>
                <w:sz w:val="18"/>
                <w:szCs w:val="18"/>
                <w:lang w:val="cs-CZ" w:eastAsia="cs-CZ"/>
              </w:rPr>
              <w:t>31.12. 2015</w:t>
            </w:r>
          </w:p>
        </w:tc>
        <w:tc>
          <w:tcPr>
            <w:tcW w:w="815" w:type="pct"/>
          </w:tcPr>
          <w:p w:rsidR="00D00116" w:rsidRDefault="00D00116" w:rsidP="008244BF">
            <w:pPr>
              <w:pStyle w:val="DAVA"/>
              <w:spacing w:before="80" w:after="80"/>
              <w:rPr>
                <w:rFonts w:cs="Arial"/>
                <w:sz w:val="18"/>
                <w:szCs w:val="18"/>
                <w:lang w:val="cs-CZ"/>
              </w:rPr>
            </w:pPr>
            <w:r>
              <w:rPr>
                <w:rFonts w:cs="Arial"/>
                <w:sz w:val="18"/>
                <w:szCs w:val="18"/>
                <w:lang w:val="cs-CZ"/>
              </w:rPr>
              <w:t>MMR</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A76D60" w:rsidRDefault="00D00116" w:rsidP="00EF7E99">
            <w:pPr>
              <w:pStyle w:val="DAVA"/>
              <w:spacing w:before="80" w:after="80"/>
              <w:rPr>
                <w:rFonts w:cs="Arial"/>
                <w:color w:val="000000"/>
                <w:sz w:val="18"/>
                <w:szCs w:val="18"/>
                <w:lang w:eastAsia="cs-CZ"/>
              </w:rPr>
            </w:pPr>
            <w:r w:rsidRPr="00A74059">
              <w:rPr>
                <w:rFonts w:cs="Arial"/>
                <w:sz w:val="18"/>
                <w:szCs w:val="18"/>
                <w:lang w:val="cs-CZ" w:eastAsia="cs-CZ"/>
              </w:rPr>
              <w:t>Opatření pro odbornou přípravu a šíření informací pro zaměstnance podílející se na provádění fondů ESI</w:t>
            </w:r>
          </w:p>
        </w:tc>
        <w:tc>
          <w:tcPr>
            <w:tcW w:w="1344" w:type="pct"/>
          </w:tcPr>
          <w:p w:rsidR="00D00116" w:rsidRDefault="00D00116" w:rsidP="00EF7E99">
            <w:pPr>
              <w:pStyle w:val="DAVA"/>
              <w:spacing w:before="80" w:after="80"/>
              <w:rPr>
                <w:rFonts w:cs="Arial"/>
                <w:sz w:val="18"/>
                <w:szCs w:val="18"/>
                <w:lang w:val="cs-CZ" w:eastAsia="cs-CZ"/>
              </w:rPr>
            </w:pPr>
            <w:r>
              <w:rPr>
                <w:rFonts w:cs="Arial"/>
                <w:sz w:val="18"/>
                <w:szCs w:val="18"/>
                <w:lang w:val="cs-CZ" w:eastAsia="cs-CZ"/>
              </w:rPr>
              <w:t xml:space="preserve">Vytvoření Systému vzdělávání 2014-2020, který bude vycházet z již osvědčeného Systému vzdělávání 2007-2013 a bude dále inovován. Moduly vzdělávání v oblasti veřejných zakázek budou: </w:t>
            </w:r>
          </w:p>
          <w:p w:rsidR="00D00116" w:rsidRDefault="00D00116" w:rsidP="0008048C">
            <w:pPr>
              <w:pStyle w:val="DAVA"/>
              <w:numPr>
                <w:ilvl w:val="0"/>
                <w:numId w:val="45"/>
              </w:numPr>
              <w:spacing w:before="80" w:after="80"/>
              <w:rPr>
                <w:rFonts w:cs="Arial"/>
                <w:sz w:val="18"/>
                <w:szCs w:val="18"/>
                <w:lang w:val="cs-CZ" w:eastAsia="cs-CZ"/>
              </w:rPr>
            </w:pPr>
            <w:r>
              <w:rPr>
                <w:rFonts w:cs="Arial"/>
                <w:sz w:val="18"/>
                <w:szCs w:val="18"/>
                <w:lang w:val="cs-CZ" w:eastAsia="cs-CZ"/>
              </w:rPr>
              <w:t>Základní pojmy ZVZ</w:t>
            </w:r>
          </w:p>
          <w:p w:rsidR="00D00116" w:rsidRDefault="00D00116" w:rsidP="0008048C">
            <w:pPr>
              <w:pStyle w:val="DAVA"/>
              <w:numPr>
                <w:ilvl w:val="0"/>
                <w:numId w:val="45"/>
              </w:numPr>
              <w:spacing w:before="80" w:after="80"/>
              <w:rPr>
                <w:rFonts w:cs="Arial"/>
                <w:sz w:val="18"/>
                <w:szCs w:val="18"/>
                <w:lang w:val="cs-CZ" w:eastAsia="cs-CZ"/>
              </w:rPr>
            </w:pPr>
            <w:r>
              <w:rPr>
                <w:rFonts w:cs="Arial"/>
                <w:sz w:val="18"/>
                <w:szCs w:val="18"/>
                <w:lang w:val="cs-CZ" w:eastAsia="cs-CZ"/>
              </w:rPr>
              <w:t>Příprava zadávacích podmínek, definování předmětu veřejné zakázky</w:t>
            </w:r>
          </w:p>
          <w:p w:rsidR="00D00116" w:rsidRDefault="00D00116" w:rsidP="0008048C">
            <w:pPr>
              <w:pStyle w:val="DAVA"/>
              <w:numPr>
                <w:ilvl w:val="0"/>
                <w:numId w:val="45"/>
              </w:numPr>
              <w:spacing w:before="80" w:after="80"/>
              <w:rPr>
                <w:rFonts w:cs="Arial"/>
                <w:sz w:val="18"/>
                <w:szCs w:val="18"/>
                <w:lang w:val="cs-CZ" w:eastAsia="cs-CZ"/>
              </w:rPr>
            </w:pPr>
            <w:r>
              <w:rPr>
                <w:rFonts w:cs="Arial"/>
                <w:sz w:val="18"/>
                <w:szCs w:val="18"/>
                <w:lang w:val="cs-CZ" w:eastAsia="cs-CZ"/>
              </w:rPr>
              <w:lastRenderedPageBreak/>
              <w:t>Hodnotící kritéria</w:t>
            </w:r>
          </w:p>
          <w:p w:rsidR="00D00116" w:rsidRDefault="00D00116" w:rsidP="0008048C">
            <w:pPr>
              <w:pStyle w:val="DAVA"/>
              <w:numPr>
                <w:ilvl w:val="0"/>
                <w:numId w:val="45"/>
              </w:numPr>
              <w:spacing w:before="80" w:after="80"/>
              <w:rPr>
                <w:rFonts w:cs="Arial"/>
                <w:sz w:val="18"/>
                <w:szCs w:val="18"/>
                <w:lang w:val="cs-CZ" w:eastAsia="cs-CZ"/>
              </w:rPr>
            </w:pPr>
            <w:r>
              <w:rPr>
                <w:rFonts w:cs="Arial"/>
                <w:sz w:val="18"/>
                <w:szCs w:val="18"/>
                <w:lang w:val="cs-CZ" w:eastAsia="cs-CZ"/>
              </w:rPr>
              <w:t>Kvalifikační předpoklady</w:t>
            </w:r>
          </w:p>
          <w:p w:rsidR="00D00116" w:rsidRDefault="00D00116" w:rsidP="0008048C">
            <w:pPr>
              <w:pStyle w:val="DAVA"/>
              <w:numPr>
                <w:ilvl w:val="0"/>
                <w:numId w:val="45"/>
              </w:numPr>
              <w:spacing w:before="80" w:after="80"/>
              <w:rPr>
                <w:rFonts w:cs="Arial"/>
                <w:sz w:val="18"/>
                <w:szCs w:val="18"/>
                <w:lang w:val="cs-CZ" w:eastAsia="cs-CZ"/>
              </w:rPr>
            </w:pPr>
            <w:r>
              <w:rPr>
                <w:rFonts w:cs="Arial"/>
                <w:sz w:val="18"/>
                <w:szCs w:val="18"/>
                <w:lang w:val="cs-CZ" w:eastAsia="cs-CZ"/>
              </w:rPr>
              <w:t>Nejčastější chyby zadavatelů v zadávacím řízení</w:t>
            </w:r>
          </w:p>
          <w:p w:rsidR="00D00116" w:rsidRPr="007C03DE" w:rsidRDefault="00D00116" w:rsidP="0008048C">
            <w:pPr>
              <w:pStyle w:val="DAVA"/>
              <w:numPr>
                <w:ilvl w:val="0"/>
                <w:numId w:val="45"/>
              </w:numPr>
              <w:spacing w:before="80" w:after="80"/>
              <w:rPr>
                <w:rFonts w:cs="Arial"/>
                <w:sz w:val="18"/>
                <w:szCs w:val="18"/>
                <w:lang w:val="cs-CZ" w:eastAsia="cs-CZ"/>
              </w:rPr>
            </w:pPr>
            <w:r>
              <w:rPr>
                <w:rFonts w:cs="Arial"/>
                <w:sz w:val="18"/>
                <w:szCs w:val="18"/>
                <w:lang w:val="cs-CZ" w:eastAsia="cs-CZ"/>
              </w:rPr>
              <w:t>Výjimky ze ZVZ</w:t>
            </w:r>
          </w:p>
        </w:tc>
        <w:tc>
          <w:tcPr>
            <w:tcW w:w="989" w:type="pct"/>
          </w:tcPr>
          <w:p w:rsidR="00D00116" w:rsidRDefault="00D00116" w:rsidP="00EF7E99">
            <w:pPr>
              <w:pStyle w:val="DAVA"/>
              <w:spacing w:before="80" w:after="80"/>
              <w:rPr>
                <w:rFonts w:cs="Arial"/>
                <w:sz w:val="18"/>
                <w:szCs w:val="18"/>
                <w:lang w:val="cs-CZ" w:eastAsia="cs-CZ"/>
              </w:rPr>
            </w:pPr>
            <w:r>
              <w:rPr>
                <w:rFonts w:cs="Arial"/>
                <w:sz w:val="18"/>
                <w:szCs w:val="18"/>
                <w:lang w:val="cs-CZ" w:eastAsia="cs-CZ"/>
              </w:rPr>
              <w:lastRenderedPageBreak/>
              <w:t>31.12. 2015</w:t>
            </w:r>
          </w:p>
          <w:p w:rsidR="00D00116" w:rsidRPr="009B41F6" w:rsidRDefault="00D00116" w:rsidP="00EF7E99">
            <w:pPr>
              <w:pStyle w:val="DAVA"/>
              <w:spacing w:before="80" w:after="80"/>
              <w:rPr>
                <w:rFonts w:cs="Arial"/>
                <w:sz w:val="18"/>
                <w:szCs w:val="18"/>
                <w:lang w:val="cs-CZ" w:eastAsia="cs-CZ"/>
              </w:rPr>
            </w:pPr>
          </w:p>
        </w:tc>
        <w:tc>
          <w:tcPr>
            <w:tcW w:w="815" w:type="pct"/>
          </w:tcPr>
          <w:p w:rsidR="00D00116" w:rsidRDefault="00D00116" w:rsidP="008244BF">
            <w:pPr>
              <w:pStyle w:val="DAVA"/>
              <w:spacing w:before="80" w:after="80"/>
              <w:rPr>
                <w:rFonts w:cs="Arial"/>
                <w:sz w:val="18"/>
                <w:szCs w:val="18"/>
                <w:lang w:val="cs-CZ"/>
              </w:rPr>
            </w:pPr>
            <w:r>
              <w:rPr>
                <w:rFonts w:cs="Arial"/>
                <w:sz w:val="18"/>
                <w:szCs w:val="18"/>
                <w:lang w:val="cs-CZ"/>
              </w:rPr>
              <w:t xml:space="preserve">MMR </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A74059" w:rsidRDefault="00D00116" w:rsidP="00EF7E99">
            <w:pPr>
              <w:pStyle w:val="DAVA"/>
              <w:spacing w:before="80" w:after="80"/>
              <w:rPr>
                <w:rFonts w:cs="Arial"/>
                <w:sz w:val="18"/>
                <w:szCs w:val="18"/>
                <w:lang w:val="cs-CZ" w:eastAsia="cs-CZ"/>
              </w:rPr>
            </w:pPr>
            <w:r w:rsidRPr="00A74059">
              <w:rPr>
                <w:rFonts w:cs="Arial"/>
                <w:sz w:val="18"/>
                <w:szCs w:val="18"/>
                <w:lang w:val="cs-CZ" w:eastAsia="cs-CZ"/>
              </w:rPr>
              <w:t>Opatření pro odbornou přípravu a šíření informací pro zaměstnance podílející se na provádění fondů ESI</w:t>
            </w:r>
          </w:p>
        </w:tc>
        <w:tc>
          <w:tcPr>
            <w:tcW w:w="1344" w:type="pct"/>
          </w:tcPr>
          <w:p w:rsidR="00D00116" w:rsidRPr="0016109B" w:rsidRDefault="00D00116" w:rsidP="005A64E1">
            <w:pPr>
              <w:pStyle w:val="DAVA"/>
              <w:spacing w:before="80" w:after="80"/>
              <w:rPr>
                <w:rFonts w:cs="Arial"/>
                <w:sz w:val="18"/>
                <w:szCs w:val="18"/>
                <w:lang w:val="cs-CZ" w:eastAsia="cs-CZ"/>
              </w:rPr>
            </w:pPr>
            <w:r w:rsidRPr="0016109B">
              <w:rPr>
                <w:rFonts w:cs="Arial"/>
                <w:sz w:val="18"/>
                <w:szCs w:val="18"/>
                <w:lang w:val="cs-CZ" w:eastAsia="cs-CZ"/>
              </w:rPr>
              <w:t>Zajištění proškolení všech relevantních zaměstnanců ŘO a ZS zabývajících se zadáváním veřejných zakázek v souvislosti s přijetím nového Metodického pokynu k zadávání Veřejných zakázek:</w:t>
            </w:r>
          </w:p>
          <w:p w:rsidR="00D00116" w:rsidRPr="0016109B" w:rsidRDefault="00D00116" w:rsidP="005A64E1">
            <w:pPr>
              <w:pStyle w:val="DAVA"/>
              <w:spacing w:before="80" w:after="80"/>
              <w:rPr>
                <w:lang w:val="cs-CZ"/>
              </w:rPr>
            </w:pPr>
            <w:r>
              <w:rPr>
                <w:rFonts w:cs="Arial"/>
                <w:sz w:val="18"/>
                <w:szCs w:val="18"/>
                <w:lang w:val="cs-CZ" w:eastAsia="cs-CZ"/>
              </w:rPr>
              <w:t xml:space="preserve">1) </w:t>
            </w:r>
            <w:r w:rsidRPr="0016109B">
              <w:rPr>
                <w:rFonts w:cs="Arial"/>
                <w:sz w:val="18"/>
                <w:szCs w:val="18"/>
                <w:lang w:val="cs-CZ" w:eastAsia="cs-CZ"/>
              </w:rPr>
              <w:t>Gestor ZVZ proškolí řídící org</w:t>
            </w:r>
            <w:r>
              <w:rPr>
                <w:rFonts w:cs="Arial"/>
                <w:sz w:val="18"/>
                <w:szCs w:val="18"/>
                <w:lang w:val="cs-CZ" w:eastAsia="cs-CZ"/>
              </w:rPr>
              <w:t xml:space="preserve">ány a zprostředkující subjekty </w:t>
            </w:r>
            <w:r w:rsidRPr="0016109B">
              <w:rPr>
                <w:rFonts w:cs="Arial"/>
                <w:sz w:val="18"/>
                <w:szCs w:val="18"/>
                <w:lang w:val="cs-CZ" w:eastAsia="cs-CZ"/>
              </w:rPr>
              <w:t>v zadávání veřejných zakázek  podle postupů stanovených v ZVZ a podle postupů stanovených v Metodickém pokynu pro oblast zadávání zakázek pro programové období 2014-2020 (prezenční vzdělávací akce).</w:t>
            </w:r>
            <w:r w:rsidRPr="0016109B">
              <w:t xml:space="preserve"> </w:t>
            </w:r>
          </w:p>
          <w:p w:rsidR="00D00116" w:rsidRPr="009F4756" w:rsidRDefault="00D00116" w:rsidP="005A64E1">
            <w:pPr>
              <w:pStyle w:val="DAVA"/>
              <w:spacing w:before="80" w:after="80"/>
              <w:rPr>
                <w:rFonts w:cs="Arial"/>
                <w:sz w:val="18"/>
                <w:szCs w:val="18"/>
                <w:lang w:val="cs-CZ" w:eastAsia="cs-CZ"/>
              </w:rPr>
            </w:pPr>
            <w:r w:rsidRPr="00C77655">
              <w:rPr>
                <w:sz w:val="18"/>
                <w:szCs w:val="18"/>
                <w:lang w:val="cs-CZ"/>
              </w:rPr>
              <w:t>2)</w:t>
            </w:r>
            <w:r w:rsidRPr="0016109B">
              <w:rPr>
                <w:rFonts w:cs="Arial"/>
                <w:sz w:val="18"/>
                <w:szCs w:val="18"/>
                <w:lang w:val="cs-CZ" w:eastAsia="cs-CZ"/>
              </w:rPr>
              <w:t>Ve spolupráci s NOK a  ŘO a na jeho žádost bude gestor ZVZ stejným způsobem vzdělávat také příjemce (zadavatele).</w:t>
            </w:r>
          </w:p>
        </w:tc>
        <w:tc>
          <w:tcPr>
            <w:tcW w:w="989" w:type="pct"/>
          </w:tcPr>
          <w:p w:rsidR="00D00116" w:rsidRPr="009F4756" w:rsidRDefault="00D00116" w:rsidP="005A64E1">
            <w:pPr>
              <w:pStyle w:val="DAVA"/>
              <w:spacing w:before="80" w:after="80"/>
              <w:rPr>
                <w:rFonts w:cs="Arial"/>
                <w:sz w:val="18"/>
                <w:szCs w:val="18"/>
                <w:lang w:val="cs-CZ" w:eastAsia="cs-CZ"/>
              </w:rPr>
            </w:pPr>
            <w:r>
              <w:rPr>
                <w:rFonts w:cs="Arial"/>
                <w:sz w:val="18"/>
                <w:szCs w:val="18"/>
                <w:lang w:val="cs-CZ" w:eastAsia="cs-CZ"/>
              </w:rPr>
              <w:t xml:space="preserve"> 30. 6. 2015</w:t>
            </w:r>
          </w:p>
        </w:tc>
        <w:tc>
          <w:tcPr>
            <w:tcW w:w="815" w:type="pct"/>
          </w:tcPr>
          <w:p w:rsidR="00D00116" w:rsidRDefault="00D00116" w:rsidP="005A64E1">
            <w:pPr>
              <w:pStyle w:val="DAVA"/>
              <w:spacing w:before="80" w:after="80"/>
              <w:rPr>
                <w:rFonts w:cs="Arial"/>
                <w:sz w:val="18"/>
                <w:szCs w:val="18"/>
                <w:lang w:val="cs-CZ"/>
              </w:rPr>
            </w:pPr>
            <w:r>
              <w:rPr>
                <w:rFonts w:cs="Arial"/>
                <w:sz w:val="18"/>
                <w:szCs w:val="18"/>
                <w:lang w:val="cs-CZ"/>
              </w:rPr>
              <w:t>MMR, ŘO</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A74059" w:rsidRDefault="00D00116" w:rsidP="00EF7E99">
            <w:pPr>
              <w:pStyle w:val="DAVA"/>
              <w:spacing w:before="80" w:after="80"/>
              <w:rPr>
                <w:rFonts w:cs="Arial"/>
                <w:sz w:val="18"/>
                <w:szCs w:val="18"/>
                <w:lang w:val="cs-CZ" w:eastAsia="cs-CZ"/>
              </w:rPr>
            </w:pPr>
            <w:r w:rsidRPr="00A74059">
              <w:rPr>
                <w:rFonts w:cs="Arial"/>
                <w:sz w:val="18"/>
                <w:szCs w:val="18"/>
                <w:lang w:val="cs-CZ" w:eastAsia="cs-CZ"/>
              </w:rPr>
              <w:t>Opatření pro odbornou přípravu a šíření informací pro zaměstnance podílející se na provádění fondů ESI</w:t>
            </w:r>
          </w:p>
        </w:tc>
        <w:tc>
          <w:tcPr>
            <w:tcW w:w="1344" w:type="pct"/>
          </w:tcPr>
          <w:p w:rsidR="00D00116" w:rsidRDefault="00D00116" w:rsidP="005A64E1">
            <w:pPr>
              <w:pStyle w:val="DAVA"/>
              <w:spacing w:before="80" w:after="80"/>
              <w:rPr>
                <w:rFonts w:cs="Arial"/>
                <w:sz w:val="18"/>
                <w:szCs w:val="18"/>
                <w:lang w:val="cs-CZ" w:eastAsia="cs-CZ"/>
              </w:rPr>
            </w:pPr>
            <w:r w:rsidRPr="0016109B">
              <w:rPr>
                <w:rFonts w:cs="Arial"/>
                <w:sz w:val="18"/>
                <w:szCs w:val="18"/>
                <w:lang w:val="cs-CZ" w:eastAsia="cs-CZ"/>
              </w:rPr>
              <w:t>Gestor ZVZ vytipuje v nových zadávacích směrnicích EU novou právní úpravu, kterou považuje za problematickou/rizikovou (např. s ohledem na to, že dříve nebyla používána, nebo je významněji pozměněna oproti předchozímu období), a uskuteční vzdělávací akce na toto téma pro subjekty implementační struktury.</w:t>
            </w:r>
          </w:p>
        </w:tc>
        <w:tc>
          <w:tcPr>
            <w:tcW w:w="989" w:type="pct"/>
          </w:tcPr>
          <w:p w:rsidR="00D00116" w:rsidRDefault="00D00116" w:rsidP="005A64E1">
            <w:pPr>
              <w:pStyle w:val="DAVA"/>
              <w:spacing w:before="80" w:after="80"/>
              <w:rPr>
                <w:rFonts w:cs="Arial"/>
                <w:sz w:val="18"/>
                <w:szCs w:val="18"/>
                <w:lang w:val="cs-CZ" w:eastAsia="cs-CZ"/>
              </w:rPr>
            </w:pPr>
            <w:r>
              <w:rPr>
                <w:rFonts w:cs="Arial"/>
                <w:sz w:val="18"/>
                <w:szCs w:val="18"/>
                <w:lang w:val="cs-CZ" w:eastAsia="cs-CZ"/>
              </w:rPr>
              <w:t>31.12.2015</w:t>
            </w:r>
          </w:p>
          <w:p w:rsidR="00D00116" w:rsidRDefault="00D00116" w:rsidP="005A64E1">
            <w:pPr>
              <w:pStyle w:val="DAVA"/>
              <w:spacing w:before="80" w:after="80"/>
              <w:rPr>
                <w:rFonts w:cs="Arial"/>
                <w:sz w:val="18"/>
                <w:szCs w:val="18"/>
                <w:lang w:val="cs-CZ" w:eastAsia="cs-CZ"/>
              </w:rPr>
            </w:pPr>
            <w:r>
              <w:rPr>
                <w:rFonts w:cs="Arial"/>
                <w:sz w:val="18"/>
                <w:szCs w:val="18"/>
                <w:lang w:val="cs-CZ" w:eastAsia="cs-CZ"/>
              </w:rPr>
              <w:t>31.12.2016</w:t>
            </w:r>
          </w:p>
        </w:tc>
        <w:tc>
          <w:tcPr>
            <w:tcW w:w="815" w:type="pct"/>
          </w:tcPr>
          <w:p w:rsidR="00D00116" w:rsidRDefault="00D00116" w:rsidP="005A64E1">
            <w:pPr>
              <w:pStyle w:val="DAVA"/>
              <w:spacing w:before="80" w:after="80"/>
              <w:rPr>
                <w:rFonts w:cs="Arial"/>
                <w:sz w:val="18"/>
                <w:szCs w:val="18"/>
                <w:lang w:val="cs-CZ"/>
              </w:rPr>
            </w:pPr>
            <w:r>
              <w:rPr>
                <w:rFonts w:cs="Arial"/>
                <w:sz w:val="18"/>
                <w:szCs w:val="18"/>
                <w:lang w:val="cs-CZ"/>
              </w:rPr>
              <w:t>MMR</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8"/>
        </w:trPr>
        <w:tc>
          <w:tcPr>
            <w:tcW w:w="840" w:type="pct"/>
            <w:vMerge/>
          </w:tcPr>
          <w:p w:rsidR="00D00116" w:rsidRPr="00464549" w:rsidRDefault="00D00116" w:rsidP="00C36EE6">
            <w:pPr>
              <w:pStyle w:val="DAVA"/>
              <w:spacing w:before="80" w:after="80"/>
              <w:rPr>
                <w:rFonts w:cs="Arial"/>
                <w:b/>
                <w:sz w:val="18"/>
                <w:szCs w:val="18"/>
                <w:highlight w:val="yellow"/>
                <w:lang w:val="cs-CZ" w:eastAsia="cs-CZ"/>
              </w:rPr>
            </w:pPr>
          </w:p>
        </w:tc>
        <w:tc>
          <w:tcPr>
            <w:tcW w:w="1012" w:type="pct"/>
          </w:tcPr>
          <w:p w:rsidR="00D00116" w:rsidRPr="00A74059" w:rsidRDefault="00D00116" w:rsidP="00EF7E99">
            <w:pPr>
              <w:pStyle w:val="DAVA"/>
              <w:spacing w:before="80" w:after="80"/>
              <w:rPr>
                <w:rFonts w:cs="Arial"/>
                <w:sz w:val="18"/>
                <w:szCs w:val="18"/>
                <w:lang w:val="cs-CZ" w:eastAsia="cs-CZ"/>
              </w:rPr>
            </w:pPr>
            <w:r w:rsidRPr="00A74059">
              <w:rPr>
                <w:rFonts w:cs="Arial"/>
                <w:sz w:val="18"/>
                <w:szCs w:val="18"/>
                <w:lang w:val="cs-CZ" w:eastAsia="cs-CZ"/>
              </w:rPr>
              <w:t>Opatření pro odbornou přípravu a šíření informací pro zaměstnance podílející se na provádění fondů ESI</w:t>
            </w:r>
          </w:p>
        </w:tc>
        <w:tc>
          <w:tcPr>
            <w:tcW w:w="1344" w:type="pct"/>
          </w:tcPr>
          <w:p w:rsidR="00D00116" w:rsidRDefault="00D00116" w:rsidP="00641CF6">
            <w:pPr>
              <w:pStyle w:val="DAVA"/>
              <w:spacing w:before="80" w:after="80"/>
              <w:rPr>
                <w:rFonts w:cs="Arial"/>
                <w:sz w:val="18"/>
                <w:szCs w:val="18"/>
                <w:lang w:val="cs-CZ" w:eastAsia="cs-CZ"/>
              </w:rPr>
            </w:pPr>
            <w:r>
              <w:rPr>
                <w:rFonts w:cs="Arial"/>
                <w:sz w:val="18"/>
                <w:szCs w:val="18"/>
                <w:lang w:val="cs-CZ" w:eastAsia="cs-CZ"/>
              </w:rPr>
              <w:t>Podání žádosti k projektu Akademie veřejného investování:</w:t>
            </w:r>
          </w:p>
          <w:p w:rsidR="00D00116" w:rsidRPr="0016109B" w:rsidRDefault="00D00116" w:rsidP="005A64E1">
            <w:pPr>
              <w:pStyle w:val="DAVA"/>
              <w:spacing w:before="80" w:after="80"/>
              <w:rPr>
                <w:rFonts w:cs="Arial"/>
                <w:sz w:val="18"/>
                <w:szCs w:val="18"/>
                <w:lang w:val="cs-CZ" w:eastAsia="cs-CZ"/>
              </w:rPr>
            </w:pPr>
            <w:r>
              <w:rPr>
                <w:rFonts w:cs="Arial"/>
                <w:sz w:val="18"/>
                <w:szCs w:val="18"/>
                <w:lang w:val="cs-CZ" w:eastAsia="cs-CZ"/>
              </w:rPr>
              <w:t xml:space="preserve">(náplní projektu bude zejména následující: spolupráce s ŘO, žadateli a příjemci při přípravě a realizaci projektů z ESIF, sdílení </w:t>
            </w:r>
            <w:proofErr w:type="spellStart"/>
            <w:r>
              <w:rPr>
                <w:rFonts w:cs="Arial"/>
                <w:sz w:val="18"/>
                <w:szCs w:val="18"/>
                <w:lang w:val="cs-CZ" w:eastAsia="cs-CZ"/>
              </w:rPr>
              <w:t>best</w:t>
            </w:r>
            <w:proofErr w:type="spellEnd"/>
            <w:r>
              <w:rPr>
                <w:rFonts w:cs="Arial"/>
                <w:sz w:val="18"/>
                <w:szCs w:val="18"/>
                <w:lang w:val="cs-CZ" w:eastAsia="cs-CZ"/>
              </w:rPr>
              <w:t xml:space="preserve"> </w:t>
            </w:r>
            <w:proofErr w:type="spellStart"/>
            <w:r>
              <w:rPr>
                <w:rFonts w:cs="Arial"/>
                <w:sz w:val="18"/>
                <w:szCs w:val="18"/>
                <w:lang w:val="cs-CZ" w:eastAsia="cs-CZ"/>
              </w:rPr>
              <w:t>practice</w:t>
            </w:r>
            <w:proofErr w:type="spellEnd"/>
            <w:r>
              <w:rPr>
                <w:rFonts w:cs="Arial"/>
                <w:sz w:val="18"/>
                <w:szCs w:val="18"/>
                <w:lang w:val="cs-CZ" w:eastAsia="cs-CZ"/>
              </w:rPr>
              <w:t>, š</w:t>
            </w:r>
            <w:r w:rsidRPr="001B2A23">
              <w:rPr>
                <w:rFonts w:cs="Arial"/>
                <w:sz w:val="18"/>
                <w:szCs w:val="18"/>
                <w:lang w:val="cs-CZ" w:eastAsia="cs-CZ"/>
              </w:rPr>
              <w:t>kolení realizačního týmu a týmu odborníků</w:t>
            </w:r>
            <w:r>
              <w:rPr>
                <w:rFonts w:cs="Arial"/>
                <w:sz w:val="18"/>
                <w:szCs w:val="18"/>
                <w:lang w:val="cs-CZ" w:eastAsia="cs-CZ"/>
              </w:rPr>
              <w:t>, š</w:t>
            </w:r>
            <w:r w:rsidRPr="001B2A23">
              <w:rPr>
                <w:rFonts w:cs="Arial"/>
                <w:sz w:val="18"/>
                <w:szCs w:val="18"/>
                <w:lang w:val="cs-CZ" w:eastAsia="cs-CZ"/>
              </w:rPr>
              <w:t>kolení žadatelů a příjemců</w:t>
            </w:r>
            <w:r>
              <w:rPr>
                <w:rFonts w:cs="Arial"/>
                <w:sz w:val="18"/>
                <w:szCs w:val="18"/>
                <w:lang w:val="cs-CZ" w:eastAsia="cs-CZ"/>
              </w:rPr>
              <w:t xml:space="preserve">, odborné </w:t>
            </w:r>
            <w:r>
              <w:rPr>
                <w:rFonts w:cs="Arial"/>
                <w:sz w:val="18"/>
                <w:szCs w:val="18"/>
                <w:lang w:val="cs-CZ" w:eastAsia="cs-CZ"/>
              </w:rPr>
              <w:lastRenderedPageBreak/>
              <w:t>k</w:t>
            </w:r>
            <w:r w:rsidRPr="001B2A23">
              <w:rPr>
                <w:rFonts w:cs="Arial"/>
                <w:sz w:val="18"/>
                <w:szCs w:val="18"/>
                <w:lang w:val="cs-CZ" w:eastAsia="cs-CZ"/>
              </w:rPr>
              <w:t>onference a pracovní setkání</w:t>
            </w:r>
            <w:r>
              <w:rPr>
                <w:rFonts w:cs="Arial"/>
                <w:sz w:val="18"/>
                <w:szCs w:val="18"/>
                <w:lang w:val="cs-CZ" w:eastAsia="cs-CZ"/>
              </w:rPr>
              <w:t>)</w:t>
            </w:r>
          </w:p>
        </w:tc>
        <w:tc>
          <w:tcPr>
            <w:tcW w:w="989" w:type="pct"/>
          </w:tcPr>
          <w:p w:rsidR="00D00116" w:rsidRDefault="00D00116" w:rsidP="005A64E1">
            <w:pPr>
              <w:pStyle w:val="DAVA"/>
              <w:spacing w:before="80" w:after="80"/>
              <w:rPr>
                <w:rFonts w:cs="Arial"/>
                <w:sz w:val="18"/>
                <w:szCs w:val="18"/>
                <w:lang w:val="cs-CZ" w:eastAsia="cs-CZ"/>
              </w:rPr>
            </w:pPr>
            <w:r>
              <w:rPr>
                <w:rFonts w:cs="Arial"/>
                <w:sz w:val="18"/>
                <w:szCs w:val="18"/>
                <w:lang w:val="cs-CZ" w:eastAsia="cs-CZ"/>
              </w:rPr>
              <w:lastRenderedPageBreak/>
              <w:t>31. 7. 2016</w:t>
            </w:r>
          </w:p>
        </w:tc>
        <w:tc>
          <w:tcPr>
            <w:tcW w:w="815" w:type="pct"/>
          </w:tcPr>
          <w:p w:rsidR="00D00116" w:rsidRDefault="00D00116" w:rsidP="005A64E1">
            <w:pPr>
              <w:pStyle w:val="DAVA"/>
              <w:spacing w:before="80" w:after="80"/>
              <w:rPr>
                <w:rFonts w:cs="Arial"/>
                <w:sz w:val="18"/>
                <w:szCs w:val="18"/>
                <w:lang w:val="cs-CZ"/>
              </w:rPr>
            </w:pPr>
            <w:r>
              <w:rPr>
                <w:rFonts w:cs="Arial"/>
                <w:sz w:val="18"/>
                <w:szCs w:val="18"/>
                <w:lang w:val="cs-CZ"/>
              </w:rPr>
              <w:t>MMR</w:t>
            </w:r>
          </w:p>
        </w:tc>
      </w:tr>
      <w:tr w:rsidR="00250501" w:rsidRPr="00A76D60" w:rsidTr="002505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42"/>
        </w:trPr>
        <w:tc>
          <w:tcPr>
            <w:tcW w:w="840" w:type="pct"/>
            <w:vMerge w:val="restart"/>
          </w:tcPr>
          <w:p w:rsidR="00250501" w:rsidRPr="00A76D60" w:rsidRDefault="00250501" w:rsidP="00C36EE6">
            <w:pPr>
              <w:pStyle w:val="DAVA"/>
              <w:spacing w:before="80" w:after="80"/>
              <w:rPr>
                <w:rFonts w:cs="Arial"/>
                <w:b/>
                <w:sz w:val="18"/>
                <w:szCs w:val="18"/>
                <w:lang w:val="cs-CZ" w:eastAsia="cs-CZ"/>
              </w:rPr>
            </w:pPr>
            <w:r w:rsidRPr="00A76D60">
              <w:rPr>
                <w:rFonts w:cs="Arial"/>
                <w:b/>
                <w:sz w:val="18"/>
                <w:szCs w:val="18"/>
                <w:lang w:val="cs-CZ" w:eastAsia="cs-CZ"/>
              </w:rPr>
              <w:lastRenderedPageBreak/>
              <w:t>5 Existence opatření pro účinné uplatňování právních předpisů Unie pro veřejnou podporu v oblasti fondů ESI</w:t>
            </w:r>
          </w:p>
        </w:tc>
        <w:tc>
          <w:tcPr>
            <w:tcW w:w="1012" w:type="pct"/>
            <w:vMerge w:val="restart"/>
          </w:tcPr>
          <w:p w:rsidR="00250501" w:rsidRPr="00A76D60" w:rsidRDefault="00250501" w:rsidP="00C36EE6">
            <w:pPr>
              <w:pStyle w:val="DAVA"/>
              <w:spacing w:before="80" w:after="80"/>
              <w:rPr>
                <w:rFonts w:cs="Arial"/>
                <w:sz w:val="18"/>
                <w:szCs w:val="18"/>
                <w:lang w:val="cs-CZ" w:eastAsia="cs-CZ"/>
              </w:rPr>
            </w:pPr>
            <w:r w:rsidRPr="00A76D60">
              <w:rPr>
                <w:rFonts w:cs="Arial"/>
                <w:sz w:val="18"/>
                <w:szCs w:val="18"/>
                <w:lang w:val="cs-CZ" w:eastAsia="cs-CZ"/>
              </w:rPr>
              <w:t>Opatření pro účinné uplatňování pravidel Unie pro veřejnou podporu</w:t>
            </w:r>
          </w:p>
        </w:tc>
        <w:tc>
          <w:tcPr>
            <w:tcW w:w="1344" w:type="pct"/>
          </w:tcPr>
          <w:p w:rsidR="00250501" w:rsidRPr="00A76D60" w:rsidRDefault="00250501" w:rsidP="00200A96">
            <w:pPr>
              <w:pStyle w:val="DAVA"/>
              <w:rPr>
                <w:rFonts w:cs="Arial"/>
                <w:sz w:val="18"/>
                <w:szCs w:val="18"/>
                <w:lang w:val="cs-CZ" w:eastAsia="cs-CZ"/>
              </w:rPr>
            </w:pPr>
            <w:r w:rsidRPr="006B0100">
              <w:rPr>
                <w:rFonts w:cs="Arial"/>
                <w:sz w:val="18"/>
                <w:szCs w:val="18"/>
              </w:rPr>
              <w:t>Zpracování metodického doporučení pro oblast veřejné podpory</w:t>
            </w:r>
            <w:bookmarkStart w:id="8" w:name="_GoBack"/>
            <w:bookmarkEnd w:id="8"/>
          </w:p>
        </w:tc>
        <w:tc>
          <w:tcPr>
            <w:tcW w:w="989" w:type="pct"/>
          </w:tcPr>
          <w:p w:rsidR="00250501" w:rsidRPr="00A76D60" w:rsidRDefault="00250501" w:rsidP="00EF7E99">
            <w:pPr>
              <w:pStyle w:val="DAVA"/>
              <w:spacing w:before="80" w:after="80"/>
              <w:rPr>
                <w:rFonts w:cs="Arial"/>
                <w:sz w:val="18"/>
                <w:szCs w:val="18"/>
                <w:lang w:val="cs-CZ" w:eastAsia="cs-CZ"/>
              </w:rPr>
            </w:pPr>
            <w:r>
              <w:rPr>
                <w:rFonts w:cs="Arial"/>
                <w:sz w:val="18"/>
                <w:szCs w:val="18"/>
                <w:lang w:val="cs-CZ" w:eastAsia="cs-CZ"/>
              </w:rPr>
              <w:t>Finální verze 15.4.2015</w:t>
            </w:r>
          </w:p>
        </w:tc>
        <w:tc>
          <w:tcPr>
            <w:tcW w:w="815" w:type="pct"/>
          </w:tcPr>
          <w:p w:rsidR="00250501" w:rsidRPr="00A76D60" w:rsidRDefault="00250501" w:rsidP="00EF7E99">
            <w:pPr>
              <w:pStyle w:val="DAVA"/>
              <w:spacing w:before="80" w:after="80"/>
              <w:rPr>
                <w:rFonts w:cs="Arial"/>
                <w:sz w:val="18"/>
                <w:szCs w:val="18"/>
                <w:lang w:val="cs-CZ" w:eastAsia="cs-CZ"/>
              </w:rPr>
            </w:pPr>
            <w:r w:rsidRPr="00A76D60">
              <w:rPr>
                <w:rFonts w:cs="Arial"/>
                <w:sz w:val="18"/>
                <w:szCs w:val="18"/>
                <w:lang w:val="cs-CZ" w:eastAsia="cs-CZ"/>
              </w:rPr>
              <w:t>MMR</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38"/>
        </w:trPr>
        <w:tc>
          <w:tcPr>
            <w:tcW w:w="840" w:type="pct"/>
            <w:vMerge/>
          </w:tcPr>
          <w:p w:rsidR="00D00116" w:rsidRPr="00A76D60" w:rsidRDefault="00D00116" w:rsidP="00C36EE6">
            <w:pPr>
              <w:pStyle w:val="DAVA"/>
              <w:spacing w:before="80" w:after="80"/>
              <w:rPr>
                <w:rFonts w:cs="Arial"/>
                <w:sz w:val="18"/>
                <w:szCs w:val="18"/>
                <w:lang w:val="cs-CZ" w:eastAsia="cs-CZ"/>
              </w:rPr>
            </w:pPr>
          </w:p>
        </w:tc>
        <w:tc>
          <w:tcPr>
            <w:tcW w:w="1012" w:type="pct"/>
            <w:vMerge/>
          </w:tcPr>
          <w:p w:rsidR="00D00116" w:rsidRPr="00A76D60" w:rsidRDefault="00D00116" w:rsidP="00C36EE6">
            <w:pPr>
              <w:pStyle w:val="DAVA"/>
              <w:spacing w:before="80" w:after="80"/>
              <w:rPr>
                <w:rFonts w:cs="Arial"/>
                <w:sz w:val="18"/>
                <w:szCs w:val="18"/>
                <w:lang w:val="cs-CZ" w:eastAsia="cs-CZ"/>
              </w:rPr>
            </w:pPr>
          </w:p>
        </w:tc>
        <w:tc>
          <w:tcPr>
            <w:tcW w:w="1344" w:type="pct"/>
            <w:tcBorders>
              <w:bottom w:val="dotted" w:sz="4" w:space="0" w:color="auto"/>
            </w:tcBorders>
          </w:tcPr>
          <w:p w:rsidR="00D00116" w:rsidRPr="0075578B" w:rsidRDefault="00D00116" w:rsidP="004F26C6">
            <w:pPr>
              <w:pStyle w:val="Tabulka"/>
              <w:widowControl w:val="0"/>
              <w:rPr>
                <w:rFonts w:ascii="Arial" w:hAnsi="Arial" w:cs="Arial"/>
                <w:b w:val="0"/>
                <w:color w:val="auto"/>
              </w:rPr>
            </w:pPr>
            <w:r w:rsidRPr="0075578B">
              <w:rPr>
                <w:rFonts w:ascii="Arial" w:hAnsi="Arial" w:cs="Arial"/>
                <w:b w:val="0"/>
                <w:color w:val="auto"/>
              </w:rPr>
              <w:t xml:space="preserve">Zajistit zapracování oblasti VP (v souladu s připravovanou metodikou) do dokumentace k programům, tj. podrobný popis činností, kterými bude zajištěno dodržování pravidel kumulace, principu </w:t>
            </w:r>
            <w:proofErr w:type="spellStart"/>
            <w:r w:rsidRPr="0075578B">
              <w:rPr>
                <w:rFonts w:ascii="Arial" w:hAnsi="Arial" w:cs="Arial"/>
                <w:b w:val="0"/>
                <w:color w:val="auto"/>
              </w:rPr>
              <w:t>Deggendorf</w:t>
            </w:r>
            <w:proofErr w:type="spellEnd"/>
            <w:r w:rsidRPr="0075578B">
              <w:rPr>
                <w:rFonts w:ascii="Arial" w:hAnsi="Arial" w:cs="Arial"/>
                <w:b w:val="0"/>
                <w:color w:val="auto"/>
              </w:rPr>
              <w:t>, kontrola a případné vymáhání neoprávněné podpory, spolupráce s centrálními koordinačními orgány při hlášení a oznamování podpor apod. Manuál interních postupů bude vydán k </w:t>
            </w:r>
            <w:r>
              <w:rPr>
                <w:rFonts w:ascii="Arial" w:hAnsi="Arial" w:cs="Arial"/>
                <w:b w:val="0"/>
                <w:color w:val="auto"/>
              </w:rPr>
              <w:t>30.6.2015</w:t>
            </w:r>
          </w:p>
        </w:tc>
        <w:tc>
          <w:tcPr>
            <w:tcW w:w="989" w:type="pct"/>
            <w:tcBorders>
              <w:bottom w:val="dotted" w:sz="4" w:space="0" w:color="auto"/>
            </w:tcBorders>
          </w:tcPr>
          <w:p w:rsidR="00D00116" w:rsidRPr="0075578B" w:rsidRDefault="00D00116" w:rsidP="00825D2B">
            <w:pPr>
              <w:pStyle w:val="Tabulka"/>
              <w:widowControl w:val="0"/>
              <w:rPr>
                <w:rFonts w:ascii="Arial" w:hAnsi="Arial" w:cs="Arial"/>
                <w:b w:val="0"/>
                <w:color w:val="auto"/>
              </w:rPr>
            </w:pPr>
            <w:r>
              <w:rPr>
                <w:rFonts w:ascii="Arial" w:hAnsi="Arial" w:cs="Arial"/>
                <w:b w:val="0"/>
                <w:color w:val="auto"/>
              </w:rPr>
              <w:t>30</w:t>
            </w:r>
            <w:r w:rsidR="00E94138">
              <w:rPr>
                <w:rFonts w:ascii="Arial" w:hAnsi="Arial" w:cs="Arial"/>
                <w:b w:val="0"/>
                <w:color w:val="auto"/>
              </w:rPr>
              <w:t xml:space="preserve"> </w:t>
            </w:r>
            <w:r>
              <w:rPr>
                <w:rFonts w:ascii="Arial" w:hAnsi="Arial" w:cs="Arial"/>
                <w:b w:val="0"/>
                <w:color w:val="auto"/>
              </w:rPr>
              <w:t>.6.</w:t>
            </w:r>
            <w:r w:rsidR="00E94138">
              <w:rPr>
                <w:rFonts w:ascii="Arial" w:hAnsi="Arial" w:cs="Arial"/>
                <w:b w:val="0"/>
                <w:color w:val="auto"/>
              </w:rPr>
              <w:t xml:space="preserve"> </w:t>
            </w:r>
            <w:r>
              <w:rPr>
                <w:rFonts w:ascii="Arial" w:hAnsi="Arial" w:cs="Arial"/>
                <w:b w:val="0"/>
                <w:color w:val="auto"/>
              </w:rPr>
              <w:t>2015</w:t>
            </w:r>
          </w:p>
        </w:tc>
        <w:tc>
          <w:tcPr>
            <w:tcW w:w="815" w:type="pct"/>
            <w:tcBorders>
              <w:bottom w:val="dotted" w:sz="4" w:space="0" w:color="auto"/>
            </w:tcBorders>
          </w:tcPr>
          <w:p w:rsidR="00D00116" w:rsidRPr="0075578B" w:rsidRDefault="00D00116" w:rsidP="00825D2B">
            <w:pPr>
              <w:pStyle w:val="Tabulka"/>
              <w:widowControl w:val="0"/>
              <w:rPr>
                <w:rFonts w:ascii="Arial" w:hAnsi="Arial" w:cs="Arial"/>
                <w:b w:val="0"/>
                <w:color w:val="auto"/>
              </w:rPr>
            </w:pPr>
            <w:r w:rsidRPr="0075578B">
              <w:rPr>
                <w:rFonts w:ascii="Arial" w:hAnsi="Arial" w:cs="Arial"/>
                <w:b w:val="0"/>
                <w:color w:val="auto"/>
              </w:rPr>
              <w:t>ŘO</w:t>
            </w:r>
          </w:p>
        </w:tc>
      </w:tr>
      <w:tr w:rsidR="00E94138" w:rsidRPr="00A76D60" w:rsidTr="00F8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286"/>
        </w:trPr>
        <w:tc>
          <w:tcPr>
            <w:tcW w:w="840" w:type="pct"/>
            <w:vMerge/>
          </w:tcPr>
          <w:p w:rsidR="00E94138" w:rsidRPr="00A76D60" w:rsidRDefault="00E94138" w:rsidP="00C36EE6">
            <w:pPr>
              <w:pStyle w:val="DAVA"/>
              <w:spacing w:before="80" w:after="80"/>
              <w:rPr>
                <w:rFonts w:cs="Arial"/>
                <w:sz w:val="18"/>
                <w:szCs w:val="18"/>
                <w:lang w:val="cs-CZ" w:eastAsia="cs-CZ"/>
              </w:rPr>
            </w:pPr>
          </w:p>
        </w:tc>
        <w:tc>
          <w:tcPr>
            <w:tcW w:w="1012" w:type="pct"/>
            <w:vMerge/>
          </w:tcPr>
          <w:p w:rsidR="00E94138" w:rsidRPr="00A76D60" w:rsidRDefault="00E94138" w:rsidP="00C36EE6">
            <w:pPr>
              <w:pStyle w:val="DAVA"/>
              <w:spacing w:before="80" w:after="80"/>
              <w:rPr>
                <w:rFonts w:cs="Arial"/>
                <w:sz w:val="18"/>
                <w:szCs w:val="18"/>
                <w:lang w:val="cs-CZ" w:eastAsia="cs-CZ"/>
              </w:rPr>
            </w:pPr>
          </w:p>
        </w:tc>
        <w:tc>
          <w:tcPr>
            <w:tcW w:w="1344" w:type="pct"/>
          </w:tcPr>
          <w:p w:rsidR="00E94138" w:rsidRPr="0075578B" w:rsidRDefault="00E94138" w:rsidP="00825D2B">
            <w:pPr>
              <w:pStyle w:val="Tabulka"/>
              <w:widowControl w:val="0"/>
              <w:rPr>
                <w:rFonts w:ascii="Arial" w:hAnsi="Arial" w:cs="Arial"/>
                <w:b w:val="0"/>
                <w:color w:val="auto"/>
              </w:rPr>
            </w:pPr>
            <w:r w:rsidRPr="0075578B">
              <w:rPr>
                <w:rFonts w:ascii="Arial" w:hAnsi="Arial" w:cs="Arial"/>
                <w:b w:val="0"/>
                <w:color w:val="auto"/>
              </w:rPr>
              <w:t>Zajistit soulad programu s pravidly VP. Do každé výzvy zapracovat pravidla VP. Průběžně analyzovat soulad s pravidly VP při tvorbě programů. Pravidla postupně zapracovat do dokumentace k výzvám vždy před jejich vyhlášením v souladu s postupy a lhůtami dle interního manuálu. Plnit průběžně dle harmonogramu výzev, první výzvy do 30. 6. 2015, další průběžně</w:t>
            </w:r>
          </w:p>
        </w:tc>
        <w:tc>
          <w:tcPr>
            <w:tcW w:w="989" w:type="pct"/>
          </w:tcPr>
          <w:p w:rsidR="00E94138" w:rsidRPr="0075578B" w:rsidRDefault="00E94138" w:rsidP="00E94138">
            <w:pPr>
              <w:pStyle w:val="Tabulka"/>
              <w:widowControl w:val="0"/>
              <w:rPr>
                <w:rFonts w:ascii="Arial" w:hAnsi="Arial" w:cs="Arial"/>
                <w:b w:val="0"/>
                <w:color w:val="auto"/>
              </w:rPr>
            </w:pPr>
            <w:r w:rsidRPr="0075578B">
              <w:rPr>
                <w:rFonts w:ascii="Arial" w:hAnsi="Arial" w:cs="Arial"/>
                <w:b w:val="0"/>
                <w:color w:val="auto"/>
              </w:rPr>
              <w:t>30</w:t>
            </w:r>
            <w:r>
              <w:rPr>
                <w:rFonts w:ascii="Arial" w:hAnsi="Arial" w:cs="Arial"/>
                <w:b w:val="0"/>
                <w:color w:val="auto"/>
              </w:rPr>
              <w:t xml:space="preserve"> </w:t>
            </w:r>
            <w:r w:rsidRPr="0075578B">
              <w:rPr>
                <w:rFonts w:ascii="Arial" w:hAnsi="Arial" w:cs="Arial"/>
                <w:b w:val="0"/>
                <w:color w:val="auto"/>
              </w:rPr>
              <w:t>6.</w:t>
            </w:r>
            <w:r>
              <w:rPr>
                <w:rFonts w:ascii="Arial" w:hAnsi="Arial" w:cs="Arial"/>
                <w:b w:val="0"/>
                <w:color w:val="auto"/>
              </w:rPr>
              <w:t xml:space="preserve"> </w:t>
            </w:r>
            <w:r w:rsidRPr="0075578B">
              <w:rPr>
                <w:rFonts w:ascii="Arial" w:hAnsi="Arial" w:cs="Arial"/>
                <w:b w:val="0"/>
                <w:color w:val="auto"/>
              </w:rPr>
              <w:t>201</w:t>
            </w:r>
            <w:r>
              <w:rPr>
                <w:rFonts w:ascii="Arial" w:hAnsi="Arial" w:cs="Arial"/>
                <w:b w:val="0"/>
                <w:color w:val="auto"/>
              </w:rPr>
              <w:t>6</w:t>
            </w:r>
          </w:p>
        </w:tc>
        <w:tc>
          <w:tcPr>
            <w:tcW w:w="815" w:type="pct"/>
          </w:tcPr>
          <w:p w:rsidR="00E94138" w:rsidRPr="0075578B" w:rsidRDefault="00E94138" w:rsidP="0075578B">
            <w:pPr>
              <w:pStyle w:val="Tabulka"/>
              <w:widowControl w:val="0"/>
              <w:rPr>
                <w:rFonts w:ascii="Arial" w:hAnsi="Arial" w:cs="Arial"/>
                <w:b w:val="0"/>
                <w:color w:val="auto"/>
              </w:rPr>
            </w:pPr>
            <w:r w:rsidRPr="0075578B">
              <w:rPr>
                <w:rFonts w:ascii="Arial" w:hAnsi="Arial" w:cs="Arial"/>
                <w:b w:val="0"/>
                <w:color w:val="auto"/>
              </w:rPr>
              <w:t>ŘO</w:t>
            </w:r>
            <w:r>
              <w:rPr>
                <w:rFonts w:ascii="Arial" w:hAnsi="Arial" w:cs="Arial"/>
                <w:b w:val="0"/>
                <w:color w:val="auto"/>
              </w:rPr>
              <w:t xml:space="preserve"> </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38"/>
        </w:trPr>
        <w:tc>
          <w:tcPr>
            <w:tcW w:w="840" w:type="pct"/>
            <w:vMerge/>
          </w:tcPr>
          <w:p w:rsidR="00D00116" w:rsidRPr="00A76D60" w:rsidRDefault="00D00116" w:rsidP="00C36EE6">
            <w:pPr>
              <w:pStyle w:val="DAVA"/>
              <w:spacing w:before="80" w:after="80"/>
              <w:rPr>
                <w:rFonts w:cs="Arial"/>
                <w:sz w:val="18"/>
                <w:szCs w:val="18"/>
                <w:lang w:val="cs-CZ" w:eastAsia="cs-CZ"/>
              </w:rPr>
            </w:pPr>
          </w:p>
        </w:tc>
        <w:tc>
          <w:tcPr>
            <w:tcW w:w="1012" w:type="pct"/>
            <w:vMerge/>
          </w:tcPr>
          <w:p w:rsidR="00D00116" w:rsidRPr="00A76D60" w:rsidRDefault="00D00116" w:rsidP="00C36EE6">
            <w:pPr>
              <w:pStyle w:val="DAVA"/>
              <w:spacing w:before="80" w:after="80"/>
              <w:rPr>
                <w:rFonts w:cs="Arial"/>
                <w:sz w:val="18"/>
                <w:szCs w:val="18"/>
                <w:lang w:val="cs-CZ" w:eastAsia="cs-CZ"/>
              </w:rPr>
            </w:pPr>
          </w:p>
        </w:tc>
        <w:tc>
          <w:tcPr>
            <w:tcW w:w="1344" w:type="pct"/>
            <w:tcBorders>
              <w:bottom w:val="dotted" w:sz="4" w:space="0" w:color="auto"/>
            </w:tcBorders>
          </w:tcPr>
          <w:p w:rsidR="00D00116" w:rsidRPr="0075578B" w:rsidRDefault="00D00116" w:rsidP="004F26C6">
            <w:pPr>
              <w:pStyle w:val="Tabulka"/>
              <w:widowControl w:val="0"/>
              <w:rPr>
                <w:rFonts w:ascii="Arial" w:hAnsi="Arial" w:cs="Arial"/>
                <w:b w:val="0"/>
                <w:color w:val="auto"/>
              </w:rPr>
            </w:pPr>
            <w:r w:rsidRPr="0075578B">
              <w:rPr>
                <w:rFonts w:ascii="Arial" w:hAnsi="Arial" w:cs="Arial"/>
                <w:b w:val="0"/>
                <w:color w:val="auto"/>
              </w:rPr>
              <w:t>Zajistit soulad jednotlivých výzev s pravidly pro VP. První výzvy do 30. 6. 2015</w:t>
            </w:r>
            <w:r>
              <w:rPr>
                <w:rFonts w:ascii="Arial" w:hAnsi="Arial" w:cs="Arial"/>
                <w:b w:val="0"/>
                <w:color w:val="auto"/>
              </w:rPr>
              <w:t>,</w:t>
            </w:r>
            <w:r w:rsidRPr="004F26C6">
              <w:rPr>
                <w:rFonts w:ascii="Arial" w:hAnsi="Arial" w:cs="Arial"/>
              </w:rPr>
              <w:t xml:space="preserve"> </w:t>
            </w:r>
            <w:r w:rsidRPr="00EA5620">
              <w:rPr>
                <w:rFonts w:ascii="Arial" w:hAnsi="Arial" w:cs="Arial"/>
                <w:b w:val="0"/>
                <w:color w:val="auto"/>
              </w:rPr>
              <w:t>další průběžně dle harmonogramu</w:t>
            </w:r>
          </w:p>
        </w:tc>
        <w:tc>
          <w:tcPr>
            <w:tcW w:w="989" w:type="pct"/>
            <w:tcBorders>
              <w:bottom w:val="dotted" w:sz="4" w:space="0" w:color="auto"/>
            </w:tcBorders>
          </w:tcPr>
          <w:p w:rsidR="00D00116" w:rsidRPr="0075578B" w:rsidRDefault="00D00116" w:rsidP="004F26C6">
            <w:pPr>
              <w:pStyle w:val="Tabulka"/>
              <w:widowControl w:val="0"/>
              <w:rPr>
                <w:rFonts w:ascii="Arial" w:hAnsi="Arial" w:cs="Arial"/>
                <w:b w:val="0"/>
                <w:color w:val="auto"/>
              </w:rPr>
            </w:pPr>
            <w:r w:rsidRPr="0075578B">
              <w:rPr>
                <w:rFonts w:ascii="Arial" w:hAnsi="Arial" w:cs="Arial"/>
                <w:b w:val="0"/>
                <w:color w:val="auto"/>
              </w:rPr>
              <w:t>30.6.201</w:t>
            </w:r>
            <w:r>
              <w:rPr>
                <w:rFonts w:ascii="Arial" w:hAnsi="Arial" w:cs="Arial"/>
                <w:b w:val="0"/>
                <w:color w:val="auto"/>
              </w:rPr>
              <w:t>6</w:t>
            </w:r>
          </w:p>
        </w:tc>
        <w:tc>
          <w:tcPr>
            <w:tcW w:w="815" w:type="pct"/>
            <w:tcBorders>
              <w:bottom w:val="dotted" w:sz="4" w:space="0" w:color="auto"/>
            </w:tcBorders>
          </w:tcPr>
          <w:p w:rsidR="00D00116" w:rsidRPr="0075578B" w:rsidRDefault="00D00116" w:rsidP="0075578B">
            <w:pPr>
              <w:pStyle w:val="Tabulka"/>
              <w:widowControl w:val="0"/>
              <w:rPr>
                <w:rFonts w:ascii="Arial" w:hAnsi="Arial" w:cs="Arial"/>
                <w:b w:val="0"/>
                <w:color w:val="auto"/>
              </w:rPr>
            </w:pPr>
            <w:r w:rsidRPr="0075578B">
              <w:rPr>
                <w:rFonts w:ascii="Arial" w:hAnsi="Arial" w:cs="Arial"/>
                <w:b w:val="0"/>
                <w:color w:val="auto"/>
              </w:rPr>
              <w:t>ŘO</w:t>
            </w:r>
            <w:r>
              <w:rPr>
                <w:rFonts w:ascii="Arial" w:hAnsi="Arial" w:cs="Arial"/>
                <w:b w:val="0"/>
                <w:color w:val="auto"/>
              </w:rPr>
              <w:t xml:space="preserve"> </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38"/>
        </w:trPr>
        <w:tc>
          <w:tcPr>
            <w:tcW w:w="840" w:type="pct"/>
            <w:vMerge/>
          </w:tcPr>
          <w:p w:rsidR="00D00116" w:rsidRPr="00A76D60" w:rsidRDefault="00D00116" w:rsidP="00C36EE6">
            <w:pPr>
              <w:pStyle w:val="DAVA"/>
              <w:spacing w:before="80" w:after="80"/>
              <w:rPr>
                <w:rFonts w:cs="Arial"/>
                <w:sz w:val="18"/>
                <w:szCs w:val="18"/>
                <w:lang w:val="cs-CZ" w:eastAsia="cs-CZ"/>
              </w:rPr>
            </w:pPr>
          </w:p>
        </w:tc>
        <w:tc>
          <w:tcPr>
            <w:tcW w:w="1012" w:type="pct"/>
            <w:vMerge/>
          </w:tcPr>
          <w:p w:rsidR="00D00116" w:rsidRPr="00A76D60" w:rsidRDefault="00D00116" w:rsidP="00C36EE6">
            <w:pPr>
              <w:pStyle w:val="DAVA"/>
              <w:spacing w:before="80" w:after="80"/>
              <w:rPr>
                <w:rFonts w:cs="Arial"/>
                <w:sz w:val="18"/>
                <w:szCs w:val="18"/>
                <w:lang w:val="cs-CZ" w:eastAsia="cs-CZ"/>
              </w:rPr>
            </w:pPr>
          </w:p>
        </w:tc>
        <w:tc>
          <w:tcPr>
            <w:tcW w:w="1344" w:type="pct"/>
            <w:tcBorders>
              <w:bottom w:val="dotted" w:sz="4" w:space="0" w:color="auto"/>
            </w:tcBorders>
          </w:tcPr>
          <w:p w:rsidR="00D00116" w:rsidRPr="0075578B" w:rsidRDefault="00D00116" w:rsidP="00825D2B">
            <w:pPr>
              <w:pStyle w:val="Tabulka"/>
              <w:widowControl w:val="0"/>
              <w:rPr>
                <w:rFonts w:ascii="Arial" w:hAnsi="Arial" w:cs="Arial"/>
                <w:b w:val="0"/>
                <w:color w:val="auto"/>
              </w:rPr>
            </w:pPr>
            <w:r w:rsidRPr="0075578B">
              <w:rPr>
                <w:rFonts w:ascii="Arial" w:hAnsi="Arial" w:cs="Arial"/>
                <w:b w:val="0"/>
                <w:color w:val="auto"/>
              </w:rPr>
              <w:t>Zajistit průběžně následnou kontrolu souladu projektů s pravidly pro VP</w:t>
            </w:r>
          </w:p>
        </w:tc>
        <w:tc>
          <w:tcPr>
            <w:tcW w:w="989" w:type="pct"/>
            <w:tcBorders>
              <w:bottom w:val="dotted" w:sz="4" w:space="0" w:color="auto"/>
            </w:tcBorders>
          </w:tcPr>
          <w:p w:rsidR="00D00116" w:rsidRPr="0075578B" w:rsidRDefault="00D00116" w:rsidP="00825D2B">
            <w:pPr>
              <w:pStyle w:val="Tabulka"/>
              <w:widowControl w:val="0"/>
              <w:rPr>
                <w:rFonts w:ascii="Arial" w:hAnsi="Arial" w:cs="Arial"/>
                <w:b w:val="0"/>
                <w:color w:val="auto"/>
              </w:rPr>
            </w:pPr>
            <w:r w:rsidRPr="0075578B">
              <w:rPr>
                <w:rFonts w:ascii="Arial" w:hAnsi="Arial" w:cs="Arial"/>
                <w:b w:val="0"/>
                <w:color w:val="auto"/>
              </w:rPr>
              <w:t>31.12.2016</w:t>
            </w:r>
          </w:p>
        </w:tc>
        <w:tc>
          <w:tcPr>
            <w:tcW w:w="815" w:type="pct"/>
            <w:tcBorders>
              <w:bottom w:val="dotted" w:sz="4" w:space="0" w:color="auto"/>
            </w:tcBorders>
          </w:tcPr>
          <w:p w:rsidR="00D00116" w:rsidRPr="0075578B" w:rsidRDefault="00D00116" w:rsidP="0075578B">
            <w:pPr>
              <w:pStyle w:val="Tabulka"/>
              <w:widowControl w:val="0"/>
              <w:rPr>
                <w:rFonts w:ascii="Arial" w:hAnsi="Arial" w:cs="Arial"/>
                <w:b w:val="0"/>
                <w:color w:val="auto"/>
              </w:rPr>
            </w:pPr>
            <w:r w:rsidRPr="0075578B">
              <w:rPr>
                <w:rFonts w:ascii="Arial" w:hAnsi="Arial" w:cs="Arial"/>
                <w:b w:val="0"/>
                <w:color w:val="auto"/>
              </w:rPr>
              <w:t>ŘO</w:t>
            </w:r>
            <w:r>
              <w:rPr>
                <w:rFonts w:ascii="Arial" w:hAnsi="Arial" w:cs="Arial"/>
                <w:b w:val="0"/>
                <w:color w:val="auto"/>
              </w:rPr>
              <w:t xml:space="preserve"> </w:t>
            </w:r>
          </w:p>
        </w:tc>
      </w:tr>
      <w:tr w:rsidR="00E94138" w:rsidRPr="00A76D60" w:rsidTr="00F8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15"/>
        </w:trPr>
        <w:tc>
          <w:tcPr>
            <w:tcW w:w="840" w:type="pct"/>
            <w:vMerge/>
          </w:tcPr>
          <w:p w:rsidR="00E94138" w:rsidRPr="00A76D60" w:rsidRDefault="00E94138" w:rsidP="00C36EE6">
            <w:pPr>
              <w:pStyle w:val="DAVA"/>
              <w:spacing w:before="80" w:after="80"/>
              <w:rPr>
                <w:rFonts w:cs="Arial"/>
                <w:sz w:val="18"/>
                <w:szCs w:val="18"/>
                <w:lang w:val="cs-CZ" w:eastAsia="cs-CZ"/>
              </w:rPr>
            </w:pPr>
          </w:p>
        </w:tc>
        <w:tc>
          <w:tcPr>
            <w:tcW w:w="1012" w:type="pct"/>
            <w:vMerge w:val="restart"/>
          </w:tcPr>
          <w:p w:rsidR="00E94138" w:rsidRPr="00A76D60" w:rsidRDefault="00E94138" w:rsidP="00C36EE6">
            <w:pPr>
              <w:pStyle w:val="DAVA"/>
              <w:spacing w:before="80" w:after="80"/>
              <w:rPr>
                <w:rFonts w:cs="Arial"/>
                <w:sz w:val="18"/>
                <w:szCs w:val="18"/>
                <w:lang w:val="cs-CZ" w:eastAsia="cs-CZ"/>
              </w:rPr>
            </w:pPr>
            <w:r w:rsidRPr="00A76D60">
              <w:rPr>
                <w:rFonts w:cs="Arial"/>
                <w:color w:val="000000"/>
                <w:sz w:val="18"/>
                <w:szCs w:val="18"/>
                <w:lang w:val="cs-CZ" w:eastAsia="cs-CZ"/>
              </w:rPr>
              <w:t>Opatření pro posílení správní kapacity pro provádění a uplatňování právních předpisů Unie k veřejné podpoře.</w:t>
            </w:r>
          </w:p>
        </w:tc>
        <w:tc>
          <w:tcPr>
            <w:tcW w:w="1344" w:type="pct"/>
          </w:tcPr>
          <w:p w:rsidR="00E94138" w:rsidRPr="00A76D60" w:rsidRDefault="00E94138" w:rsidP="00C36EE6">
            <w:pPr>
              <w:pStyle w:val="DAVA"/>
              <w:spacing w:before="80" w:after="80"/>
              <w:rPr>
                <w:rFonts w:cs="Arial"/>
                <w:sz w:val="18"/>
                <w:szCs w:val="18"/>
                <w:lang w:val="cs-CZ"/>
              </w:rPr>
            </w:pPr>
            <w:r w:rsidRPr="00502254">
              <w:rPr>
                <w:rFonts w:cs="Arial"/>
                <w:sz w:val="18"/>
                <w:szCs w:val="18"/>
              </w:rPr>
              <w:t>Zhodnocení naplňování správní kapacity pro oblast veřejné podpory</w:t>
            </w:r>
            <w:r>
              <w:rPr>
                <w:rFonts w:cs="Arial"/>
                <w:sz w:val="18"/>
                <w:szCs w:val="18"/>
                <w:lang w:val="cs-CZ"/>
              </w:rPr>
              <w:t xml:space="preserve"> </w:t>
            </w:r>
            <w:r w:rsidRPr="00866430">
              <w:rPr>
                <w:rFonts w:cs="Arial"/>
                <w:sz w:val="18"/>
                <w:szCs w:val="18"/>
                <w:lang w:val="en-GB"/>
              </w:rPr>
              <w:t xml:space="preserve">a </w:t>
            </w:r>
            <w:r w:rsidRPr="00866430">
              <w:rPr>
                <w:rFonts w:cs="Arial"/>
                <w:sz w:val="18"/>
                <w:szCs w:val="18"/>
                <w:lang w:val="cs-CZ"/>
              </w:rPr>
              <w:t>případné doplnění této kapacity</w:t>
            </w:r>
          </w:p>
        </w:tc>
        <w:tc>
          <w:tcPr>
            <w:tcW w:w="989" w:type="pct"/>
          </w:tcPr>
          <w:p w:rsidR="00E94138" w:rsidRPr="00A76D60" w:rsidRDefault="00E94138" w:rsidP="00C36EE6">
            <w:pPr>
              <w:pStyle w:val="DAVA"/>
              <w:spacing w:before="80" w:after="80"/>
              <w:rPr>
                <w:rFonts w:cs="Arial"/>
                <w:sz w:val="18"/>
                <w:szCs w:val="18"/>
                <w:lang w:val="cs-CZ" w:eastAsia="cs-CZ"/>
              </w:rPr>
            </w:pPr>
            <w:r>
              <w:rPr>
                <w:rFonts w:cs="Arial"/>
                <w:sz w:val="18"/>
                <w:szCs w:val="18"/>
                <w:lang w:val="cs-CZ" w:eastAsia="cs-CZ"/>
              </w:rPr>
              <w:t>30. 6. 2016</w:t>
            </w:r>
          </w:p>
        </w:tc>
        <w:tc>
          <w:tcPr>
            <w:tcW w:w="815" w:type="pct"/>
          </w:tcPr>
          <w:p w:rsidR="00E94138" w:rsidRPr="00A76D60" w:rsidRDefault="00E94138" w:rsidP="00D00116">
            <w:pPr>
              <w:pStyle w:val="DAVA"/>
              <w:spacing w:before="80" w:after="80"/>
              <w:rPr>
                <w:rFonts w:cs="Arial"/>
                <w:sz w:val="18"/>
                <w:szCs w:val="18"/>
                <w:lang w:val="cs-CZ" w:eastAsia="cs-CZ"/>
              </w:rPr>
            </w:pPr>
            <w:r w:rsidRPr="00A76D60">
              <w:rPr>
                <w:rFonts w:cs="Arial"/>
                <w:sz w:val="18"/>
                <w:szCs w:val="18"/>
                <w:lang w:val="cs-CZ" w:eastAsia="cs-CZ"/>
              </w:rPr>
              <w:t>MMR</w:t>
            </w:r>
            <w:r>
              <w:rPr>
                <w:rFonts w:cs="Arial"/>
                <w:sz w:val="18"/>
                <w:szCs w:val="18"/>
                <w:lang w:val="cs-CZ" w:eastAsia="cs-CZ"/>
              </w:rPr>
              <w:t>, ŘO</w:t>
            </w:r>
            <w:r w:rsidRPr="00A76D60">
              <w:rPr>
                <w:rFonts w:cs="Arial"/>
                <w:sz w:val="18"/>
                <w:szCs w:val="18"/>
                <w:lang w:val="cs-CZ" w:eastAsia="cs-CZ"/>
              </w:rPr>
              <w:t xml:space="preserve"> </w:t>
            </w:r>
          </w:p>
        </w:tc>
      </w:tr>
      <w:tr w:rsidR="00D00116" w:rsidRPr="00A76D60" w:rsidTr="00D001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4"/>
        </w:trPr>
        <w:tc>
          <w:tcPr>
            <w:tcW w:w="840" w:type="pct"/>
            <w:vMerge/>
          </w:tcPr>
          <w:p w:rsidR="00D00116" w:rsidRPr="00A76D60" w:rsidRDefault="00D00116" w:rsidP="00C36EE6">
            <w:pPr>
              <w:pStyle w:val="DAVA"/>
              <w:spacing w:before="80" w:after="80"/>
              <w:rPr>
                <w:rFonts w:cs="Arial"/>
                <w:sz w:val="18"/>
                <w:szCs w:val="18"/>
                <w:lang w:val="cs-CZ" w:eastAsia="cs-CZ"/>
              </w:rPr>
            </w:pPr>
          </w:p>
        </w:tc>
        <w:tc>
          <w:tcPr>
            <w:tcW w:w="1012" w:type="pct"/>
            <w:vMerge/>
          </w:tcPr>
          <w:p w:rsidR="00D00116" w:rsidRPr="00A76D60" w:rsidRDefault="00D00116" w:rsidP="00C36EE6">
            <w:pPr>
              <w:pStyle w:val="DAVA"/>
              <w:spacing w:before="80" w:after="80"/>
              <w:rPr>
                <w:rFonts w:cs="Arial"/>
                <w:sz w:val="18"/>
                <w:szCs w:val="18"/>
                <w:lang w:val="cs-CZ" w:eastAsia="cs-CZ"/>
              </w:rPr>
            </w:pPr>
          </w:p>
        </w:tc>
        <w:tc>
          <w:tcPr>
            <w:tcW w:w="1344" w:type="pct"/>
            <w:tcBorders>
              <w:top w:val="dotted" w:sz="4" w:space="0" w:color="auto"/>
            </w:tcBorders>
          </w:tcPr>
          <w:p w:rsidR="00D00116" w:rsidRPr="0075578B" w:rsidRDefault="00D00116" w:rsidP="00825D2B">
            <w:pPr>
              <w:pStyle w:val="Tabulka"/>
              <w:widowControl w:val="0"/>
              <w:rPr>
                <w:rFonts w:ascii="Arial" w:hAnsi="Arial" w:cs="Arial"/>
                <w:b w:val="0"/>
                <w:color w:val="auto"/>
                <w:sz w:val="24"/>
              </w:rPr>
            </w:pPr>
            <w:r w:rsidRPr="0075578B">
              <w:rPr>
                <w:rFonts w:ascii="Arial" w:hAnsi="Arial" w:cs="Arial"/>
                <w:b w:val="0"/>
                <w:color w:val="auto"/>
              </w:rPr>
              <w:t>Průběžně vyhodnocovat správní kapacitu a její případné posílení dle potřeby</w:t>
            </w:r>
          </w:p>
        </w:tc>
        <w:tc>
          <w:tcPr>
            <w:tcW w:w="989" w:type="pct"/>
            <w:tcBorders>
              <w:top w:val="dotted" w:sz="4" w:space="0" w:color="auto"/>
            </w:tcBorders>
          </w:tcPr>
          <w:p w:rsidR="00D00116" w:rsidRPr="0075578B" w:rsidRDefault="00D00116" w:rsidP="00825D2B">
            <w:pPr>
              <w:pStyle w:val="Tabulka"/>
              <w:widowControl w:val="0"/>
              <w:rPr>
                <w:rFonts w:ascii="Arial" w:hAnsi="Arial" w:cs="Arial"/>
                <w:b w:val="0"/>
                <w:color w:val="auto"/>
              </w:rPr>
            </w:pPr>
            <w:r w:rsidRPr="0075578B">
              <w:rPr>
                <w:rFonts w:ascii="Arial" w:hAnsi="Arial" w:cs="Arial"/>
                <w:b w:val="0"/>
                <w:color w:val="auto"/>
              </w:rPr>
              <w:t>31.12.2016</w:t>
            </w:r>
          </w:p>
        </w:tc>
        <w:tc>
          <w:tcPr>
            <w:tcW w:w="815" w:type="pct"/>
            <w:tcBorders>
              <w:top w:val="dotted" w:sz="4" w:space="0" w:color="auto"/>
            </w:tcBorders>
          </w:tcPr>
          <w:p w:rsidR="00D00116" w:rsidRPr="0075578B" w:rsidRDefault="00D00116" w:rsidP="0075578B">
            <w:pPr>
              <w:pStyle w:val="Tabulka"/>
              <w:widowControl w:val="0"/>
              <w:rPr>
                <w:rFonts w:ascii="Arial" w:hAnsi="Arial" w:cs="Arial"/>
                <w:b w:val="0"/>
                <w:color w:val="auto"/>
              </w:rPr>
            </w:pPr>
            <w:r w:rsidRPr="0075578B">
              <w:rPr>
                <w:rFonts w:ascii="Arial" w:hAnsi="Arial" w:cs="Arial"/>
                <w:b w:val="0"/>
                <w:color w:val="auto"/>
              </w:rPr>
              <w:t>ŘO</w:t>
            </w:r>
            <w:r>
              <w:rPr>
                <w:rFonts w:ascii="Arial" w:hAnsi="Arial" w:cs="Arial"/>
                <w:b w:val="0"/>
                <w:color w:val="auto"/>
              </w:rPr>
              <w:t xml:space="preserve"> </w:t>
            </w:r>
          </w:p>
        </w:tc>
      </w:tr>
      <w:tr w:rsidR="00D00116" w:rsidRPr="00A76D60" w:rsidTr="00D00116">
        <w:trPr>
          <w:trHeight w:val="424"/>
        </w:trPr>
        <w:tc>
          <w:tcPr>
            <w:tcW w:w="840" w:type="pct"/>
            <w:vMerge w:val="restart"/>
            <w:shd w:val="clear" w:color="auto" w:fill="FFFFFF"/>
          </w:tcPr>
          <w:p w:rsidR="00D00116" w:rsidRPr="00A76D60" w:rsidRDefault="00D00116" w:rsidP="00C36EE6">
            <w:pPr>
              <w:spacing w:before="80" w:after="80"/>
              <w:rPr>
                <w:rFonts w:ascii="Arial" w:hAnsi="Arial" w:cs="Arial"/>
                <w:b/>
                <w:sz w:val="18"/>
                <w:szCs w:val="18"/>
              </w:rPr>
            </w:pPr>
            <w:r w:rsidRPr="00A76D60">
              <w:rPr>
                <w:rFonts w:ascii="Arial" w:hAnsi="Arial" w:cs="Arial"/>
                <w:b/>
                <w:sz w:val="18"/>
                <w:szCs w:val="18"/>
              </w:rPr>
              <w:lastRenderedPageBreak/>
              <w:t>7 Existence statistického základu nezbytného k provádění hodnocení za účelem posouzení účinnosti a dopadu programů.</w:t>
            </w:r>
          </w:p>
          <w:p w:rsidR="00D00116" w:rsidRPr="00A76D60" w:rsidRDefault="00D00116" w:rsidP="00C36EE6">
            <w:pPr>
              <w:spacing w:before="80" w:after="80"/>
              <w:rPr>
                <w:rFonts w:ascii="Arial" w:hAnsi="Arial" w:cs="Arial"/>
                <w:b/>
                <w:sz w:val="18"/>
                <w:szCs w:val="18"/>
              </w:rPr>
            </w:pPr>
          </w:p>
          <w:p w:rsidR="00D00116" w:rsidRPr="00A76D60" w:rsidRDefault="00D00116" w:rsidP="00C36EE6">
            <w:pPr>
              <w:spacing w:before="80" w:after="80"/>
              <w:rPr>
                <w:rFonts w:ascii="Arial" w:hAnsi="Arial" w:cs="Arial"/>
                <w:b/>
                <w:sz w:val="18"/>
                <w:szCs w:val="18"/>
              </w:rPr>
            </w:pPr>
            <w:r w:rsidRPr="00A76D60">
              <w:rPr>
                <w:rFonts w:ascii="Arial" w:hAnsi="Arial" w:cs="Arial"/>
                <w:b/>
                <w:sz w:val="18"/>
                <w:szCs w:val="18"/>
              </w:rPr>
              <w:t>Existence systému ukazatelů výsledků nezbytného k výběru opatření, jež budou nejúčinněji přispívat k dosahování požadovaných výsledků, k monitorování pokroku při dosahování výsledků a k provedení posouzení dopadů</w:t>
            </w:r>
          </w:p>
        </w:tc>
        <w:tc>
          <w:tcPr>
            <w:tcW w:w="1012" w:type="pct"/>
            <w:vMerge w:val="restar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color w:val="000000"/>
                <w:sz w:val="18"/>
                <w:szCs w:val="18"/>
              </w:rPr>
              <w:t>Jsou vypracována opatření pro včasný sběr a agregaci statistických údajů, která obsahují tyto prvky:</w:t>
            </w:r>
          </w:p>
          <w:p w:rsidR="00D00116" w:rsidRPr="00A76D60" w:rsidRDefault="00D00116" w:rsidP="0083711E">
            <w:pPr>
              <w:pStyle w:val="DAVA"/>
              <w:numPr>
                <w:ilvl w:val="0"/>
                <w:numId w:val="2"/>
              </w:numPr>
              <w:spacing w:before="80" w:after="80"/>
              <w:ind w:left="360"/>
              <w:rPr>
                <w:rFonts w:cs="Arial"/>
                <w:sz w:val="18"/>
                <w:szCs w:val="18"/>
                <w:lang w:val="cs-CZ" w:eastAsia="cs-CZ"/>
              </w:rPr>
            </w:pPr>
            <w:r w:rsidRPr="00A76D60">
              <w:rPr>
                <w:rFonts w:cs="Arial"/>
                <w:sz w:val="18"/>
                <w:szCs w:val="18"/>
                <w:lang w:val="cs-CZ" w:eastAsia="cs-CZ"/>
              </w:rPr>
              <w:t>určení zdrojů a mechanismů pro zajištění statistického ověřování</w:t>
            </w:r>
          </w:p>
        </w:tc>
        <w:tc>
          <w:tcPr>
            <w:tcW w:w="1344"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Dopracování Národního číselníku indikátorů pro programové období 2014-2020, který zajistí jednotnou metodickou konstrukci všech indikátorů používaných napříč programy ESI fondů.</w:t>
            </w:r>
          </w:p>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Nastavení spolupráce s ČSÚ pro pravidelné dodávání potřebných statistických dat.</w:t>
            </w:r>
          </w:p>
        </w:tc>
        <w:tc>
          <w:tcPr>
            <w:tcW w:w="989" w:type="pct"/>
            <w:shd w:val="clear" w:color="auto" w:fill="FFFFFF"/>
          </w:tcPr>
          <w:p w:rsidR="00D00116" w:rsidRPr="00A76D60" w:rsidRDefault="00D00116" w:rsidP="00C36EE6">
            <w:pPr>
              <w:pStyle w:val="DAVA"/>
              <w:spacing w:before="80" w:after="80"/>
              <w:rPr>
                <w:rFonts w:cs="Arial"/>
                <w:sz w:val="18"/>
                <w:szCs w:val="18"/>
                <w:lang w:val="cs-CZ" w:eastAsia="cs-CZ"/>
              </w:rPr>
            </w:pPr>
            <w:r>
              <w:rPr>
                <w:rFonts w:cs="Arial"/>
                <w:sz w:val="18"/>
                <w:szCs w:val="18"/>
                <w:lang w:val="cs-CZ" w:eastAsia="cs-CZ"/>
              </w:rPr>
              <w:t>31.12.2015</w:t>
            </w:r>
          </w:p>
        </w:tc>
        <w:tc>
          <w:tcPr>
            <w:tcW w:w="815"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MMR, ŘO, ČSÚ</w:t>
            </w:r>
          </w:p>
        </w:tc>
      </w:tr>
      <w:tr w:rsidR="00D00116" w:rsidRPr="00A76D60" w:rsidTr="00D00116">
        <w:trPr>
          <w:trHeight w:val="1678"/>
        </w:trPr>
        <w:tc>
          <w:tcPr>
            <w:tcW w:w="840" w:type="pct"/>
            <w:vMerge/>
            <w:shd w:val="clear" w:color="auto" w:fill="FFFFFF"/>
          </w:tcPr>
          <w:p w:rsidR="00D00116" w:rsidRPr="00A76D60" w:rsidRDefault="00D00116" w:rsidP="00C36EE6">
            <w:pPr>
              <w:spacing w:before="80" w:after="80"/>
              <w:rPr>
                <w:rFonts w:ascii="Arial" w:hAnsi="Arial" w:cs="Arial"/>
                <w:b/>
                <w:sz w:val="18"/>
                <w:szCs w:val="18"/>
              </w:rPr>
            </w:pPr>
          </w:p>
        </w:tc>
        <w:tc>
          <w:tcPr>
            <w:tcW w:w="1012" w:type="pct"/>
            <w:vMerge/>
            <w:shd w:val="clear" w:color="auto" w:fill="FFFFFF"/>
          </w:tcPr>
          <w:p w:rsidR="00D00116" w:rsidRPr="00A76D60" w:rsidRDefault="00D00116" w:rsidP="00C36EE6">
            <w:pPr>
              <w:pStyle w:val="DAVA"/>
              <w:spacing w:before="80" w:after="80"/>
              <w:rPr>
                <w:rFonts w:cs="Arial"/>
                <w:sz w:val="18"/>
                <w:szCs w:val="18"/>
                <w:lang w:val="cs-CZ" w:eastAsia="cs-CZ"/>
              </w:rPr>
            </w:pPr>
          </w:p>
        </w:tc>
        <w:tc>
          <w:tcPr>
            <w:tcW w:w="1344" w:type="pct"/>
            <w:shd w:val="clear" w:color="auto" w:fill="FFFFFF"/>
          </w:tcPr>
          <w:p w:rsidR="00D00116" w:rsidRPr="007751B0" w:rsidRDefault="00D00116" w:rsidP="00C36EE6">
            <w:pPr>
              <w:rPr>
                <w:rFonts w:ascii="Arial" w:hAnsi="Arial" w:cs="Arial"/>
                <w:sz w:val="18"/>
                <w:szCs w:val="18"/>
              </w:rPr>
            </w:pPr>
            <w:r w:rsidRPr="00AF39BC">
              <w:rPr>
                <w:rFonts w:ascii="Arial" w:hAnsi="Arial" w:cs="Arial"/>
                <w:sz w:val="18"/>
                <w:szCs w:val="18"/>
              </w:rPr>
              <w:t>Ve spolupráci s dotčenými resorty a Úřadem na ochranu osobních údajů (ÚOOÚ) připravit a následně ÚOOU schválit a vydat výkladové stanovisko ke zpracování osobních údajů účastníků při poskytování finanční podpory z evropského sociálního fondu</w:t>
            </w:r>
          </w:p>
        </w:tc>
        <w:tc>
          <w:tcPr>
            <w:tcW w:w="989" w:type="pct"/>
            <w:shd w:val="clear" w:color="auto" w:fill="FFFFFF"/>
          </w:tcPr>
          <w:p w:rsidR="00D00116" w:rsidRPr="00A76D60" w:rsidRDefault="00D00116" w:rsidP="00C36EE6">
            <w:pPr>
              <w:pStyle w:val="DAVA"/>
              <w:spacing w:before="80" w:after="80"/>
              <w:rPr>
                <w:rFonts w:cs="Arial"/>
                <w:sz w:val="18"/>
                <w:szCs w:val="18"/>
                <w:lang w:val="cs-CZ" w:eastAsia="cs-CZ"/>
              </w:rPr>
            </w:pPr>
            <w:r>
              <w:rPr>
                <w:rFonts w:cs="Arial"/>
                <w:sz w:val="18"/>
                <w:szCs w:val="18"/>
                <w:lang w:val="cs-CZ" w:eastAsia="cs-CZ"/>
              </w:rPr>
              <w:t>31.12.2015</w:t>
            </w:r>
          </w:p>
        </w:tc>
        <w:tc>
          <w:tcPr>
            <w:tcW w:w="815"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MMR, Úřad vlády (Úřad pro ochranu osobních údajů) + ŘO ESF programů, které mají povinnost monitorovat účastníky projektů v rámci povinných společných indikátorů (MPSV, HMP, MŠMT)</w:t>
            </w:r>
          </w:p>
        </w:tc>
      </w:tr>
      <w:tr w:rsidR="00D00116" w:rsidRPr="00A76D60" w:rsidTr="00D00116">
        <w:trPr>
          <w:trHeight w:val="2677"/>
        </w:trPr>
        <w:tc>
          <w:tcPr>
            <w:tcW w:w="840" w:type="pct"/>
            <w:vMerge/>
            <w:shd w:val="clear" w:color="auto" w:fill="FFFFFF"/>
          </w:tcPr>
          <w:p w:rsidR="00D00116" w:rsidRPr="00A76D60" w:rsidRDefault="00D00116" w:rsidP="00C36EE6">
            <w:pPr>
              <w:spacing w:before="80" w:after="80"/>
              <w:rPr>
                <w:rFonts w:ascii="Arial" w:hAnsi="Arial" w:cs="Arial"/>
                <w:b/>
                <w:sz w:val="18"/>
                <w:szCs w:val="18"/>
              </w:rPr>
            </w:pPr>
          </w:p>
        </w:tc>
        <w:tc>
          <w:tcPr>
            <w:tcW w:w="1012"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Účinný systém ukazatelů výsledků, včetně:</w:t>
            </w:r>
          </w:p>
          <w:p w:rsidR="00D00116" w:rsidRPr="00A76D60" w:rsidRDefault="00D00116" w:rsidP="0083711E">
            <w:pPr>
              <w:pStyle w:val="Odstavecseseznamem"/>
              <w:numPr>
                <w:ilvl w:val="0"/>
                <w:numId w:val="2"/>
              </w:numPr>
              <w:overflowPunct/>
              <w:autoSpaceDE/>
              <w:autoSpaceDN/>
              <w:adjustRightInd/>
              <w:spacing w:before="80" w:after="80" w:line="240" w:lineRule="auto"/>
              <w:ind w:left="355"/>
              <w:textAlignment w:val="auto"/>
              <w:rPr>
                <w:rFonts w:ascii="Arial" w:hAnsi="Arial" w:cs="Arial"/>
                <w:sz w:val="18"/>
                <w:szCs w:val="18"/>
              </w:rPr>
            </w:pPr>
            <w:r w:rsidRPr="00A76D60">
              <w:rPr>
                <w:rFonts w:ascii="Arial" w:hAnsi="Arial" w:cs="Arial"/>
                <w:color w:val="000000"/>
                <w:sz w:val="18"/>
                <w:szCs w:val="18"/>
              </w:rPr>
              <w:t>výběru ukazatelů výsledků pro každý program, jež budou vypovídat o motivaci k výběru strategických kroků financovaných z programu,</w:t>
            </w:r>
          </w:p>
        </w:tc>
        <w:tc>
          <w:tcPr>
            <w:tcW w:w="1344"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Dopracování Národního číselníku indikátorů pro programové období 2014-2020.</w:t>
            </w:r>
          </w:p>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Dopracování a schválení strategie programů a potřebné navazující programové dokumentace</w:t>
            </w:r>
          </w:p>
          <w:p w:rsidR="00D00116" w:rsidRPr="00A76D60" w:rsidRDefault="00D00116" w:rsidP="00C36EE6">
            <w:pPr>
              <w:pStyle w:val="DAVA"/>
              <w:spacing w:before="80" w:after="80"/>
              <w:rPr>
                <w:rFonts w:cs="Arial"/>
                <w:sz w:val="18"/>
                <w:szCs w:val="18"/>
                <w:lang w:val="cs-CZ" w:eastAsia="cs-CZ"/>
              </w:rPr>
            </w:pPr>
            <w:r w:rsidRPr="00A76D60">
              <w:rPr>
                <w:rFonts w:cs="Arial"/>
                <w:sz w:val="18"/>
                <w:szCs w:val="18"/>
              </w:rPr>
              <w:t>Příprava a schválení evaluačních plánů programů a Dohody o partnerství, které budou definovat indikativní harmonogram plánovaných evaluačních aktivit programů.</w:t>
            </w:r>
          </w:p>
        </w:tc>
        <w:tc>
          <w:tcPr>
            <w:tcW w:w="989" w:type="pct"/>
            <w:shd w:val="clear" w:color="auto" w:fill="FFFFFF"/>
          </w:tcPr>
          <w:p w:rsidR="00D00116" w:rsidRPr="00A76D60" w:rsidRDefault="00D00116" w:rsidP="00A836AD">
            <w:pPr>
              <w:pStyle w:val="DAVA"/>
              <w:spacing w:before="80" w:after="80"/>
              <w:rPr>
                <w:rFonts w:cs="Arial"/>
                <w:sz w:val="18"/>
                <w:szCs w:val="18"/>
                <w:lang w:val="cs-CZ" w:eastAsia="cs-CZ"/>
              </w:rPr>
            </w:pPr>
            <w:r>
              <w:rPr>
                <w:rFonts w:cs="Arial"/>
                <w:sz w:val="18"/>
                <w:szCs w:val="18"/>
                <w:lang w:val="cs-CZ" w:eastAsia="cs-CZ"/>
              </w:rPr>
              <w:t>30.6.2016</w:t>
            </w:r>
          </w:p>
        </w:tc>
        <w:tc>
          <w:tcPr>
            <w:tcW w:w="815"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MMR, ŘO</w:t>
            </w:r>
            <w:r w:rsidRPr="00A76D60" w:rsidDel="00432201">
              <w:rPr>
                <w:rFonts w:cs="Arial"/>
                <w:sz w:val="18"/>
                <w:szCs w:val="18"/>
                <w:lang w:val="cs-CZ" w:eastAsia="cs-CZ"/>
              </w:rPr>
              <w:t xml:space="preserve"> </w:t>
            </w:r>
          </w:p>
        </w:tc>
      </w:tr>
      <w:tr w:rsidR="00D00116" w:rsidRPr="00A76D60" w:rsidTr="00D00116">
        <w:trPr>
          <w:trHeight w:val="424"/>
        </w:trPr>
        <w:tc>
          <w:tcPr>
            <w:tcW w:w="840" w:type="pct"/>
            <w:vMerge/>
            <w:shd w:val="clear" w:color="auto" w:fill="FFFFFF"/>
          </w:tcPr>
          <w:p w:rsidR="00D00116" w:rsidRPr="00A76D60" w:rsidRDefault="00D00116" w:rsidP="00C36EE6">
            <w:pPr>
              <w:spacing w:before="80" w:after="80"/>
              <w:rPr>
                <w:rFonts w:ascii="Arial" w:hAnsi="Arial" w:cs="Arial"/>
                <w:b/>
                <w:sz w:val="18"/>
                <w:szCs w:val="18"/>
              </w:rPr>
            </w:pPr>
          </w:p>
        </w:tc>
        <w:tc>
          <w:tcPr>
            <w:tcW w:w="1012" w:type="pct"/>
            <w:shd w:val="clear" w:color="auto" w:fill="FFFFFF"/>
          </w:tcPr>
          <w:p w:rsidR="00D00116" w:rsidRPr="00A76D60" w:rsidRDefault="00D00116" w:rsidP="00C36EE6">
            <w:pPr>
              <w:pStyle w:val="Odstavecseseznamem"/>
              <w:spacing w:before="80" w:after="80" w:line="240" w:lineRule="auto"/>
              <w:ind w:left="0"/>
              <w:contextualSpacing w:val="0"/>
              <w:rPr>
                <w:rFonts w:ascii="Arial" w:hAnsi="Arial" w:cs="Arial"/>
                <w:bCs/>
                <w:sz w:val="18"/>
                <w:szCs w:val="18"/>
              </w:rPr>
            </w:pPr>
            <w:r w:rsidRPr="00A76D60">
              <w:rPr>
                <w:rFonts w:ascii="Arial" w:hAnsi="Arial" w:cs="Arial"/>
                <w:bCs/>
                <w:sz w:val="18"/>
                <w:szCs w:val="18"/>
              </w:rPr>
              <w:t>Účinný systém ukazatelů výsledků, včetně:</w:t>
            </w:r>
          </w:p>
          <w:p w:rsidR="00D00116" w:rsidRPr="00A76D60" w:rsidRDefault="00D00116" w:rsidP="0083711E">
            <w:pPr>
              <w:pStyle w:val="Odstavecseseznamem"/>
              <w:numPr>
                <w:ilvl w:val="0"/>
                <w:numId w:val="2"/>
              </w:numPr>
              <w:overflowPunct/>
              <w:autoSpaceDE/>
              <w:autoSpaceDN/>
              <w:adjustRightInd/>
              <w:spacing w:before="80" w:after="80" w:line="240" w:lineRule="auto"/>
              <w:ind w:left="360"/>
              <w:contextualSpacing w:val="0"/>
              <w:textAlignment w:val="auto"/>
              <w:rPr>
                <w:rFonts w:ascii="Arial" w:hAnsi="Arial" w:cs="Arial"/>
                <w:bCs/>
                <w:sz w:val="18"/>
                <w:szCs w:val="18"/>
              </w:rPr>
            </w:pPr>
            <w:r w:rsidRPr="00A76D60">
              <w:rPr>
                <w:rFonts w:ascii="Arial" w:hAnsi="Arial" w:cs="Arial"/>
                <w:bCs/>
                <w:sz w:val="18"/>
                <w:szCs w:val="18"/>
              </w:rPr>
              <w:t>vytyčení cílů pro tyto ukazatele</w:t>
            </w:r>
          </w:p>
        </w:tc>
        <w:tc>
          <w:tcPr>
            <w:tcW w:w="1344"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Schválení programů</w:t>
            </w:r>
          </w:p>
        </w:tc>
        <w:tc>
          <w:tcPr>
            <w:tcW w:w="989" w:type="pct"/>
            <w:shd w:val="clear" w:color="auto" w:fill="FFFFFF"/>
          </w:tcPr>
          <w:p w:rsidR="00D00116" w:rsidRPr="00A76D60" w:rsidRDefault="00D00116" w:rsidP="00C36EE6">
            <w:pPr>
              <w:pStyle w:val="DAVA"/>
              <w:spacing w:before="80" w:after="80"/>
              <w:rPr>
                <w:rFonts w:cs="Arial"/>
                <w:sz w:val="18"/>
                <w:szCs w:val="18"/>
                <w:lang w:val="cs-CZ" w:eastAsia="cs-CZ"/>
              </w:rPr>
            </w:pPr>
            <w:r>
              <w:rPr>
                <w:rFonts w:cs="Arial"/>
                <w:sz w:val="18"/>
                <w:szCs w:val="18"/>
                <w:lang w:val="cs-CZ" w:eastAsia="cs-CZ"/>
              </w:rPr>
              <w:t>31.10.2015</w:t>
            </w:r>
          </w:p>
        </w:tc>
        <w:tc>
          <w:tcPr>
            <w:tcW w:w="815"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MMR, ŘO, Úřad vlády, EK</w:t>
            </w:r>
          </w:p>
        </w:tc>
      </w:tr>
      <w:tr w:rsidR="00D00116" w:rsidRPr="00A76D60" w:rsidTr="00D00116">
        <w:trPr>
          <w:trHeight w:val="424"/>
        </w:trPr>
        <w:tc>
          <w:tcPr>
            <w:tcW w:w="840" w:type="pct"/>
            <w:vMerge/>
            <w:shd w:val="clear" w:color="auto" w:fill="FFFFFF"/>
          </w:tcPr>
          <w:p w:rsidR="00D00116" w:rsidRPr="00A76D60" w:rsidRDefault="00D00116" w:rsidP="00C36EE6">
            <w:pPr>
              <w:spacing w:before="80" w:after="80"/>
              <w:rPr>
                <w:rFonts w:ascii="Arial" w:hAnsi="Arial" w:cs="Arial"/>
                <w:b/>
                <w:sz w:val="18"/>
                <w:szCs w:val="18"/>
              </w:rPr>
            </w:pPr>
          </w:p>
        </w:tc>
        <w:tc>
          <w:tcPr>
            <w:tcW w:w="1012" w:type="pct"/>
            <w:shd w:val="clear" w:color="auto" w:fill="FFFFFF"/>
          </w:tcPr>
          <w:p w:rsidR="00D00116" w:rsidRPr="00A76D60" w:rsidRDefault="00D00116" w:rsidP="00C36EE6">
            <w:pPr>
              <w:pStyle w:val="Odstavecseseznamem"/>
              <w:spacing w:before="80" w:after="80" w:line="240" w:lineRule="auto"/>
              <w:ind w:left="0"/>
              <w:contextualSpacing w:val="0"/>
              <w:rPr>
                <w:rFonts w:ascii="Arial" w:hAnsi="Arial" w:cs="Arial"/>
                <w:color w:val="000000"/>
                <w:sz w:val="18"/>
                <w:szCs w:val="18"/>
              </w:rPr>
            </w:pPr>
            <w:r w:rsidRPr="00A76D60">
              <w:rPr>
                <w:rFonts w:ascii="Arial" w:hAnsi="Arial" w:cs="Arial"/>
                <w:color w:val="000000"/>
                <w:sz w:val="18"/>
                <w:szCs w:val="18"/>
              </w:rPr>
              <w:t>Účinný systém ukazatelů výsledků, včetně:</w:t>
            </w:r>
          </w:p>
          <w:p w:rsidR="00D00116" w:rsidRPr="00A76D60" w:rsidRDefault="00D00116" w:rsidP="0083711E">
            <w:pPr>
              <w:pStyle w:val="Odstavecseseznamem"/>
              <w:numPr>
                <w:ilvl w:val="0"/>
                <w:numId w:val="2"/>
              </w:numPr>
              <w:overflowPunct/>
              <w:autoSpaceDE/>
              <w:autoSpaceDN/>
              <w:adjustRightInd/>
              <w:spacing w:before="80" w:after="80" w:line="240" w:lineRule="auto"/>
              <w:ind w:left="360"/>
              <w:contextualSpacing w:val="0"/>
              <w:textAlignment w:val="auto"/>
              <w:rPr>
                <w:rFonts w:ascii="Arial" w:hAnsi="Arial" w:cs="Arial"/>
                <w:bCs/>
                <w:sz w:val="18"/>
                <w:szCs w:val="18"/>
              </w:rPr>
            </w:pPr>
            <w:r w:rsidRPr="00A76D60">
              <w:rPr>
                <w:rFonts w:ascii="Arial" w:hAnsi="Arial" w:cs="Arial"/>
                <w:color w:val="000000"/>
                <w:sz w:val="18"/>
                <w:szCs w:val="18"/>
              </w:rPr>
              <w:t xml:space="preserve">musí být zajištěn soulad každého ukazatele s těmito </w:t>
            </w:r>
            <w:r w:rsidRPr="00A76D60">
              <w:rPr>
                <w:rFonts w:ascii="Arial" w:hAnsi="Arial" w:cs="Arial"/>
                <w:color w:val="000000"/>
                <w:sz w:val="18"/>
                <w:szCs w:val="18"/>
              </w:rPr>
              <w:lastRenderedPageBreak/>
              <w:t>podmínkami: robustností a statistickou validací, jasným normativním výkladem, souladem se strategiemi, včasným sběrem údajů,</w:t>
            </w:r>
          </w:p>
        </w:tc>
        <w:tc>
          <w:tcPr>
            <w:tcW w:w="1344"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lastRenderedPageBreak/>
              <w:t>Nastavení spolupráce s ČSÚ pro pravidelné dodávání potřebných statistických dat.</w:t>
            </w:r>
          </w:p>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Dopracování monitorovacího systému zajišťující sběr a agregaci dat z operací (MS2014+).</w:t>
            </w:r>
          </w:p>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lastRenderedPageBreak/>
              <w:t xml:space="preserve">Ve spolupráci s ŘO OPZ připravit technické řešení sběru údajů o účastnících intervencí tzv. IS ESF2014+, které bude zajišťovat automatické </w:t>
            </w:r>
            <w:proofErr w:type="spellStart"/>
            <w:r w:rsidRPr="00A76D60">
              <w:rPr>
                <w:rFonts w:cs="Arial"/>
                <w:sz w:val="18"/>
                <w:szCs w:val="18"/>
                <w:lang w:val="cs-CZ" w:eastAsia="cs-CZ"/>
              </w:rPr>
              <w:t>provazby</w:t>
            </w:r>
            <w:proofErr w:type="spellEnd"/>
            <w:r w:rsidRPr="00A76D60">
              <w:rPr>
                <w:rFonts w:cs="Arial"/>
                <w:sz w:val="18"/>
                <w:szCs w:val="18"/>
                <w:lang w:val="cs-CZ" w:eastAsia="cs-CZ"/>
              </w:rPr>
              <w:t xml:space="preserve"> na vybrané datové zdroje České správy sociálního zabezpečení a Úřadu práce, které jsou nezbytné pro vyhodnocení úspěšnosti ESF intervencí.</w:t>
            </w:r>
          </w:p>
        </w:tc>
        <w:tc>
          <w:tcPr>
            <w:tcW w:w="989" w:type="pct"/>
            <w:shd w:val="clear" w:color="auto" w:fill="FFFFFF"/>
          </w:tcPr>
          <w:p w:rsidR="00D00116" w:rsidRPr="00A76D60" w:rsidRDefault="00D00116" w:rsidP="00DD1756">
            <w:pPr>
              <w:pStyle w:val="DAVA"/>
              <w:spacing w:before="80" w:after="80"/>
              <w:rPr>
                <w:rFonts w:cs="Arial"/>
                <w:sz w:val="18"/>
                <w:szCs w:val="18"/>
                <w:lang w:val="cs-CZ" w:eastAsia="cs-CZ"/>
              </w:rPr>
            </w:pPr>
            <w:r>
              <w:rPr>
                <w:rFonts w:cs="Arial"/>
                <w:sz w:val="18"/>
                <w:szCs w:val="18"/>
                <w:lang w:val="cs-CZ" w:eastAsia="cs-CZ"/>
              </w:rPr>
              <w:lastRenderedPageBreak/>
              <w:t>31.3.2016</w:t>
            </w:r>
          </w:p>
        </w:tc>
        <w:tc>
          <w:tcPr>
            <w:tcW w:w="815"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MMR, ŘO, ČSÚ, ČSSZ, ÚP</w:t>
            </w:r>
          </w:p>
        </w:tc>
      </w:tr>
      <w:tr w:rsidR="00D00116" w:rsidRPr="00A76D60" w:rsidTr="00D00116">
        <w:trPr>
          <w:trHeight w:val="712"/>
        </w:trPr>
        <w:tc>
          <w:tcPr>
            <w:tcW w:w="840" w:type="pct"/>
            <w:vMerge/>
            <w:shd w:val="clear" w:color="auto" w:fill="FFFFFF"/>
          </w:tcPr>
          <w:p w:rsidR="00D00116" w:rsidRPr="00A76D60" w:rsidRDefault="00D00116" w:rsidP="00C36EE6">
            <w:pPr>
              <w:spacing w:before="80" w:after="80"/>
              <w:rPr>
                <w:rFonts w:ascii="Arial" w:hAnsi="Arial" w:cs="Arial"/>
                <w:b/>
                <w:sz w:val="18"/>
                <w:szCs w:val="18"/>
              </w:rPr>
            </w:pPr>
          </w:p>
        </w:tc>
        <w:tc>
          <w:tcPr>
            <w:tcW w:w="1012" w:type="pct"/>
            <w:shd w:val="clear" w:color="auto" w:fill="FFFFFF"/>
          </w:tcPr>
          <w:p w:rsidR="00D00116" w:rsidRPr="00A76D60" w:rsidRDefault="00D00116" w:rsidP="00C36EE6">
            <w:pPr>
              <w:pStyle w:val="Odstavecseseznamem"/>
              <w:spacing w:before="80" w:after="80" w:line="240" w:lineRule="auto"/>
              <w:ind w:left="0"/>
              <w:contextualSpacing w:val="0"/>
              <w:rPr>
                <w:rFonts w:ascii="Arial" w:hAnsi="Arial" w:cs="Arial"/>
                <w:bCs/>
                <w:sz w:val="18"/>
                <w:szCs w:val="18"/>
              </w:rPr>
            </w:pPr>
            <w:r w:rsidRPr="00A76D60">
              <w:rPr>
                <w:rFonts w:ascii="Arial" w:hAnsi="Arial" w:cs="Arial"/>
                <w:bCs/>
                <w:sz w:val="18"/>
                <w:szCs w:val="18"/>
              </w:rPr>
              <w:t>Postupy zajišťující, aby všechny operace financované z programu používaly účinný systém ukazatelů</w:t>
            </w:r>
          </w:p>
        </w:tc>
        <w:tc>
          <w:tcPr>
            <w:tcW w:w="1344" w:type="pct"/>
            <w:shd w:val="clear" w:color="auto" w:fill="FFFFFF"/>
          </w:tcPr>
          <w:p w:rsidR="00D00116" w:rsidRPr="00AF39BC" w:rsidRDefault="00D00116" w:rsidP="00C36EE6">
            <w:pPr>
              <w:rPr>
                <w:rFonts w:ascii="Arial" w:hAnsi="Arial" w:cs="Arial"/>
                <w:sz w:val="18"/>
                <w:szCs w:val="18"/>
              </w:rPr>
            </w:pPr>
            <w:r w:rsidRPr="00AF39BC">
              <w:rPr>
                <w:rFonts w:ascii="Arial" w:hAnsi="Arial" w:cs="Arial"/>
                <w:sz w:val="18"/>
                <w:szCs w:val="18"/>
              </w:rPr>
              <w:t>Příprava programové dokumentace (příručky pro žadatele a příjemce), které budou reflektovat jich schválená závazná metodická pravidla.</w:t>
            </w:r>
          </w:p>
        </w:tc>
        <w:tc>
          <w:tcPr>
            <w:tcW w:w="989" w:type="pct"/>
            <w:shd w:val="clear" w:color="auto" w:fill="FFFFFF"/>
          </w:tcPr>
          <w:p w:rsidR="00D00116" w:rsidRPr="00DD1756" w:rsidRDefault="00D00116" w:rsidP="00C36EE6">
            <w:pPr>
              <w:pStyle w:val="DAVA"/>
              <w:spacing w:before="80" w:after="80"/>
              <w:rPr>
                <w:rFonts w:cs="Arial"/>
                <w:sz w:val="18"/>
                <w:szCs w:val="18"/>
                <w:lang w:val="cs-CZ" w:eastAsia="cs-CZ"/>
              </w:rPr>
            </w:pPr>
            <w:r>
              <w:rPr>
                <w:rFonts w:cs="Arial"/>
                <w:sz w:val="18"/>
                <w:szCs w:val="18"/>
                <w:lang w:val="cs-CZ"/>
              </w:rPr>
              <w:t>31.</w:t>
            </w:r>
            <w:r w:rsidR="00B774F9">
              <w:rPr>
                <w:rFonts w:cs="Arial"/>
                <w:sz w:val="18"/>
                <w:szCs w:val="18"/>
                <w:lang w:val="cs-CZ"/>
              </w:rPr>
              <w:t xml:space="preserve"> </w:t>
            </w:r>
            <w:r>
              <w:rPr>
                <w:rFonts w:cs="Arial"/>
                <w:sz w:val="18"/>
                <w:szCs w:val="18"/>
                <w:lang w:val="cs-CZ"/>
              </w:rPr>
              <w:t>10.</w:t>
            </w:r>
            <w:r w:rsidR="00B774F9">
              <w:rPr>
                <w:rFonts w:cs="Arial"/>
                <w:sz w:val="18"/>
                <w:szCs w:val="18"/>
                <w:lang w:val="cs-CZ"/>
              </w:rPr>
              <w:t xml:space="preserve"> </w:t>
            </w:r>
            <w:r>
              <w:rPr>
                <w:rFonts w:cs="Arial"/>
                <w:sz w:val="18"/>
                <w:szCs w:val="18"/>
                <w:lang w:val="cs-CZ"/>
              </w:rPr>
              <w:t>2015</w:t>
            </w:r>
          </w:p>
        </w:tc>
        <w:tc>
          <w:tcPr>
            <w:tcW w:w="815" w:type="pct"/>
            <w:shd w:val="clear" w:color="auto" w:fill="FFFFFF"/>
          </w:tcPr>
          <w:p w:rsidR="00D00116" w:rsidRPr="00A76D60" w:rsidRDefault="00D00116" w:rsidP="00C36EE6">
            <w:pPr>
              <w:pStyle w:val="DAVA"/>
              <w:spacing w:before="80" w:after="80"/>
              <w:rPr>
                <w:rFonts w:cs="Arial"/>
                <w:sz w:val="18"/>
                <w:szCs w:val="18"/>
                <w:lang w:val="cs-CZ" w:eastAsia="cs-CZ"/>
              </w:rPr>
            </w:pPr>
            <w:r w:rsidRPr="00A76D60">
              <w:rPr>
                <w:rFonts w:cs="Arial"/>
                <w:sz w:val="18"/>
                <w:szCs w:val="18"/>
                <w:lang w:val="cs-CZ" w:eastAsia="cs-CZ"/>
              </w:rPr>
              <w:t>MMR, ŘO</w:t>
            </w:r>
          </w:p>
        </w:tc>
      </w:tr>
    </w:tbl>
    <w:p w:rsidR="0083711E" w:rsidRPr="00FE21ED" w:rsidRDefault="0083711E" w:rsidP="0083711E">
      <w:pPr>
        <w:ind w:left="-567" w:right="-597"/>
        <w:rPr>
          <w:rFonts w:ascii="Arial" w:hAnsi="Arial" w:cs="Arial"/>
          <w:sz w:val="18"/>
          <w:szCs w:val="18"/>
        </w:rPr>
      </w:pPr>
    </w:p>
    <w:sectPr w:rsidR="0083711E" w:rsidRPr="00FE21ED" w:rsidSect="0089582E">
      <w:pgSz w:w="16838" w:h="11906" w:orient="landscape"/>
      <w:pgMar w:top="1418" w:right="1418" w:bottom="1418" w:left="1418"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236" w:rsidRDefault="00400236" w:rsidP="000F4B16">
      <w:r>
        <w:separator/>
      </w:r>
    </w:p>
  </w:endnote>
  <w:endnote w:type="continuationSeparator" w:id="0">
    <w:p w:rsidR="00400236" w:rsidRDefault="00400236" w:rsidP="000F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51C" w:rsidRDefault="00F8551C" w:rsidP="006E6B3F">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50501">
      <w:rPr>
        <w:rStyle w:val="slostrnky"/>
        <w:noProof/>
      </w:rPr>
      <w:t>11</w:t>
    </w:r>
    <w:r>
      <w:rPr>
        <w:rStyle w:val="slostrnky"/>
      </w:rPr>
      <w:fldChar w:fldCharType="end"/>
    </w:r>
  </w:p>
  <w:p w:rsidR="00F8551C" w:rsidRDefault="00F855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51C" w:rsidRDefault="00F8551C" w:rsidP="000F4B16">
    <w:pPr>
      <w:pStyle w:val="Zpat"/>
      <w:tabs>
        <w:tab w:val="clear" w:pos="9072"/>
      </w:tabs>
      <w:jc w:val="right"/>
    </w:pPr>
    <w:r>
      <w:fldChar w:fldCharType="begin"/>
    </w:r>
    <w:r>
      <w:instrText>PAGE   \* MERGEFORMAT</w:instrText>
    </w:r>
    <w:r>
      <w:fldChar w:fldCharType="separate"/>
    </w:r>
    <w:r w:rsidR="00250501">
      <w:rPr>
        <w:noProof/>
      </w:rPr>
      <w:t>38</w:t>
    </w:r>
    <w:r>
      <w:fldChar w:fldCharType="end"/>
    </w:r>
  </w:p>
  <w:p w:rsidR="00F8551C" w:rsidRDefault="00F8551C" w:rsidP="000F4B16">
    <w:pPr>
      <w:pStyle w:val="Zpat"/>
      <w:tabs>
        <w:tab w:val="left" w:pos="6274"/>
        <w:tab w:val="left" w:pos="6585"/>
        <w:tab w:val="left" w:pos="7515"/>
        <w:tab w:val="left" w:pos="7719"/>
        <w:tab w:val="left" w:pos="8370"/>
      </w:tabs>
    </w:pPr>
  </w:p>
  <w:p w:rsidR="00F8551C" w:rsidRDefault="00F855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735359"/>
      <w:docPartObj>
        <w:docPartGallery w:val="Page Numbers (Bottom of Page)"/>
        <w:docPartUnique/>
      </w:docPartObj>
    </w:sdtPr>
    <w:sdtEndPr/>
    <w:sdtContent>
      <w:p w:rsidR="00F8551C" w:rsidRDefault="00F8551C">
        <w:pPr>
          <w:pStyle w:val="Zpat"/>
          <w:jc w:val="right"/>
        </w:pPr>
        <w:r>
          <w:fldChar w:fldCharType="begin"/>
        </w:r>
        <w:r>
          <w:instrText>PAGE   \* MERGEFORMAT</w:instrText>
        </w:r>
        <w:r>
          <w:fldChar w:fldCharType="separate"/>
        </w:r>
        <w:r w:rsidR="00250501">
          <w:rPr>
            <w:noProof/>
          </w:rPr>
          <w:t>136</w:t>
        </w:r>
        <w:r>
          <w:rPr>
            <w:noProof/>
          </w:rPr>
          <w:fldChar w:fldCharType="end"/>
        </w:r>
      </w:p>
    </w:sdtContent>
  </w:sdt>
  <w:p w:rsidR="00F8551C" w:rsidRDefault="00F855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236" w:rsidRDefault="00400236" w:rsidP="000F4B16">
      <w:r>
        <w:separator/>
      </w:r>
    </w:p>
  </w:footnote>
  <w:footnote w:type="continuationSeparator" w:id="0">
    <w:p w:rsidR="00400236" w:rsidRDefault="00400236" w:rsidP="000F4B16">
      <w:r>
        <w:continuationSeparator/>
      </w:r>
    </w:p>
  </w:footnote>
  <w:footnote w:id="1">
    <w:p w:rsidR="00F8551C" w:rsidRDefault="00F8551C" w:rsidP="00235340">
      <w:pPr>
        <w:pStyle w:val="Textpoznpodarou"/>
      </w:pPr>
      <w:r>
        <w:rPr>
          <w:rStyle w:val="Znakapoznpodarou"/>
        </w:rPr>
        <w:footnoteRef/>
      </w:r>
      <w:r>
        <w:t xml:space="preserve"> </w:t>
      </w:r>
      <w:r w:rsidRPr="00BE00B1">
        <w:rPr>
          <w:sz w:val="18"/>
          <w:szCs w:val="18"/>
        </w:rPr>
        <w:t>Odkazy na strategie, legisla</w:t>
      </w:r>
      <w:r>
        <w:rPr>
          <w:sz w:val="18"/>
          <w:szCs w:val="18"/>
        </w:rPr>
        <w:t>tivní akty nebo další relevantní dokumenty obsahující odkazy na relevantní sekce, články nebo paragrafy, spolu s uvedením hypertextového odkazu nebo jiné možnosti přístupu k plnému textu</w:t>
      </w:r>
      <w:r w:rsidRPr="0018412C">
        <w:rPr>
          <w:sz w:val="18"/>
          <w:szCs w:val="18"/>
        </w:rPr>
        <w:t>)</w:t>
      </w:r>
      <w:r>
        <w:rPr>
          <w:sz w:val="18"/>
          <w:szCs w:val="18"/>
        </w:rPr>
        <w:t>.</w:t>
      </w:r>
    </w:p>
  </w:footnote>
  <w:footnote w:id="2">
    <w:p w:rsidR="00F8551C" w:rsidRDefault="00F8551C" w:rsidP="001060DD">
      <w:pPr>
        <w:pStyle w:val="Textpoznpodarou"/>
      </w:pPr>
      <w:r>
        <w:rPr>
          <w:rStyle w:val="Znakapoznpodarou"/>
        </w:rPr>
        <w:footnoteRef/>
      </w:r>
      <w:r>
        <w:t xml:space="preserve"> Částečně dále též např. „OP Zaměstnanost“ v gesci Ministerstva práce a sociálních věcí či programem „IROP“ v gesci Ministerstva pro místní rozvoj, pro něž však Národní RIS3 strategie není ex-ante </w:t>
      </w:r>
      <w:proofErr w:type="spellStart"/>
      <w:r>
        <w:t>kondicionalitou</w:t>
      </w:r>
      <w:proofErr w:type="spellEnd"/>
      <w:r>
        <w:t>.</w:t>
      </w:r>
    </w:p>
  </w:footnote>
  <w:footnote w:id="3">
    <w:p w:rsidR="00F8551C" w:rsidRPr="00F4029D" w:rsidRDefault="00F8551C" w:rsidP="001060DD">
      <w:pPr>
        <w:pStyle w:val="Textpoznpodarou"/>
        <w:jc w:val="both"/>
      </w:pPr>
      <w:r>
        <w:rPr>
          <w:rStyle w:val="Znakapoznpodarou"/>
        </w:rPr>
        <w:footnoteRef/>
      </w:r>
      <w:r>
        <w:t xml:space="preserve"> </w:t>
      </w:r>
      <w:r w:rsidRPr="002D00B8">
        <w:t xml:space="preserve">Vedle výše uváděných dokumentů a řady vlastních analýz bylo pro návrh specializace české ekonomiky využito také dílčích analytických prací zpracovaných na regionální, národní i mezinárodní úrovni různými subjekty, včetně analýz Technologického centra AVČR (dále jen „TC“) a MPO, které byly zpracovány v červenci-září 2014 speciálně pro účely revize identifikovaných oblastí specializace RIS3 a posílení argumentační základny pro jejich výběr. </w:t>
      </w:r>
      <w:r>
        <w:t>Tyto a</w:t>
      </w:r>
      <w:r w:rsidRPr="002D00B8">
        <w:t>nalýzy TC</w:t>
      </w:r>
      <w:r>
        <w:t xml:space="preserve"> (</w:t>
      </w:r>
      <w:r>
        <w:rPr>
          <w:sz w:val="18"/>
          <w:szCs w:val="18"/>
        </w:rPr>
        <w:t>„</w:t>
      </w:r>
      <w:r w:rsidRPr="0005649C">
        <w:rPr>
          <w:sz w:val="18"/>
          <w:szCs w:val="18"/>
        </w:rPr>
        <w:t>Pracov</w:t>
      </w:r>
      <w:r>
        <w:rPr>
          <w:sz w:val="18"/>
          <w:szCs w:val="18"/>
        </w:rPr>
        <w:t>ní návrh</w:t>
      </w:r>
      <w:r w:rsidRPr="0005649C">
        <w:rPr>
          <w:sz w:val="18"/>
          <w:szCs w:val="18"/>
        </w:rPr>
        <w:t xml:space="preserve"> hlavních závěrů analytických podkladů pro stanovení výzkumné specializace ČR</w:t>
      </w:r>
      <w:r>
        <w:rPr>
          <w:sz w:val="18"/>
          <w:szCs w:val="18"/>
        </w:rPr>
        <w:t>“) a MPO</w:t>
      </w:r>
      <w:r w:rsidRPr="0005649C">
        <w:rPr>
          <w:sz w:val="18"/>
          <w:szCs w:val="18"/>
        </w:rPr>
        <w:t xml:space="preserve"> </w:t>
      </w:r>
      <w:r>
        <w:rPr>
          <w:sz w:val="18"/>
          <w:szCs w:val="18"/>
        </w:rPr>
        <w:t>(„</w:t>
      </w:r>
      <w:r w:rsidRPr="0005649C">
        <w:rPr>
          <w:sz w:val="18"/>
          <w:szCs w:val="18"/>
        </w:rPr>
        <w:t>Priorit</w:t>
      </w:r>
      <w:r>
        <w:rPr>
          <w:sz w:val="18"/>
          <w:szCs w:val="18"/>
        </w:rPr>
        <w:t>y</w:t>
      </w:r>
      <w:r w:rsidRPr="0005649C">
        <w:rPr>
          <w:sz w:val="18"/>
          <w:szCs w:val="18"/>
        </w:rPr>
        <w:t xml:space="preserve"> MPO pro oblast průmyslo</w:t>
      </w:r>
      <w:r>
        <w:rPr>
          <w:sz w:val="18"/>
          <w:szCs w:val="18"/>
        </w:rPr>
        <w:t>vého výzkumu, vývoje a inovací“)</w:t>
      </w:r>
      <w:r w:rsidRPr="002D00B8">
        <w:t xml:space="preserve"> většinu závěrů a volbu oblastí specializace v Národní RIS3 </w:t>
      </w:r>
      <w:r>
        <w:t xml:space="preserve">strategii </w:t>
      </w:r>
      <w:r w:rsidRPr="002D00B8">
        <w:t xml:space="preserve">potvrdily, zároveň však byl na jejich základě předkládaný dokument rozšířen o dodatečnou oblast specializace „Přírodní zdroje, udržitelné zemědělství a potravinová bezpečnost a dostatečnost“ a oblast „Chemie“ byla dále doplněna mezi výslovně uváděné regionální specializace -  jako oblast s nejširším regionálním průmětem (více viz kapitola 4 </w:t>
      </w:r>
      <w:r>
        <w:t>Národní RIS3 strategie týkající se oblastí specializace</w:t>
      </w:r>
      <w:r w:rsidRPr="002D00B8">
        <w:t>)</w:t>
      </w:r>
      <w:r>
        <w:t>.</w:t>
      </w:r>
    </w:p>
    <w:p w:rsidR="00F8551C" w:rsidRDefault="00F8551C" w:rsidP="001060DD">
      <w:pPr>
        <w:pStyle w:val="Textpoznpodarou"/>
      </w:pPr>
    </w:p>
  </w:footnote>
  <w:footnote w:id="4">
    <w:p w:rsidR="00F8551C" w:rsidRDefault="00F8551C" w:rsidP="001060DD">
      <w:pPr>
        <w:pStyle w:val="Textpoznpodarou"/>
      </w:pPr>
      <w:r>
        <w:rPr>
          <w:rStyle w:val="Znakapoznpodarou"/>
        </w:rPr>
        <w:footnoteRef/>
      </w:r>
      <w:r>
        <w:t xml:space="preserve"> Vedle šesti aplikačních témat odvozených od ekonomické a inovační dynamiky příslušných aplikačních odvětví budou inovační platformy dále též rozšířeny o sedmé téma, které reflektuje potřebu inovací v oblasti přírodních zdrojů a potravinové dostatečnosti a které bylo dodatečně do Národní RIS3 strategie doplněno v září 2014 na základě výše zmiňované analýzy TC AVČR.</w:t>
      </w:r>
    </w:p>
  </w:footnote>
  <w:footnote w:id="5">
    <w:p w:rsidR="00F8551C" w:rsidRPr="000530FE" w:rsidRDefault="00F8551C" w:rsidP="006D00D4">
      <w:pPr>
        <w:pStyle w:val="Textpoznpodarou"/>
        <w:jc w:val="both"/>
        <w:rPr>
          <w:rFonts w:asciiTheme="minorHAnsi" w:hAnsiTheme="minorHAnsi" w:cstheme="minorHAnsi"/>
        </w:rPr>
      </w:pPr>
      <w:r w:rsidRPr="00733D90">
        <w:rPr>
          <w:rStyle w:val="Znakapoznpodarou"/>
          <w:rFonts w:ascii="Times New Roman" w:hAnsi="Times New Roman"/>
        </w:rPr>
        <w:footnoteRef/>
      </w:r>
      <w:r w:rsidRPr="00733D90">
        <w:rPr>
          <w:rFonts w:ascii="Times New Roman" w:hAnsi="Times New Roman"/>
        </w:rPr>
        <w:t xml:space="preserve"> </w:t>
      </w:r>
      <w:r w:rsidRPr="000530FE">
        <w:rPr>
          <w:rFonts w:asciiTheme="minorHAnsi" w:hAnsiTheme="minorHAnsi" w:cstheme="minorHAnsi"/>
        </w:rPr>
        <w:t xml:space="preserve">Nařízení Evropského parlamentu a Rady (EU) č. 1303/2013 ze dne 17. prosince 2013 o společných ustanoveních ohledně Evropského fondu pro regionální rozvoj, Evropského sociálního fondu, Fondu soudržnosti, Evropského zemědělského fondu pro rozvoj venkova a Evropského námořního a rybářského fondu, jichž se týká Společný strategický rámec, o obecných ustanoveních ohledně Evropského fondu pro regionální rozvoj, Evropského sociálního fondu a Fondu soudržnosti a o zrušení nařízení Rady (ES) č. 1083/2006 </w:t>
      </w:r>
    </w:p>
  </w:footnote>
  <w:footnote w:id="6">
    <w:p w:rsidR="00F8551C" w:rsidRPr="00B801CB" w:rsidRDefault="00F8551C" w:rsidP="006D00D4">
      <w:pPr>
        <w:pStyle w:val="Odstavecseseznamem"/>
        <w:ind w:left="0"/>
        <w:rPr>
          <w:rFonts w:ascii="Calibri" w:hAnsi="Calibri"/>
        </w:rPr>
      </w:pPr>
    </w:p>
  </w:footnote>
  <w:footnote w:id="7">
    <w:p w:rsidR="00F8551C" w:rsidRPr="00512F65" w:rsidRDefault="00F8551C" w:rsidP="006D00D4">
      <w:pPr>
        <w:spacing w:after="120"/>
        <w:rPr>
          <w:sz w:val="18"/>
          <w:szCs w:val="18"/>
        </w:rPr>
      </w:pPr>
      <w:r w:rsidRPr="00B801CB">
        <w:rPr>
          <w:rStyle w:val="Znakapoznpodarou"/>
        </w:rPr>
        <w:footnoteRef/>
      </w:r>
      <w:r w:rsidRPr="00B801CB">
        <w:t xml:space="preserve"> </w:t>
      </w:r>
      <w:r w:rsidRPr="00B801CB">
        <w:rPr>
          <w:sz w:val="18"/>
          <w:szCs w:val="18"/>
        </w:rPr>
        <w:t>Převážná část opatření bude realizována formou popisu současného stavu, jeho rizikové analýzy, popisu stavu TO-BE zejména s ohledem na architektonickou konzistenci a sadou tranzitních projektů umožňujících přechod od stavu AS-IS k TO-</w:t>
      </w:r>
      <w:r w:rsidRPr="00512F65">
        <w:rPr>
          <w:sz w:val="18"/>
          <w:szCs w:val="18"/>
        </w:rPr>
        <w:t>BE</w:t>
      </w:r>
    </w:p>
    <w:p w:rsidR="00F8551C" w:rsidRPr="00512F65" w:rsidRDefault="00F8551C" w:rsidP="006D00D4">
      <w:pPr>
        <w:pStyle w:val="Textpoznpodarou"/>
        <w:rPr>
          <w:sz w:val="18"/>
          <w:szCs w:val="18"/>
        </w:rPr>
      </w:pPr>
    </w:p>
  </w:footnote>
  <w:footnote w:id="8">
    <w:p w:rsidR="00F8551C" w:rsidRDefault="00F8551C" w:rsidP="00EB7FEA">
      <w:pPr>
        <w:pStyle w:val="Textpoznpodarou"/>
        <w:jc w:val="both"/>
      </w:pPr>
      <w:r>
        <w:rPr>
          <w:rStyle w:val="Znakapoznpodarou"/>
        </w:rPr>
        <w:footnoteRef/>
      </w:r>
      <w:r>
        <w:t xml:space="preserve">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footnote>
  <w:footnote w:id="9">
    <w:p w:rsidR="00F8551C" w:rsidRDefault="00F8551C" w:rsidP="006D1AED">
      <w:pPr>
        <w:spacing w:before="80" w:after="80"/>
        <w:rPr>
          <w:rFonts w:ascii="Arial" w:hAnsi="Arial" w:cs="Arial"/>
          <w:bCs/>
          <w:sz w:val="18"/>
          <w:szCs w:val="18"/>
        </w:rPr>
      </w:pPr>
      <w:r>
        <w:rPr>
          <w:rStyle w:val="Znakapoznpodarou"/>
        </w:rPr>
        <w:footnoteRef/>
      </w:r>
      <w:r>
        <w:t xml:space="preserve"> </w:t>
      </w:r>
      <w:hyperlink r:id="rId1" w:history="1">
        <w:r w:rsidRPr="00843D2B">
          <w:rPr>
            <w:rStyle w:val="Hypertextovodkaz"/>
            <w:rFonts w:ascii="Arial" w:hAnsi="Arial" w:cs="Arial"/>
            <w:bCs/>
            <w:sz w:val="18"/>
            <w:szCs w:val="18"/>
          </w:rPr>
          <w:t>http://www.esfcr.cz/file/8938/</w:t>
        </w:r>
      </w:hyperlink>
    </w:p>
    <w:p w:rsidR="00F8551C" w:rsidRPr="002817C9" w:rsidRDefault="00F8551C" w:rsidP="006D1AED">
      <w:pPr>
        <w:spacing w:before="80" w:after="80"/>
        <w:rPr>
          <w:rFonts w:ascii="Arial" w:hAnsi="Arial" w:cs="Arial"/>
          <w:bCs/>
          <w:sz w:val="18"/>
          <w:szCs w:val="18"/>
        </w:rPr>
      </w:pPr>
    </w:p>
    <w:p w:rsidR="00F8551C" w:rsidRDefault="00F8551C" w:rsidP="006D1AED">
      <w:pPr>
        <w:pStyle w:val="Textpoznpodarou"/>
      </w:pPr>
    </w:p>
  </w:footnote>
  <w:footnote w:id="10">
    <w:p w:rsidR="00F8551C" w:rsidRPr="00A7602D" w:rsidRDefault="00F8551C">
      <w:pPr>
        <w:pStyle w:val="Textpoznpodarou"/>
        <w:rPr>
          <w:lang w:val="cs-CZ"/>
        </w:rPr>
      </w:pPr>
      <w:r>
        <w:rPr>
          <w:rStyle w:val="Znakapoznpodarou"/>
        </w:rPr>
        <w:footnoteRef/>
      </w:r>
      <w:r>
        <w:t xml:space="preserve"> </w:t>
      </w:r>
      <w:r w:rsidRPr="001B1C77">
        <w:rPr>
          <w:lang w:val="cs-CZ"/>
        </w:rPr>
        <w:t>v roce 2017 plánuje ČR zavedení elektronizace ostatních veřejných zakázek zadávaných Ústředními orgány státní správy,</w:t>
      </w:r>
      <w:r>
        <w:rPr>
          <w:lang w:val="cs-CZ"/>
        </w:rPr>
        <w:t xml:space="preserve"> </w:t>
      </w:r>
      <w:r w:rsidRPr="001B1C77">
        <w:rPr>
          <w:lang w:val="cs-CZ"/>
        </w:rPr>
        <w:t>v roce 2018 plánuje ČR zavedení elektronizace ostatních veřejných zakázek zadávaných ostatními zadavateli.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51C" w:rsidRPr="009B3338" w:rsidRDefault="00F8551C" w:rsidP="009B333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34D65"/>
    <w:multiLevelType w:val="hybridMultilevel"/>
    <w:tmpl w:val="EBBC4672"/>
    <w:lvl w:ilvl="0" w:tplc="0A863A48">
      <w:numFmt w:val="bullet"/>
      <w:lvlText w:val="-"/>
      <w:lvlJc w:val="left"/>
      <w:pPr>
        <w:ind w:left="1146" w:hanging="360"/>
      </w:pPr>
      <w:rPr>
        <w:rFonts w:ascii="Calibri" w:eastAsia="Calibri" w:hAnsi="Calibri" w:cs="Times New Roman"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9BF119B"/>
    <w:multiLevelType w:val="hybridMultilevel"/>
    <w:tmpl w:val="43B6ED5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6E347F"/>
    <w:multiLevelType w:val="hybridMultilevel"/>
    <w:tmpl w:val="EED4D680"/>
    <w:lvl w:ilvl="0" w:tplc="F618BD90">
      <w:numFmt w:val="bullet"/>
      <w:lvlText w:val="-"/>
      <w:lvlJc w:val="left"/>
      <w:pPr>
        <w:ind w:left="465" w:hanging="360"/>
      </w:pPr>
      <w:rPr>
        <w:rFonts w:ascii="Arial" w:eastAsia="Times New Roman" w:hAnsi="Arial" w:cs="Arial" w:hint="default"/>
      </w:rPr>
    </w:lvl>
    <w:lvl w:ilvl="1" w:tplc="04050003" w:tentative="1">
      <w:start w:val="1"/>
      <w:numFmt w:val="bullet"/>
      <w:lvlText w:val="o"/>
      <w:lvlJc w:val="left"/>
      <w:pPr>
        <w:ind w:left="1185" w:hanging="360"/>
      </w:pPr>
      <w:rPr>
        <w:rFonts w:ascii="Courier New" w:hAnsi="Courier New" w:cs="Courier New" w:hint="default"/>
      </w:rPr>
    </w:lvl>
    <w:lvl w:ilvl="2" w:tplc="04050005">
      <w:start w:val="1"/>
      <w:numFmt w:val="bullet"/>
      <w:lvlText w:val=""/>
      <w:lvlJc w:val="left"/>
      <w:pPr>
        <w:ind w:left="1905" w:hanging="360"/>
      </w:pPr>
      <w:rPr>
        <w:rFonts w:ascii="Wingdings" w:hAnsi="Wingdings" w:hint="default"/>
      </w:rPr>
    </w:lvl>
    <w:lvl w:ilvl="3" w:tplc="04050001" w:tentative="1">
      <w:start w:val="1"/>
      <w:numFmt w:val="bullet"/>
      <w:lvlText w:val=""/>
      <w:lvlJc w:val="left"/>
      <w:pPr>
        <w:ind w:left="2625" w:hanging="360"/>
      </w:pPr>
      <w:rPr>
        <w:rFonts w:ascii="Symbol" w:hAnsi="Symbol" w:hint="default"/>
      </w:rPr>
    </w:lvl>
    <w:lvl w:ilvl="4" w:tplc="04050003" w:tentative="1">
      <w:start w:val="1"/>
      <w:numFmt w:val="bullet"/>
      <w:lvlText w:val="o"/>
      <w:lvlJc w:val="left"/>
      <w:pPr>
        <w:ind w:left="3345" w:hanging="360"/>
      </w:pPr>
      <w:rPr>
        <w:rFonts w:ascii="Courier New" w:hAnsi="Courier New" w:cs="Courier New" w:hint="default"/>
      </w:rPr>
    </w:lvl>
    <w:lvl w:ilvl="5" w:tplc="04050005" w:tentative="1">
      <w:start w:val="1"/>
      <w:numFmt w:val="bullet"/>
      <w:lvlText w:val=""/>
      <w:lvlJc w:val="left"/>
      <w:pPr>
        <w:ind w:left="4065" w:hanging="360"/>
      </w:pPr>
      <w:rPr>
        <w:rFonts w:ascii="Wingdings" w:hAnsi="Wingdings" w:hint="default"/>
      </w:rPr>
    </w:lvl>
    <w:lvl w:ilvl="6" w:tplc="04050001" w:tentative="1">
      <w:start w:val="1"/>
      <w:numFmt w:val="bullet"/>
      <w:lvlText w:val=""/>
      <w:lvlJc w:val="left"/>
      <w:pPr>
        <w:ind w:left="4785" w:hanging="360"/>
      </w:pPr>
      <w:rPr>
        <w:rFonts w:ascii="Symbol" w:hAnsi="Symbol" w:hint="default"/>
      </w:rPr>
    </w:lvl>
    <w:lvl w:ilvl="7" w:tplc="04050003" w:tentative="1">
      <w:start w:val="1"/>
      <w:numFmt w:val="bullet"/>
      <w:lvlText w:val="o"/>
      <w:lvlJc w:val="left"/>
      <w:pPr>
        <w:ind w:left="5505" w:hanging="360"/>
      </w:pPr>
      <w:rPr>
        <w:rFonts w:ascii="Courier New" w:hAnsi="Courier New" w:cs="Courier New" w:hint="default"/>
      </w:rPr>
    </w:lvl>
    <w:lvl w:ilvl="8" w:tplc="04050005" w:tentative="1">
      <w:start w:val="1"/>
      <w:numFmt w:val="bullet"/>
      <w:lvlText w:val=""/>
      <w:lvlJc w:val="left"/>
      <w:pPr>
        <w:ind w:left="6225" w:hanging="360"/>
      </w:pPr>
      <w:rPr>
        <w:rFonts w:ascii="Wingdings" w:hAnsi="Wingdings" w:hint="default"/>
      </w:rPr>
    </w:lvl>
  </w:abstractNum>
  <w:abstractNum w:abstractNumId="3">
    <w:nsid w:val="108B4E46"/>
    <w:multiLevelType w:val="multilevel"/>
    <w:tmpl w:val="04050025"/>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3986"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138F0C17"/>
    <w:multiLevelType w:val="hybridMultilevel"/>
    <w:tmpl w:val="0E226FA8"/>
    <w:lvl w:ilvl="0" w:tplc="A7D08A2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4970F9F"/>
    <w:multiLevelType w:val="hybridMultilevel"/>
    <w:tmpl w:val="AE3EEC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BA0DF6"/>
    <w:multiLevelType w:val="hybridMultilevel"/>
    <w:tmpl w:val="8006D36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1A3E6FD0"/>
    <w:multiLevelType w:val="hybridMultilevel"/>
    <w:tmpl w:val="CBACFCBA"/>
    <w:lvl w:ilvl="0" w:tplc="D152CFB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8">
    <w:nsid w:val="1BA36D34"/>
    <w:multiLevelType w:val="hybridMultilevel"/>
    <w:tmpl w:val="66E263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C1224D2"/>
    <w:multiLevelType w:val="hybridMultilevel"/>
    <w:tmpl w:val="EF52CD56"/>
    <w:lvl w:ilvl="0" w:tplc="08090005">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
    <w:nsid w:val="1C6B7E6F"/>
    <w:multiLevelType w:val="hybridMultilevel"/>
    <w:tmpl w:val="F2CE6D80"/>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1D42248F"/>
    <w:multiLevelType w:val="hybridMultilevel"/>
    <w:tmpl w:val="88EC5F54"/>
    <w:lvl w:ilvl="0" w:tplc="EFBC86CA">
      <w:start w:val="1"/>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22B12626"/>
    <w:multiLevelType w:val="hybridMultilevel"/>
    <w:tmpl w:val="B9129C0C"/>
    <w:lvl w:ilvl="0" w:tplc="937204BA">
      <w:start w:val="5"/>
      <w:numFmt w:val="bullet"/>
      <w:lvlText w:val="-"/>
      <w:lvlJc w:val="left"/>
      <w:pPr>
        <w:ind w:left="644" w:hanging="360"/>
      </w:pPr>
      <w:rPr>
        <w:rFonts w:ascii="Arial" w:eastAsia="Calibri"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3">
    <w:nsid w:val="237D2AB1"/>
    <w:multiLevelType w:val="hybridMultilevel"/>
    <w:tmpl w:val="DC263EC8"/>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74D677C"/>
    <w:multiLevelType w:val="hybridMultilevel"/>
    <w:tmpl w:val="42AADC00"/>
    <w:lvl w:ilvl="0" w:tplc="DA3E10F8">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27E525BE"/>
    <w:multiLevelType w:val="hybridMultilevel"/>
    <w:tmpl w:val="3258CE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A27273"/>
    <w:multiLevelType w:val="hybridMultilevel"/>
    <w:tmpl w:val="4D38C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CC9547B"/>
    <w:multiLevelType w:val="hybridMultilevel"/>
    <w:tmpl w:val="5FB4E026"/>
    <w:lvl w:ilvl="0" w:tplc="033EE34C">
      <w:start w:val="1"/>
      <w:numFmt w:val="lowerRoman"/>
      <w:lvlText w:val="(%1)"/>
      <w:lvlJc w:val="left"/>
      <w:pPr>
        <w:ind w:left="1364" w:hanging="720"/>
      </w:pPr>
      <w:rPr>
        <w:rFonts w:cs="Times New Roman" w:hint="default"/>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18">
    <w:nsid w:val="3075464F"/>
    <w:multiLevelType w:val="hybridMultilevel"/>
    <w:tmpl w:val="288E2C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0834D6D"/>
    <w:multiLevelType w:val="hybridMultilevel"/>
    <w:tmpl w:val="3B00B860"/>
    <w:lvl w:ilvl="0" w:tplc="DA3E10F8">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12223B1"/>
    <w:multiLevelType w:val="multilevel"/>
    <w:tmpl w:val="DA023246"/>
    <w:lvl w:ilvl="0">
      <w:start w:val="1"/>
      <w:numFmt w:val="decimal"/>
      <w:pStyle w:val="Nadpis1"/>
      <w:lvlText w:val="ODDÍL %1"/>
      <w:lvlJc w:val="left"/>
      <w:pPr>
        <w:ind w:left="716" w:hanging="432"/>
      </w:pPr>
      <w:rPr>
        <w:rFonts w:hint="default"/>
        <w:spacing w:val="20"/>
        <w:sz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A.2.%4"/>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1">
    <w:nsid w:val="337F47BC"/>
    <w:multiLevelType w:val="hybridMultilevel"/>
    <w:tmpl w:val="39BC610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34D344EC"/>
    <w:multiLevelType w:val="hybridMultilevel"/>
    <w:tmpl w:val="CE46058E"/>
    <w:lvl w:ilvl="0" w:tplc="9FD65846">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23">
    <w:nsid w:val="38C64752"/>
    <w:multiLevelType w:val="hybridMultilevel"/>
    <w:tmpl w:val="BA643EAE"/>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39010BC2"/>
    <w:multiLevelType w:val="hybridMultilevel"/>
    <w:tmpl w:val="9CE69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93B4642"/>
    <w:multiLevelType w:val="hybridMultilevel"/>
    <w:tmpl w:val="C77A402A"/>
    <w:lvl w:ilvl="0" w:tplc="0AE6970E">
      <w:start w:val="1"/>
      <w:numFmt w:val="decimal"/>
      <w:pStyle w:val="grafy"/>
      <w:lvlText w:val="Graf č. %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9E700EE"/>
    <w:multiLevelType w:val="hybridMultilevel"/>
    <w:tmpl w:val="36AE23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ACA072C"/>
    <w:multiLevelType w:val="hybridMultilevel"/>
    <w:tmpl w:val="C27453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BA736C9"/>
    <w:multiLevelType w:val="singleLevel"/>
    <w:tmpl w:val="9BD81856"/>
    <w:lvl w:ilvl="0">
      <w:start w:val="1"/>
      <w:numFmt w:val="bullet"/>
      <w:pStyle w:val="Tiret0"/>
      <w:lvlText w:val="–"/>
      <w:lvlJc w:val="left"/>
      <w:pPr>
        <w:tabs>
          <w:tab w:val="num" w:pos="850"/>
        </w:tabs>
        <w:ind w:left="850" w:hanging="850"/>
      </w:pPr>
    </w:lvl>
  </w:abstractNum>
  <w:abstractNum w:abstractNumId="29">
    <w:nsid w:val="3C3622C4"/>
    <w:multiLevelType w:val="hybridMultilevel"/>
    <w:tmpl w:val="DDDA93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1C31DA1"/>
    <w:multiLevelType w:val="multilevel"/>
    <w:tmpl w:val="D4183A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48176FF2"/>
    <w:multiLevelType w:val="hybridMultilevel"/>
    <w:tmpl w:val="32E04980"/>
    <w:lvl w:ilvl="0" w:tplc="04050001">
      <w:start w:val="1"/>
      <w:numFmt w:val="bullet"/>
      <w:lvlText w:val=""/>
      <w:lvlJc w:val="left"/>
      <w:pPr>
        <w:ind w:left="765" w:hanging="720"/>
      </w:pPr>
      <w:rPr>
        <w:rFonts w:ascii="Symbol" w:hAnsi="Symbol" w:hint="default"/>
      </w:rPr>
    </w:lvl>
    <w:lvl w:ilvl="1" w:tplc="04050019" w:tentative="1">
      <w:start w:val="1"/>
      <w:numFmt w:val="lowerLetter"/>
      <w:lvlText w:val="%2."/>
      <w:lvlJc w:val="left"/>
      <w:pPr>
        <w:ind w:left="1125" w:hanging="360"/>
      </w:pPr>
      <w:rPr>
        <w:rFonts w:cs="Times New Roman"/>
      </w:rPr>
    </w:lvl>
    <w:lvl w:ilvl="2" w:tplc="0405001B" w:tentative="1">
      <w:start w:val="1"/>
      <w:numFmt w:val="lowerRoman"/>
      <w:lvlText w:val="%3."/>
      <w:lvlJc w:val="right"/>
      <w:pPr>
        <w:ind w:left="1845" w:hanging="180"/>
      </w:pPr>
      <w:rPr>
        <w:rFonts w:cs="Times New Roman"/>
      </w:rPr>
    </w:lvl>
    <w:lvl w:ilvl="3" w:tplc="0405000F" w:tentative="1">
      <w:start w:val="1"/>
      <w:numFmt w:val="decimal"/>
      <w:lvlText w:val="%4."/>
      <w:lvlJc w:val="left"/>
      <w:pPr>
        <w:ind w:left="2565" w:hanging="360"/>
      </w:pPr>
      <w:rPr>
        <w:rFonts w:cs="Times New Roman"/>
      </w:rPr>
    </w:lvl>
    <w:lvl w:ilvl="4" w:tplc="04050019" w:tentative="1">
      <w:start w:val="1"/>
      <w:numFmt w:val="lowerLetter"/>
      <w:lvlText w:val="%5."/>
      <w:lvlJc w:val="left"/>
      <w:pPr>
        <w:ind w:left="3285" w:hanging="360"/>
      </w:pPr>
      <w:rPr>
        <w:rFonts w:cs="Times New Roman"/>
      </w:rPr>
    </w:lvl>
    <w:lvl w:ilvl="5" w:tplc="0405001B" w:tentative="1">
      <w:start w:val="1"/>
      <w:numFmt w:val="lowerRoman"/>
      <w:lvlText w:val="%6."/>
      <w:lvlJc w:val="right"/>
      <w:pPr>
        <w:ind w:left="4005" w:hanging="180"/>
      </w:pPr>
      <w:rPr>
        <w:rFonts w:cs="Times New Roman"/>
      </w:rPr>
    </w:lvl>
    <w:lvl w:ilvl="6" w:tplc="0405000F" w:tentative="1">
      <w:start w:val="1"/>
      <w:numFmt w:val="decimal"/>
      <w:lvlText w:val="%7."/>
      <w:lvlJc w:val="left"/>
      <w:pPr>
        <w:ind w:left="4725" w:hanging="360"/>
      </w:pPr>
      <w:rPr>
        <w:rFonts w:cs="Times New Roman"/>
      </w:rPr>
    </w:lvl>
    <w:lvl w:ilvl="7" w:tplc="04050019" w:tentative="1">
      <w:start w:val="1"/>
      <w:numFmt w:val="lowerLetter"/>
      <w:lvlText w:val="%8."/>
      <w:lvlJc w:val="left"/>
      <w:pPr>
        <w:ind w:left="5445" w:hanging="360"/>
      </w:pPr>
      <w:rPr>
        <w:rFonts w:cs="Times New Roman"/>
      </w:rPr>
    </w:lvl>
    <w:lvl w:ilvl="8" w:tplc="0405001B" w:tentative="1">
      <w:start w:val="1"/>
      <w:numFmt w:val="lowerRoman"/>
      <w:lvlText w:val="%9."/>
      <w:lvlJc w:val="right"/>
      <w:pPr>
        <w:ind w:left="6165" w:hanging="180"/>
      </w:pPr>
      <w:rPr>
        <w:rFonts w:cs="Times New Roman"/>
      </w:rPr>
    </w:lvl>
  </w:abstractNum>
  <w:abstractNum w:abstractNumId="32">
    <w:nsid w:val="489B2DD2"/>
    <w:multiLevelType w:val="hybridMultilevel"/>
    <w:tmpl w:val="012EB0AE"/>
    <w:lvl w:ilvl="0" w:tplc="08090005">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3">
    <w:nsid w:val="49A15D4D"/>
    <w:multiLevelType w:val="hybridMultilevel"/>
    <w:tmpl w:val="4D86A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9F908AC"/>
    <w:multiLevelType w:val="multilevel"/>
    <w:tmpl w:val="E16EF2DA"/>
    <w:lvl w:ilvl="0">
      <w:start w:val="1"/>
      <w:numFmt w:val="decimal"/>
      <w:lvlText w:val="%1."/>
      <w:lvlJc w:val="left"/>
      <w:pPr>
        <w:ind w:left="390" w:hanging="390"/>
      </w:pPr>
      <w:rPr>
        <w:rFonts w:hint="default"/>
      </w:rPr>
    </w:lvl>
    <w:lvl w:ilvl="1">
      <w:start w:val="1"/>
      <w:numFmt w:val="decimal"/>
      <w:lvlText w:val="%1.%2."/>
      <w:lvlJc w:val="left"/>
      <w:pPr>
        <w:ind w:left="30" w:hanging="39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35">
    <w:nsid w:val="4D68491B"/>
    <w:multiLevelType w:val="hybridMultilevel"/>
    <w:tmpl w:val="C0F29D50"/>
    <w:lvl w:ilvl="0" w:tplc="12D0FB5C">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4E7E0C9E"/>
    <w:multiLevelType w:val="hybridMultilevel"/>
    <w:tmpl w:val="DD0220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4EB82A20"/>
    <w:multiLevelType w:val="hybridMultilevel"/>
    <w:tmpl w:val="744E54D4"/>
    <w:lvl w:ilvl="0" w:tplc="08090005">
      <w:start w:val="1"/>
      <w:numFmt w:val="bullet"/>
      <w:lvlText w:val=""/>
      <w:lvlJc w:val="left"/>
      <w:pPr>
        <w:ind w:left="862" w:hanging="360"/>
      </w:pPr>
      <w:rPr>
        <w:rFonts w:ascii="Wingdings" w:hAnsi="Wingdings" w:cs="Wingdings" w:hint="default"/>
      </w:rPr>
    </w:lvl>
    <w:lvl w:ilvl="1" w:tplc="08090003">
      <w:start w:val="1"/>
      <w:numFmt w:val="bullet"/>
      <w:lvlText w:val="o"/>
      <w:lvlJc w:val="left"/>
      <w:pPr>
        <w:ind w:left="1582" w:hanging="360"/>
      </w:pPr>
      <w:rPr>
        <w:rFonts w:ascii="Courier New" w:hAnsi="Courier New" w:cs="Courier New" w:hint="default"/>
      </w:rPr>
    </w:lvl>
    <w:lvl w:ilvl="2" w:tplc="08090005">
      <w:start w:val="1"/>
      <w:numFmt w:val="bullet"/>
      <w:lvlText w:val=""/>
      <w:lvlJc w:val="left"/>
      <w:pPr>
        <w:ind w:left="2302" w:hanging="360"/>
      </w:pPr>
      <w:rPr>
        <w:rFonts w:ascii="Wingdings" w:hAnsi="Wingdings" w:cs="Wingdings" w:hint="default"/>
      </w:rPr>
    </w:lvl>
    <w:lvl w:ilvl="3" w:tplc="08090001">
      <w:start w:val="1"/>
      <w:numFmt w:val="bullet"/>
      <w:lvlText w:val=""/>
      <w:lvlJc w:val="left"/>
      <w:pPr>
        <w:ind w:left="3022" w:hanging="360"/>
      </w:pPr>
      <w:rPr>
        <w:rFonts w:ascii="Symbol" w:hAnsi="Symbol" w:cs="Symbol" w:hint="default"/>
      </w:rPr>
    </w:lvl>
    <w:lvl w:ilvl="4" w:tplc="08090003">
      <w:start w:val="1"/>
      <w:numFmt w:val="bullet"/>
      <w:lvlText w:val="o"/>
      <w:lvlJc w:val="left"/>
      <w:pPr>
        <w:ind w:left="3742" w:hanging="360"/>
      </w:pPr>
      <w:rPr>
        <w:rFonts w:ascii="Courier New" w:hAnsi="Courier New" w:cs="Courier New" w:hint="default"/>
      </w:rPr>
    </w:lvl>
    <w:lvl w:ilvl="5" w:tplc="08090005">
      <w:start w:val="1"/>
      <w:numFmt w:val="bullet"/>
      <w:lvlText w:val=""/>
      <w:lvlJc w:val="left"/>
      <w:pPr>
        <w:ind w:left="4462" w:hanging="360"/>
      </w:pPr>
      <w:rPr>
        <w:rFonts w:ascii="Wingdings" w:hAnsi="Wingdings" w:cs="Wingdings" w:hint="default"/>
      </w:rPr>
    </w:lvl>
    <w:lvl w:ilvl="6" w:tplc="08090001">
      <w:start w:val="1"/>
      <w:numFmt w:val="bullet"/>
      <w:lvlText w:val=""/>
      <w:lvlJc w:val="left"/>
      <w:pPr>
        <w:ind w:left="5182" w:hanging="360"/>
      </w:pPr>
      <w:rPr>
        <w:rFonts w:ascii="Symbol" w:hAnsi="Symbol" w:cs="Symbol" w:hint="default"/>
      </w:rPr>
    </w:lvl>
    <w:lvl w:ilvl="7" w:tplc="08090003">
      <w:start w:val="1"/>
      <w:numFmt w:val="bullet"/>
      <w:lvlText w:val="o"/>
      <w:lvlJc w:val="left"/>
      <w:pPr>
        <w:ind w:left="5902" w:hanging="360"/>
      </w:pPr>
      <w:rPr>
        <w:rFonts w:ascii="Courier New" w:hAnsi="Courier New" w:cs="Courier New" w:hint="default"/>
      </w:rPr>
    </w:lvl>
    <w:lvl w:ilvl="8" w:tplc="08090005">
      <w:start w:val="1"/>
      <w:numFmt w:val="bullet"/>
      <w:lvlText w:val=""/>
      <w:lvlJc w:val="left"/>
      <w:pPr>
        <w:ind w:left="6622" w:hanging="360"/>
      </w:pPr>
      <w:rPr>
        <w:rFonts w:ascii="Wingdings" w:hAnsi="Wingdings" w:cs="Wingdings" w:hint="default"/>
      </w:rPr>
    </w:lvl>
  </w:abstractNum>
  <w:abstractNum w:abstractNumId="38">
    <w:nsid w:val="54FC17C7"/>
    <w:multiLevelType w:val="hybridMultilevel"/>
    <w:tmpl w:val="C8CA7228"/>
    <w:lvl w:ilvl="0" w:tplc="8DC65ED0">
      <w:start w:val="1"/>
      <w:numFmt w:val="bullet"/>
      <w:lvlText w:val=""/>
      <w:lvlJc w:val="left"/>
      <w:pPr>
        <w:ind w:left="720" w:hanging="360"/>
      </w:pPr>
      <w:rPr>
        <w:rFonts w:ascii="Wingdings" w:hAnsi="Wingdings" w:hint="default"/>
      </w:rPr>
    </w:lvl>
    <w:lvl w:ilvl="1" w:tplc="DC624C30" w:tentative="1">
      <w:start w:val="1"/>
      <w:numFmt w:val="bullet"/>
      <w:lvlText w:val="o"/>
      <w:lvlJc w:val="left"/>
      <w:pPr>
        <w:ind w:left="1440" w:hanging="360"/>
      </w:pPr>
      <w:rPr>
        <w:rFonts w:ascii="Courier New" w:hAnsi="Courier New" w:hint="default"/>
      </w:rPr>
    </w:lvl>
    <w:lvl w:ilvl="2" w:tplc="49ACE1E6" w:tentative="1">
      <w:start w:val="1"/>
      <w:numFmt w:val="bullet"/>
      <w:lvlText w:val=""/>
      <w:lvlJc w:val="left"/>
      <w:pPr>
        <w:ind w:left="2160" w:hanging="360"/>
      </w:pPr>
      <w:rPr>
        <w:rFonts w:ascii="Wingdings" w:hAnsi="Wingdings" w:hint="default"/>
      </w:rPr>
    </w:lvl>
    <w:lvl w:ilvl="3" w:tplc="EC02C5AA" w:tentative="1">
      <w:start w:val="1"/>
      <w:numFmt w:val="bullet"/>
      <w:lvlText w:val=""/>
      <w:lvlJc w:val="left"/>
      <w:pPr>
        <w:ind w:left="2880" w:hanging="360"/>
      </w:pPr>
      <w:rPr>
        <w:rFonts w:ascii="Symbol" w:hAnsi="Symbol" w:hint="default"/>
      </w:rPr>
    </w:lvl>
    <w:lvl w:ilvl="4" w:tplc="B5E210D8" w:tentative="1">
      <w:start w:val="1"/>
      <w:numFmt w:val="bullet"/>
      <w:lvlText w:val="o"/>
      <w:lvlJc w:val="left"/>
      <w:pPr>
        <w:ind w:left="3600" w:hanging="360"/>
      </w:pPr>
      <w:rPr>
        <w:rFonts w:ascii="Courier New" w:hAnsi="Courier New" w:hint="default"/>
      </w:rPr>
    </w:lvl>
    <w:lvl w:ilvl="5" w:tplc="A4CEE5E4" w:tentative="1">
      <w:start w:val="1"/>
      <w:numFmt w:val="bullet"/>
      <w:lvlText w:val=""/>
      <w:lvlJc w:val="left"/>
      <w:pPr>
        <w:ind w:left="4320" w:hanging="360"/>
      </w:pPr>
      <w:rPr>
        <w:rFonts w:ascii="Wingdings" w:hAnsi="Wingdings" w:hint="default"/>
      </w:rPr>
    </w:lvl>
    <w:lvl w:ilvl="6" w:tplc="E6F01072" w:tentative="1">
      <w:start w:val="1"/>
      <w:numFmt w:val="bullet"/>
      <w:lvlText w:val=""/>
      <w:lvlJc w:val="left"/>
      <w:pPr>
        <w:ind w:left="5040" w:hanging="360"/>
      </w:pPr>
      <w:rPr>
        <w:rFonts w:ascii="Symbol" w:hAnsi="Symbol" w:hint="default"/>
      </w:rPr>
    </w:lvl>
    <w:lvl w:ilvl="7" w:tplc="5FFA7AA6" w:tentative="1">
      <w:start w:val="1"/>
      <w:numFmt w:val="bullet"/>
      <w:lvlText w:val="o"/>
      <w:lvlJc w:val="left"/>
      <w:pPr>
        <w:ind w:left="5760" w:hanging="360"/>
      </w:pPr>
      <w:rPr>
        <w:rFonts w:ascii="Courier New" w:hAnsi="Courier New" w:hint="default"/>
      </w:rPr>
    </w:lvl>
    <w:lvl w:ilvl="8" w:tplc="A49C9CF2" w:tentative="1">
      <w:start w:val="1"/>
      <w:numFmt w:val="bullet"/>
      <w:lvlText w:val=""/>
      <w:lvlJc w:val="left"/>
      <w:pPr>
        <w:ind w:left="6480" w:hanging="360"/>
      </w:pPr>
      <w:rPr>
        <w:rFonts w:ascii="Wingdings" w:hAnsi="Wingdings" w:hint="default"/>
      </w:rPr>
    </w:lvl>
  </w:abstractNum>
  <w:abstractNum w:abstractNumId="39">
    <w:nsid w:val="584C25C6"/>
    <w:multiLevelType w:val="hybridMultilevel"/>
    <w:tmpl w:val="0AD4A4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8A62E6D"/>
    <w:multiLevelType w:val="hybridMultilevel"/>
    <w:tmpl w:val="A68E34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9D04896"/>
    <w:multiLevelType w:val="hybridMultilevel"/>
    <w:tmpl w:val="7B8412F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2">
    <w:nsid w:val="5CB71BE3"/>
    <w:multiLevelType w:val="multilevel"/>
    <w:tmpl w:val="75024872"/>
    <w:lvl w:ilvl="0">
      <w:start w:val="1"/>
      <w:numFmt w:val="decimal"/>
      <w:lvlText w:val="%1."/>
      <w:lvlJc w:val="left"/>
      <w:pPr>
        <w:ind w:left="360" w:hanging="360"/>
      </w:pPr>
      <w:rPr>
        <w:rFonts w:hint="default"/>
      </w:rPr>
    </w:lvl>
    <w:lvl w:ilvl="1">
      <w:start w:val="2"/>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nsid w:val="5F503FE7"/>
    <w:multiLevelType w:val="hybridMultilevel"/>
    <w:tmpl w:val="65387ED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nsid w:val="616117CB"/>
    <w:multiLevelType w:val="hybridMultilevel"/>
    <w:tmpl w:val="88D25394"/>
    <w:lvl w:ilvl="0" w:tplc="55343B2C">
      <w:numFmt w:val="bullet"/>
      <w:lvlText w:val="-"/>
      <w:lvlJc w:val="left"/>
      <w:pPr>
        <w:ind w:left="644" w:hanging="360"/>
      </w:pPr>
      <w:rPr>
        <w:rFonts w:ascii="Calibri" w:eastAsia="Times New Roman" w:hAnsi="Calibri"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5">
    <w:nsid w:val="624302B4"/>
    <w:multiLevelType w:val="hybridMultilevel"/>
    <w:tmpl w:val="4028B700"/>
    <w:lvl w:ilvl="0" w:tplc="2226600C">
      <w:start w:val="1"/>
      <w:numFmt w:val="low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nsid w:val="64AE399B"/>
    <w:multiLevelType w:val="hybridMultilevel"/>
    <w:tmpl w:val="6BF639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6575173D"/>
    <w:multiLevelType w:val="hybridMultilevel"/>
    <w:tmpl w:val="98ACA728"/>
    <w:lvl w:ilvl="0" w:tplc="033EE34C">
      <w:start w:val="1"/>
      <w:numFmt w:val="lowerRoman"/>
      <w:lvlText w:val="(%1)"/>
      <w:lvlJc w:val="left"/>
      <w:pPr>
        <w:ind w:left="1364" w:hanging="720"/>
      </w:pPr>
      <w:rPr>
        <w:rFonts w:cs="Times New Roman" w:hint="default"/>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48">
    <w:nsid w:val="657A429C"/>
    <w:multiLevelType w:val="hybridMultilevel"/>
    <w:tmpl w:val="C0A864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684B6419"/>
    <w:multiLevelType w:val="hybridMultilevel"/>
    <w:tmpl w:val="0B9A8316"/>
    <w:lvl w:ilvl="0" w:tplc="F0BC266E">
      <w:start w:val="1"/>
      <w:numFmt w:val="bullet"/>
      <w:pStyle w:val="Odrky"/>
      <w:lvlText w:val=""/>
      <w:lvlJc w:val="left"/>
      <w:pPr>
        <w:tabs>
          <w:tab w:val="num" w:pos="397"/>
        </w:tabs>
        <w:ind w:left="397" w:hanging="397"/>
      </w:pPr>
      <w:rPr>
        <w:rFonts w:ascii="Symbol" w:hAnsi="Symbol" w:hint="default"/>
      </w:rPr>
    </w:lvl>
    <w:lvl w:ilvl="1" w:tplc="9F90FF9A">
      <w:numFmt w:val="bullet"/>
      <w:lvlText w:val="•"/>
      <w:lvlJc w:val="left"/>
      <w:pPr>
        <w:ind w:left="1785" w:hanging="705"/>
      </w:pPr>
      <w:rPr>
        <w:rFonts w:ascii="Times New Roman" w:eastAsia="Times New Roman" w:hAnsi="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0">
    <w:nsid w:val="6A5B6E0C"/>
    <w:multiLevelType w:val="hybridMultilevel"/>
    <w:tmpl w:val="F8D6E528"/>
    <w:lvl w:ilvl="0" w:tplc="E5A6BF8C">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nsid w:val="6B0C7F78"/>
    <w:multiLevelType w:val="hybridMultilevel"/>
    <w:tmpl w:val="CC8EF8EC"/>
    <w:lvl w:ilvl="0" w:tplc="08090003">
      <w:start w:val="1"/>
      <w:numFmt w:val="bullet"/>
      <w:lvlText w:val="o"/>
      <w:lvlJc w:val="left"/>
      <w:pPr>
        <w:ind w:left="1222" w:hanging="360"/>
      </w:pPr>
      <w:rPr>
        <w:rFonts w:ascii="Courier New" w:hAnsi="Courier New" w:cs="Courier New" w:hint="default"/>
      </w:rPr>
    </w:lvl>
    <w:lvl w:ilvl="1" w:tplc="08090003">
      <w:start w:val="1"/>
      <w:numFmt w:val="bullet"/>
      <w:lvlText w:val="o"/>
      <w:lvlJc w:val="left"/>
      <w:pPr>
        <w:ind w:left="1942" w:hanging="360"/>
      </w:pPr>
      <w:rPr>
        <w:rFonts w:ascii="Courier New" w:hAnsi="Courier New" w:cs="Courier New" w:hint="default"/>
      </w:rPr>
    </w:lvl>
    <w:lvl w:ilvl="2" w:tplc="08090005">
      <w:start w:val="1"/>
      <w:numFmt w:val="bullet"/>
      <w:lvlText w:val=""/>
      <w:lvlJc w:val="left"/>
      <w:pPr>
        <w:ind w:left="2662" w:hanging="360"/>
      </w:pPr>
      <w:rPr>
        <w:rFonts w:ascii="Wingdings" w:hAnsi="Wingdings" w:cs="Wingdings" w:hint="default"/>
      </w:rPr>
    </w:lvl>
    <w:lvl w:ilvl="3" w:tplc="08090001">
      <w:start w:val="1"/>
      <w:numFmt w:val="bullet"/>
      <w:lvlText w:val=""/>
      <w:lvlJc w:val="left"/>
      <w:pPr>
        <w:ind w:left="3382" w:hanging="360"/>
      </w:pPr>
      <w:rPr>
        <w:rFonts w:ascii="Symbol" w:hAnsi="Symbol" w:cs="Symbol" w:hint="default"/>
      </w:rPr>
    </w:lvl>
    <w:lvl w:ilvl="4" w:tplc="08090003">
      <w:start w:val="1"/>
      <w:numFmt w:val="bullet"/>
      <w:lvlText w:val="o"/>
      <w:lvlJc w:val="left"/>
      <w:pPr>
        <w:ind w:left="4102" w:hanging="360"/>
      </w:pPr>
      <w:rPr>
        <w:rFonts w:ascii="Courier New" w:hAnsi="Courier New" w:cs="Courier New" w:hint="default"/>
      </w:rPr>
    </w:lvl>
    <w:lvl w:ilvl="5" w:tplc="08090005">
      <w:start w:val="1"/>
      <w:numFmt w:val="bullet"/>
      <w:lvlText w:val=""/>
      <w:lvlJc w:val="left"/>
      <w:pPr>
        <w:ind w:left="4822" w:hanging="360"/>
      </w:pPr>
      <w:rPr>
        <w:rFonts w:ascii="Wingdings" w:hAnsi="Wingdings" w:cs="Wingdings" w:hint="default"/>
      </w:rPr>
    </w:lvl>
    <w:lvl w:ilvl="6" w:tplc="08090001">
      <w:start w:val="1"/>
      <w:numFmt w:val="bullet"/>
      <w:lvlText w:val=""/>
      <w:lvlJc w:val="left"/>
      <w:pPr>
        <w:ind w:left="5542" w:hanging="360"/>
      </w:pPr>
      <w:rPr>
        <w:rFonts w:ascii="Symbol" w:hAnsi="Symbol" w:cs="Symbol" w:hint="default"/>
      </w:rPr>
    </w:lvl>
    <w:lvl w:ilvl="7" w:tplc="08090003">
      <w:start w:val="1"/>
      <w:numFmt w:val="bullet"/>
      <w:lvlText w:val="o"/>
      <w:lvlJc w:val="left"/>
      <w:pPr>
        <w:ind w:left="6262" w:hanging="360"/>
      </w:pPr>
      <w:rPr>
        <w:rFonts w:ascii="Courier New" w:hAnsi="Courier New" w:cs="Courier New" w:hint="default"/>
      </w:rPr>
    </w:lvl>
    <w:lvl w:ilvl="8" w:tplc="08090005">
      <w:start w:val="1"/>
      <w:numFmt w:val="bullet"/>
      <w:lvlText w:val=""/>
      <w:lvlJc w:val="left"/>
      <w:pPr>
        <w:ind w:left="6982" w:hanging="360"/>
      </w:pPr>
      <w:rPr>
        <w:rFonts w:ascii="Wingdings" w:hAnsi="Wingdings" w:cs="Wingdings" w:hint="default"/>
      </w:rPr>
    </w:lvl>
  </w:abstractNum>
  <w:abstractNum w:abstractNumId="52">
    <w:nsid w:val="6B4F117C"/>
    <w:multiLevelType w:val="hybridMultilevel"/>
    <w:tmpl w:val="D8BE8F2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3">
    <w:nsid w:val="6BF740E1"/>
    <w:multiLevelType w:val="hybridMultilevel"/>
    <w:tmpl w:val="DE422BDA"/>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6D24582A"/>
    <w:multiLevelType w:val="hybridMultilevel"/>
    <w:tmpl w:val="0C8E174E"/>
    <w:lvl w:ilvl="0" w:tplc="DA3E10F8">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6E7A0193"/>
    <w:multiLevelType w:val="multilevel"/>
    <w:tmpl w:val="E5C8AA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nsid w:val="71161F49"/>
    <w:multiLevelType w:val="hybridMultilevel"/>
    <w:tmpl w:val="8712495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74C02E77"/>
    <w:multiLevelType w:val="hybridMultilevel"/>
    <w:tmpl w:val="AD38B474"/>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8">
    <w:nsid w:val="768D5B70"/>
    <w:multiLevelType w:val="hybridMultilevel"/>
    <w:tmpl w:val="8D206CF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7A684AE4"/>
    <w:multiLevelType w:val="hybridMultilevel"/>
    <w:tmpl w:val="8548C322"/>
    <w:lvl w:ilvl="0" w:tplc="9C969FC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nsid w:val="7DC36EAC"/>
    <w:multiLevelType w:val="hybridMultilevel"/>
    <w:tmpl w:val="8514BF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38"/>
  </w:num>
  <w:num w:numId="3">
    <w:abstractNumId w:val="48"/>
  </w:num>
  <w:num w:numId="4">
    <w:abstractNumId w:val="18"/>
  </w:num>
  <w:num w:numId="5">
    <w:abstractNumId w:val="21"/>
  </w:num>
  <w:num w:numId="6">
    <w:abstractNumId w:val="10"/>
  </w:num>
  <w:num w:numId="7">
    <w:abstractNumId w:val="41"/>
  </w:num>
  <w:num w:numId="8">
    <w:abstractNumId w:val="14"/>
  </w:num>
  <w:num w:numId="9">
    <w:abstractNumId w:val="50"/>
  </w:num>
  <w:num w:numId="10">
    <w:abstractNumId w:val="37"/>
  </w:num>
  <w:num w:numId="11">
    <w:abstractNumId w:val="32"/>
  </w:num>
  <w:num w:numId="12">
    <w:abstractNumId w:val="9"/>
  </w:num>
  <w:num w:numId="13">
    <w:abstractNumId w:val="51"/>
  </w:num>
  <w:num w:numId="14">
    <w:abstractNumId w:val="57"/>
  </w:num>
  <w:num w:numId="15">
    <w:abstractNumId w:val="13"/>
  </w:num>
  <w:num w:numId="16">
    <w:abstractNumId w:val="16"/>
  </w:num>
  <w:num w:numId="17">
    <w:abstractNumId w:val="4"/>
  </w:num>
  <w:num w:numId="18">
    <w:abstractNumId w:val="60"/>
  </w:num>
  <w:num w:numId="19">
    <w:abstractNumId w:val="29"/>
  </w:num>
  <w:num w:numId="20">
    <w:abstractNumId w:val="28"/>
  </w:num>
  <w:num w:numId="21">
    <w:abstractNumId w:val="33"/>
  </w:num>
  <w:num w:numId="22">
    <w:abstractNumId w:val="55"/>
  </w:num>
  <w:num w:numId="23">
    <w:abstractNumId w:val="58"/>
  </w:num>
  <w:num w:numId="24">
    <w:abstractNumId w:val="11"/>
  </w:num>
  <w:num w:numId="25">
    <w:abstractNumId w:val="19"/>
  </w:num>
  <w:num w:numId="26">
    <w:abstractNumId w:val="24"/>
  </w:num>
  <w:num w:numId="27">
    <w:abstractNumId w:val="44"/>
  </w:num>
  <w:num w:numId="28">
    <w:abstractNumId w:val="17"/>
  </w:num>
  <w:num w:numId="29">
    <w:abstractNumId w:val="47"/>
  </w:num>
  <w:num w:numId="30">
    <w:abstractNumId w:val="45"/>
  </w:num>
  <w:num w:numId="31">
    <w:abstractNumId w:val="31"/>
  </w:num>
  <w:num w:numId="32">
    <w:abstractNumId w:val="42"/>
  </w:num>
  <w:num w:numId="33">
    <w:abstractNumId w:val="36"/>
  </w:num>
  <w:num w:numId="34">
    <w:abstractNumId w:val="35"/>
  </w:num>
  <w:num w:numId="35">
    <w:abstractNumId w:val="3"/>
  </w:num>
  <w:num w:numId="36">
    <w:abstractNumId w:val="0"/>
  </w:num>
  <w:num w:numId="37">
    <w:abstractNumId w:val="54"/>
  </w:num>
  <w:num w:numId="38">
    <w:abstractNumId w:val="2"/>
  </w:num>
  <w:num w:numId="39">
    <w:abstractNumId w:val="53"/>
  </w:num>
  <w:num w:numId="40">
    <w:abstractNumId w:val="56"/>
  </w:num>
  <w:num w:numId="41">
    <w:abstractNumId w:val="26"/>
  </w:num>
  <w:num w:numId="42">
    <w:abstractNumId w:val="49"/>
  </w:num>
  <w:num w:numId="43">
    <w:abstractNumId w:val="25"/>
  </w:num>
  <w:num w:numId="44">
    <w:abstractNumId w:val="1"/>
  </w:num>
  <w:num w:numId="45">
    <w:abstractNumId w:val="5"/>
  </w:num>
  <w:num w:numId="46">
    <w:abstractNumId w:val="7"/>
  </w:num>
  <w:num w:numId="47">
    <w:abstractNumId w:val="39"/>
  </w:num>
  <w:num w:numId="48">
    <w:abstractNumId w:val="59"/>
  </w:num>
  <w:num w:numId="49">
    <w:abstractNumId w:val="8"/>
  </w:num>
  <w:num w:numId="50">
    <w:abstractNumId w:val="15"/>
  </w:num>
  <w:num w:numId="51">
    <w:abstractNumId w:val="6"/>
  </w:num>
  <w:num w:numId="52">
    <w:abstractNumId w:val="34"/>
  </w:num>
  <w:num w:numId="53">
    <w:abstractNumId w:val="27"/>
  </w:num>
  <w:num w:numId="54">
    <w:abstractNumId w:val="30"/>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6"/>
  </w:num>
  <w:num w:numId="59">
    <w:abstractNumId w:val="21"/>
  </w:num>
  <w:num w:numId="60">
    <w:abstractNumId w:val="10"/>
  </w:num>
  <w:num w:numId="61">
    <w:abstractNumId w:val="41"/>
  </w:num>
  <w:num w:numId="62">
    <w:abstractNumId w:val="14"/>
  </w:num>
  <w:num w:numId="63">
    <w:abstractNumId w:val="19"/>
  </w:num>
  <w:num w:numId="64">
    <w:abstractNumId w:val="12"/>
  </w:num>
  <w:num w:numId="65">
    <w:abstractNumId w:val="22"/>
  </w:num>
  <w:num w:numId="66">
    <w:abstractNumId w:val="40"/>
  </w:num>
  <w:num w:numId="67">
    <w:abstractNumId w:val="23"/>
  </w:num>
  <w:num w:numId="68">
    <w:abstractNumId w:val="43"/>
  </w:num>
  <w:num w:numId="69">
    <w:abstractNumId w:val="5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B16"/>
    <w:rsid w:val="0000552A"/>
    <w:rsid w:val="00013039"/>
    <w:rsid w:val="00016E40"/>
    <w:rsid w:val="000224D8"/>
    <w:rsid w:val="000261CF"/>
    <w:rsid w:val="00041F31"/>
    <w:rsid w:val="00043052"/>
    <w:rsid w:val="00044DC2"/>
    <w:rsid w:val="00062F25"/>
    <w:rsid w:val="00064922"/>
    <w:rsid w:val="00072C06"/>
    <w:rsid w:val="0008048C"/>
    <w:rsid w:val="000834F6"/>
    <w:rsid w:val="000862A9"/>
    <w:rsid w:val="00086ED7"/>
    <w:rsid w:val="00091D0B"/>
    <w:rsid w:val="00094BF4"/>
    <w:rsid w:val="000968A9"/>
    <w:rsid w:val="00097403"/>
    <w:rsid w:val="000B03D0"/>
    <w:rsid w:val="000B48A7"/>
    <w:rsid w:val="000D2022"/>
    <w:rsid w:val="000D30C7"/>
    <w:rsid w:val="000F4B16"/>
    <w:rsid w:val="001060DD"/>
    <w:rsid w:val="00117A9B"/>
    <w:rsid w:val="00122D08"/>
    <w:rsid w:val="001259CB"/>
    <w:rsid w:val="00132281"/>
    <w:rsid w:val="001407EC"/>
    <w:rsid w:val="00165E59"/>
    <w:rsid w:val="0018177E"/>
    <w:rsid w:val="001934B8"/>
    <w:rsid w:val="00196EC2"/>
    <w:rsid w:val="00197F3F"/>
    <w:rsid w:val="001A192E"/>
    <w:rsid w:val="001D2A73"/>
    <w:rsid w:val="00200A96"/>
    <w:rsid w:val="0020297F"/>
    <w:rsid w:val="00206F89"/>
    <w:rsid w:val="00220D14"/>
    <w:rsid w:val="00235340"/>
    <w:rsid w:val="0023658B"/>
    <w:rsid w:val="002368E9"/>
    <w:rsid w:val="0024118A"/>
    <w:rsid w:val="00247FC8"/>
    <w:rsid w:val="00250501"/>
    <w:rsid w:val="002541B2"/>
    <w:rsid w:val="00262734"/>
    <w:rsid w:val="00272937"/>
    <w:rsid w:val="00273279"/>
    <w:rsid w:val="0028592D"/>
    <w:rsid w:val="002A1CA3"/>
    <w:rsid w:val="002B4C54"/>
    <w:rsid w:val="002D0748"/>
    <w:rsid w:val="003007FA"/>
    <w:rsid w:val="00307A39"/>
    <w:rsid w:val="00316B95"/>
    <w:rsid w:val="00326C49"/>
    <w:rsid w:val="00340FD2"/>
    <w:rsid w:val="0036244F"/>
    <w:rsid w:val="00362583"/>
    <w:rsid w:val="0036452E"/>
    <w:rsid w:val="00365584"/>
    <w:rsid w:val="003721F8"/>
    <w:rsid w:val="00374195"/>
    <w:rsid w:val="00380A1D"/>
    <w:rsid w:val="00385F8C"/>
    <w:rsid w:val="0038643A"/>
    <w:rsid w:val="00393768"/>
    <w:rsid w:val="003A28CD"/>
    <w:rsid w:val="003A387B"/>
    <w:rsid w:val="003A3EBA"/>
    <w:rsid w:val="003B3824"/>
    <w:rsid w:val="003B7FF3"/>
    <w:rsid w:val="003C1122"/>
    <w:rsid w:val="003C3E9F"/>
    <w:rsid w:val="003D4350"/>
    <w:rsid w:val="003D72F3"/>
    <w:rsid w:val="003E70B1"/>
    <w:rsid w:val="003F5AD0"/>
    <w:rsid w:val="00400236"/>
    <w:rsid w:val="0040193B"/>
    <w:rsid w:val="00403BFF"/>
    <w:rsid w:val="00405449"/>
    <w:rsid w:val="00412654"/>
    <w:rsid w:val="00414C84"/>
    <w:rsid w:val="00415224"/>
    <w:rsid w:val="0041758F"/>
    <w:rsid w:val="00432B75"/>
    <w:rsid w:val="00452A99"/>
    <w:rsid w:val="004564A3"/>
    <w:rsid w:val="004575DA"/>
    <w:rsid w:val="00464549"/>
    <w:rsid w:val="0047011B"/>
    <w:rsid w:val="0047219B"/>
    <w:rsid w:val="004747CA"/>
    <w:rsid w:val="00493B93"/>
    <w:rsid w:val="004A6A56"/>
    <w:rsid w:val="004D4652"/>
    <w:rsid w:val="004D7065"/>
    <w:rsid w:val="004E020E"/>
    <w:rsid w:val="004E15C5"/>
    <w:rsid w:val="004E3FFF"/>
    <w:rsid w:val="004F26C6"/>
    <w:rsid w:val="00500C59"/>
    <w:rsid w:val="00505BEC"/>
    <w:rsid w:val="005114FD"/>
    <w:rsid w:val="00514EDC"/>
    <w:rsid w:val="00516F83"/>
    <w:rsid w:val="00525001"/>
    <w:rsid w:val="0055613B"/>
    <w:rsid w:val="00556140"/>
    <w:rsid w:val="00557FFB"/>
    <w:rsid w:val="005935BA"/>
    <w:rsid w:val="0059423B"/>
    <w:rsid w:val="005A36BF"/>
    <w:rsid w:val="005A64E1"/>
    <w:rsid w:val="005B3A61"/>
    <w:rsid w:val="005B54E0"/>
    <w:rsid w:val="005B63B2"/>
    <w:rsid w:val="005C4C5A"/>
    <w:rsid w:val="005C6743"/>
    <w:rsid w:val="005D1091"/>
    <w:rsid w:val="005D7EE2"/>
    <w:rsid w:val="005E7867"/>
    <w:rsid w:val="005F0D29"/>
    <w:rsid w:val="005F1DE0"/>
    <w:rsid w:val="005F4BE6"/>
    <w:rsid w:val="005F7B1E"/>
    <w:rsid w:val="00600076"/>
    <w:rsid w:val="00602DA2"/>
    <w:rsid w:val="00612253"/>
    <w:rsid w:val="00612735"/>
    <w:rsid w:val="00613115"/>
    <w:rsid w:val="00617C33"/>
    <w:rsid w:val="00620F37"/>
    <w:rsid w:val="00627098"/>
    <w:rsid w:val="00641CF6"/>
    <w:rsid w:val="006442FB"/>
    <w:rsid w:val="00653A0C"/>
    <w:rsid w:val="00653FDD"/>
    <w:rsid w:val="00656D79"/>
    <w:rsid w:val="00670D20"/>
    <w:rsid w:val="006718EF"/>
    <w:rsid w:val="006739AC"/>
    <w:rsid w:val="00676789"/>
    <w:rsid w:val="0069053C"/>
    <w:rsid w:val="0069648F"/>
    <w:rsid w:val="006A4C5C"/>
    <w:rsid w:val="006A56DB"/>
    <w:rsid w:val="006B2AA7"/>
    <w:rsid w:val="006B580A"/>
    <w:rsid w:val="006B60F6"/>
    <w:rsid w:val="006D00D4"/>
    <w:rsid w:val="006D10BF"/>
    <w:rsid w:val="006D1AED"/>
    <w:rsid w:val="006D6F43"/>
    <w:rsid w:val="006E55C0"/>
    <w:rsid w:val="006E6B3F"/>
    <w:rsid w:val="006F69A4"/>
    <w:rsid w:val="007040CE"/>
    <w:rsid w:val="00705A45"/>
    <w:rsid w:val="00723D60"/>
    <w:rsid w:val="00725823"/>
    <w:rsid w:val="0075489E"/>
    <w:rsid w:val="0075578B"/>
    <w:rsid w:val="00770C11"/>
    <w:rsid w:val="007822EF"/>
    <w:rsid w:val="007A3A93"/>
    <w:rsid w:val="007B32DF"/>
    <w:rsid w:val="007B6CC1"/>
    <w:rsid w:val="007C080A"/>
    <w:rsid w:val="007C4D05"/>
    <w:rsid w:val="007C5CBD"/>
    <w:rsid w:val="007D6A91"/>
    <w:rsid w:val="007E1A86"/>
    <w:rsid w:val="007F3553"/>
    <w:rsid w:val="00812511"/>
    <w:rsid w:val="00816F1A"/>
    <w:rsid w:val="00817188"/>
    <w:rsid w:val="008244BF"/>
    <w:rsid w:val="00824D21"/>
    <w:rsid w:val="00825D2B"/>
    <w:rsid w:val="008321BE"/>
    <w:rsid w:val="008362DF"/>
    <w:rsid w:val="0083711E"/>
    <w:rsid w:val="00846E3A"/>
    <w:rsid w:val="008568F8"/>
    <w:rsid w:val="00882A1B"/>
    <w:rsid w:val="00895730"/>
    <w:rsid w:val="0089582E"/>
    <w:rsid w:val="008B15D2"/>
    <w:rsid w:val="008B3306"/>
    <w:rsid w:val="008B3582"/>
    <w:rsid w:val="008B55C0"/>
    <w:rsid w:val="008D3778"/>
    <w:rsid w:val="008D409B"/>
    <w:rsid w:val="008D579B"/>
    <w:rsid w:val="008E4A33"/>
    <w:rsid w:val="008E7592"/>
    <w:rsid w:val="00910867"/>
    <w:rsid w:val="00913004"/>
    <w:rsid w:val="009204DA"/>
    <w:rsid w:val="00921D35"/>
    <w:rsid w:val="00935ABE"/>
    <w:rsid w:val="00944C44"/>
    <w:rsid w:val="00947C84"/>
    <w:rsid w:val="00956687"/>
    <w:rsid w:val="00960B34"/>
    <w:rsid w:val="0096423D"/>
    <w:rsid w:val="009916CD"/>
    <w:rsid w:val="00997B09"/>
    <w:rsid w:val="009A6477"/>
    <w:rsid w:val="009B3338"/>
    <w:rsid w:val="009C1909"/>
    <w:rsid w:val="009F01BA"/>
    <w:rsid w:val="009F4FEB"/>
    <w:rsid w:val="009F5EBE"/>
    <w:rsid w:val="00A0238E"/>
    <w:rsid w:val="00A13EA7"/>
    <w:rsid w:val="00A1676F"/>
    <w:rsid w:val="00A20210"/>
    <w:rsid w:val="00A25670"/>
    <w:rsid w:val="00A31D34"/>
    <w:rsid w:val="00A3297D"/>
    <w:rsid w:val="00A62FD2"/>
    <w:rsid w:val="00A720A4"/>
    <w:rsid w:val="00A7602D"/>
    <w:rsid w:val="00A836AD"/>
    <w:rsid w:val="00AA16C8"/>
    <w:rsid w:val="00AA259E"/>
    <w:rsid w:val="00AA25B0"/>
    <w:rsid w:val="00AA455F"/>
    <w:rsid w:val="00AC0E8C"/>
    <w:rsid w:val="00AC2D69"/>
    <w:rsid w:val="00AE7528"/>
    <w:rsid w:val="00B0384E"/>
    <w:rsid w:val="00B04321"/>
    <w:rsid w:val="00B111B1"/>
    <w:rsid w:val="00B33989"/>
    <w:rsid w:val="00B479F4"/>
    <w:rsid w:val="00B54B18"/>
    <w:rsid w:val="00B6702E"/>
    <w:rsid w:val="00B71CA5"/>
    <w:rsid w:val="00B71E94"/>
    <w:rsid w:val="00B74EA3"/>
    <w:rsid w:val="00B774F9"/>
    <w:rsid w:val="00B96F3D"/>
    <w:rsid w:val="00BA294F"/>
    <w:rsid w:val="00BA2E46"/>
    <w:rsid w:val="00BB7131"/>
    <w:rsid w:val="00BC0202"/>
    <w:rsid w:val="00BC1E7E"/>
    <w:rsid w:val="00BD074C"/>
    <w:rsid w:val="00BE281E"/>
    <w:rsid w:val="00BE49EF"/>
    <w:rsid w:val="00BE4A9D"/>
    <w:rsid w:val="00BF1E5E"/>
    <w:rsid w:val="00C07023"/>
    <w:rsid w:val="00C20C75"/>
    <w:rsid w:val="00C36EE6"/>
    <w:rsid w:val="00C40B88"/>
    <w:rsid w:val="00C44945"/>
    <w:rsid w:val="00C60C26"/>
    <w:rsid w:val="00C7453F"/>
    <w:rsid w:val="00C77655"/>
    <w:rsid w:val="00C94B34"/>
    <w:rsid w:val="00C97B5A"/>
    <w:rsid w:val="00CC4DD8"/>
    <w:rsid w:val="00CC5D45"/>
    <w:rsid w:val="00CD5E51"/>
    <w:rsid w:val="00CD69B0"/>
    <w:rsid w:val="00CE148B"/>
    <w:rsid w:val="00CE4AFB"/>
    <w:rsid w:val="00CE565C"/>
    <w:rsid w:val="00D00116"/>
    <w:rsid w:val="00D17B96"/>
    <w:rsid w:val="00D2490A"/>
    <w:rsid w:val="00D2614B"/>
    <w:rsid w:val="00D344DF"/>
    <w:rsid w:val="00D3733C"/>
    <w:rsid w:val="00D4451E"/>
    <w:rsid w:val="00D55225"/>
    <w:rsid w:val="00D75537"/>
    <w:rsid w:val="00D764D9"/>
    <w:rsid w:val="00D86FC3"/>
    <w:rsid w:val="00DA2EC7"/>
    <w:rsid w:val="00DC0199"/>
    <w:rsid w:val="00DC08CE"/>
    <w:rsid w:val="00DC1508"/>
    <w:rsid w:val="00DD1756"/>
    <w:rsid w:val="00DD7B01"/>
    <w:rsid w:val="00DE60E4"/>
    <w:rsid w:val="00DE6BB5"/>
    <w:rsid w:val="00DF40FA"/>
    <w:rsid w:val="00E3494C"/>
    <w:rsid w:val="00E44916"/>
    <w:rsid w:val="00E45DA1"/>
    <w:rsid w:val="00E6179D"/>
    <w:rsid w:val="00E6332D"/>
    <w:rsid w:val="00E65C72"/>
    <w:rsid w:val="00E75694"/>
    <w:rsid w:val="00E83F36"/>
    <w:rsid w:val="00E94138"/>
    <w:rsid w:val="00EA5620"/>
    <w:rsid w:val="00EB20DE"/>
    <w:rsid w:val="00EB7FEA"/>
    <w:rsid w:val="00EC0AB7"/>
    <w:rsid w:val="00EC48FA"/>
    <w:rsid w:val="00ED17BC"/>
    <w:rsid w:val="00ED6FF7"/>
    <w:rsid w:val="00ED7B3A"/>
    <w:rsid w:val="00EE35EC"/>
    <w:rsid w:val="00EF7E99"/>
    <w:rsid w:val="00F01032"/>
    <w:rsid w:val="00F22C9B"/>
    <w:rsid w:val="00F571E7"/>
    <w:rsid w:val="00F82733"/>
    <w:rsid w:val="00F84FA5"/>
    <w:rsid w:val="00F8551C"/>
    <w:rsid w:val="00F97235"/>
    <w:rsid w:val="00FA19CD"/>
    <w:rsid w:val="00FA3E19"/>
    <w:rsid w:val="00FB1DB1"/>
    <w:rsid w:val="00FC161C"/>
    <w:rsid w:val="00FC5BF0"/>
    <w:rsid w:val="00FE7B99"/>
    <w:rsid w:val="00FF3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uiPriority w:val="9"/>
    <w:qFormat/>
    <w:rsid w:val="000F4B16"/>
    <w:pPr>
      <w:keepNext/>
      <w:pageBreakBefore/>
      <w:numPr>
        <w:numId w:val="1"/>
      </w:numPr>
      <w:overflowPunct/>
      <w:autoSpaceDE/>
      <w:autoSpaceDN/>
      <w:adjustRightInd/>
      <w:spacing w:before="120" w:after="240" w:line="276" w:lineRule="auto"/>
      <w:ind w:left="432"/>
      <w:jc w:val="both"/>
      <w:textAlignment w:val="auto"/>
      <w:outlineLvl w:val="0"/>
    </w:pPr>
    <w:rPr>
      <w:rFonts w:ascii="Calibri" w:hAnsi="Calibri"/>
      <w:b/>
      <w:bCs/>
      <w:smallCaps/>
      <w:kern w:val="32"/>
      <w:sz w:val="28"/>
      <w:szCs w:val="32"/>
    </w:rPr>
  </w:style>
  <w:style w:type="paragraph" w:styleId="Nadpis2">
    <w:name w:val="heading 2"/>
    <w:basedOn w:val="Normln"/>
    <w:next w:val="Normln"/>
    <w:link w:val="Nadpis2Char"/>
    <w:uiPriority w:val="9"/>
    <w:qFormat/>
    <w:rsid w:val="000F4B16"/>
    <w:pPr>
      <w:keepNext/>
      <w:numPr>
        <w:ilvl w:val="1"/>
        <w:numId w:val="1"/>
      </w:numPr>
      <w:overflowPunct/>
      <w:autoSpaceDE/>
      <w:autoSpaceDN/>
      <w:adjustRightInd/>
      <w:spacing w:before="240" w:after="240" w:line="276" w:lineRule="auto"/>
      <w:jc w:val="both"/>
      <w:textAlignment w:val="auto"/>
      <w:outlineLvl w:val="1"/>
    </w:pPr>
    <w:rPr>
      <w:rFonts w:ascii="Calibri" w:hAnsi="Calibri"/>
      <w:b/>
      <w:bCs/>
      <w:iCs/>
      <w:sz w:val="26"/>
      <w:szCs w:val="28"/>
    </w:rPr>
  </w:style>
  <w:style w:type="paragraph" w:styleId="Nadpis3">
    <w:name w:val="heading 3"/>
    <w:basedOn w:val="Normln"/>
    <w:next w:val="Normln"/>
    <w:link w:val="Nadpis3Char"/>
    <w:uiPriority w:val="9"/>
    <w:qFormat/>
    <w:rsid w:val="000F4B16"/>
    <w:pPr>
      <w:keepNext/>
      <w:keepLines/>
      <w:numPr>
        <w:ilvl w:val="2"/>
        <w:numId w:val="1"/>
      </w:numPr>
      <w:tabs>
        <w:tab w:val="num" w:pos="360"/>
      </w:tabs>
      <w:overflowPunct/>
      <w:autoSpaceDE/>
      <w:autoSpaceDN/>
      <w:adjustRightInd/>
      <w:spacing w:before="240" w:after="240" w:line="276" w:lineRule="auto"/>
      <w:ind w:left="0" w:firstLine="0"/>
      <w:jc w:val="both"/>
      <w:textAlignment w:val="auto"/>
      <w:outlineLvl w:val="2"/>
    </w:pPr>
    <w:rPr>
      <w:rFonts w:ascii="Calibri" w:hAnsi="Calibri"/>
      <w:b/>
      <w:bCs/>
      <w:color w:val="365F91"/>
      <w:sz w:val="24"/>
    </w:rPr>
  </w:style>
  <w:style w:type="paragraph" w:styleId="Nadpis4">
    <w:name w:val="heading 4"/>
    <w:basedOn w:val="Normln"/>
    <w:next w:val="Normln"/>
    <w:link w:val="Nadpis4Char"/>
    <w:uiPriority w:val="9"/>
    <w:qFormat/>
    <w:rsid w:val="000F4B16"/>
    <w:pPr>
      <w:keepNext/>
      <w:keepLines/>
      <w:numPr>
        <w:ilvl w:val="3"/>
        <w:numId w:val="1"/>
      </w:numPr>
      <w:overflowPunct/>
      <w:autoSpaceDE/>
      <w:autoSpaceDN/>
      <w:adjustRightInd/>
      <w:spacing w:before="360" w:after="120" w:line="276" w:lineRule="auto"/>
      <w:jc w:val="both"/>
      <w:textAlignment w:val="auto"/>
      <w:outlineLvl w:val="3"/>
    </w:pPr>
    <w:rPr>
      <w:rFonts w:ascii="Calibri" w:hAnsi="Calibri"/>
      <w:b/>
      <w:bCs/>
      <w:i/>
      <w:iCs/>
      <w:sz w:val="24"/>
    </w:rPr>
  </w:style>
  <w:style w:type="paragraph" w:styleId="Nadpis5">
    <w:name w:val="heading 5"/>
    <w:basedOn w:val="Normln"/>
    <w:next w:val="Normln"/>
    <w:link w:val="Nadpis5Char"/>
    <w:uiPriority w:val="9"/>
    <w:qFormat/>
    <w:rsid w:val="000F4B16"/>
    <w:pPr>
      <w:keepNext/>
      <w:keepLines/>
      <w:numPr>
        <w:ilvl w:val="4"/>
        <w:numId w:val="1"/>
      </w:numPr>
      <w:overflowPunct/>
      <w:autoSpaceDE/>
      <w:autoSpaceDN/>
      <w:adjustRightInd/>
      <w:spacing w:before="200" w:after="120" w:line="276" w:lineRule="auto"/>
      <w:jc w:val="both"/>
      <w:textAlignment w:val="auto"/>
      <w:outlineLvl w:val="4"/>
    </w:pPr>
    <w:rPr>
      <w:rFonts w:ascii="Calibri" w:hAnsi="Calibri"/>
      <w:color w:val="365F91"/>
      <w:sz w:val="24"/>
    </w:rPr>
  </w:style>
  <w:style w:type="paragraph" w:styleId="Nadpis6">
    <w:name w:val="heading 6"/>
    <w:basedOn w:val="Normln"/>
    <w:next w:val="Normln"/>
    <w:link w:val="Nadpis6Char"/>
    <w:uiPriority w:val="9"/>
    <w:qFormat/>
    <w:rsid w:val="000F4B16"/>
    <w:pPr>
      <w:keepNext/>
      <w:keepLines/>
      <w:numPr>
        <w:ilvl w:val="5"/>
        <w:numId w:val="1"/>
      </w:numPr>
      <w:overflowPunct/>
      <w:autoSpaceDE/>
      <w:autoSpaceDN/>
      <w:adjustRightInd/>
      <w:spacing w:before="200" w:line="276" w:lineRule="auto"/>
      <w:jc w:val="both"/>
      <w:textAlignment w:val="auto"/>
      <w:outlineLvl w:val="5"/>
    </w:pPr>
    <w:rPr>
      <w:rFonts w:ascii="Cambria" w:hAnsi="Cambria"/>
      <w:i/>
      <w:iCs/>
      <w:color w:val="243F60"/>
      <w:sz w:val="24"/>
    </w:rPr>
  </w:style>
  <w:style w:type="paragraph" w:styleId="Nadpis7">
    <w:name w:val="heading 7"/>
    <w:basedOn w:val="Normln"/>
    <w:next w:val="Normln"/>
    <w:link w:val="Nadpis7Char"/>
    <w:uiPriority w:val="9"/>
    <w:qFormat/>
    <w:rsid w:val="000F4B16"/>
    <w:pPr>
      <w:keepNext/>
      <w:keepLines/>
      <w:numPr>
        <w:ilvl w:val="6"/>
        <w:numId w:val="1"/>
      </w:numPr>
      <w:overflowPunct/>
      <w:autoSpaceDE/>
      <w:autoSpaceDN/>
      <w:adjustRightInd/>
      <w:spacing w:before="200" w:line="276" w:lineRule="auto"/>
      <w:jc w:val="both"/>
      <w:textAlignment w:val="auto"/>
      <w:outlineLvl w:val="6"/>
    </w:pPr>
    <w:rPr>
      <w:rFonts w:ascii="Cambria" w:hAnsi="Cambria"/>
      <w:i/>
      <w:iCs/>
      <w:color w:val="404040"/>
      <w:sz w:val="24"/>
    </w:rPr>
  </w:style>
  <w:style w:type="paragraph" w:styleId="Nadpis8">
    <w:name w:val="heading 8"/>
    <w:basedOn w:val="Normln"/>
    <w:next w:val="Normln"/>
    <w:link w:val="Nadpis8Char"/>
    <w:qFormat/>
    <w:rsid w:val="000F4B16"/>
    <w:pPr>
      <w:keepNext/>
      <w:keepLines/>
      <w:numPr>
        <w:ilvl w:val="7"/>
        <w:numId w:val="1"/>
      </w:numPr>
      <w:overflowPunct/>
      <w:autoSpaceDE/>
      <w:autoSpaceDN/>
      <w:adjustRightInd/>
      <w:spacing w:before="200" w:line="276" w:lineRule="auto"/>
      <w:jc w:val="both"/>
      <w:textAlignment w:val="auto"/>
      <w:outlineLvl w:val="7"/>
    </w:pPr>
    <w:rPr>
      <w:rFonts w:ascii="Cambria" w:hAnsi="Cambria"/>
      <w:color w:val="404040"/>
    </w:rPr>
  </w:style>
  <w:style w:type="paragraph" w:styleId="Nadpis9">
    <w:name w:val="heading 9"/>
    <w:basedOn w:val="Normln"/>
    <w:next w:val="Normln"/>
    <w:link w:val="Nadpis9Char"/>
    <w:uiPriority w:val="9"/>
    <w:qFormat/>
    <w:rsid w:val="000F4B16"/>
    <w:pPr>
      <w:keepNext/>
      <w:keepLines/>
      <w:numPr>
        <w:ilvl w:val="8"/>
        <w:numId w:val="1"/>
      </w:numPr>
      <w:overflowPunct/>
      <w:autoSpaceDE/>
      <w:autoSpaceDN/>
      <w:adjustRightInd/>
      <w:spacing w:before="200" w:line="276" w:lineRule="auto"/>
      <w:jc w:val="both"/>
      <w:textAlignment w:val="auto"/>
      <w:outlineLvl w:val="8"/>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uiPriority w:val="9"/>
    <w:rsid w:val="000F4B16"/>
    <w:rPr>
      <w:rFonts w:ascii="Calibri" w:hAnsi="Calibri"/>
      <w:b/>
      <w:bCs/>
      <w:smallCaps/>
      <w:kern w:val="32"/>
      <w:sz w:val="28"/>
      <w:szCs w:val="32"/>
    </w:rPr>
  </w:style>
  <w:style w:type="character" w:customStyle="1" w:styleId="Nadpis2Char">
    <w:name w:val="Nadpis 2 Char"/>
    <w:basedOn w:val="Standardnpsmoodstavce"/>
    <w:link w:val="Nadpis2"/>
    <w:uiPriority w:val="9"/>
    <w:rsid w:val="000F4B16"/>
    <w:rPr>
      <w:rFonts w:ascii="Calibri" w:hAnsi="Calibri"/>
      <w:b/>
      <w:bCs/>
      <w:iCs/>
      <w:sz w:val="26"/>
      <w:szCs w:val="28"/>
    </w:rPr>
  </w:style>
  <w:style w:type="character" w:customStyle="1" w:styleId="Nadpis3Char">
    <w:name w:val="Nadpis 3 Char"/>
    <w:basedOn w:val="Standardnpsmoodstavce"/>
    <w:link w:val="Nadpis3"/>
    <w:uiPriority w:val="9"/>
    <w:rsid w:val="000F4B16"/>
    <w:rPr>
      <w:rFonts w:ascii="Calibri" w:hAnsi="Calibri"/>
      <w:b/>
      <w:bCs/>
      <w:color w:val="365F91"/>
      <w:sz w:val="24"/>
    </w:rPr>
  </w:style>
  <w:style w:type="character" w:customStyle="1" w:styleId="Nadpis4Char">
    <w:name w:val="Nadpis 4 Char"/>
    <w:basedOn w:val="Standardnpsmoodstavce"/>
    <w:link w:val="Nadpis4"/>
    <w:uiPriority w:val="9"/>
    <w:rsid w:val="000F4B16"/>
    <w:rPr>
      <w:rFonts w:ascii="Calibri" w:hAnsi="Calibri"/>
      <w:b/>
      <w:bCs/>
      <w:i/>
      <w:iCs/>
      <w:sz w:val="24"/>
    </w:rPr>
  </w:style>
  <w:style w:type="character" w:customStyle="1" w:styleId="Nadpis5Char">
    <w:name w:val="Nadpis 5 Char"/>
    <w:basedOn w:val="Standardnpsmoodstavce"/>
    <w:link w:val="Nadpis5"/>
    <w:uiPriority w:val="9"/>
    <w:rsid w:val="000F4B16"/>
    <w:rPr>
      <w:rFonts w:ascii="Calibri" w:hAnsi="Calibri"/>
      <w:color w:val="365F91"/>
      <w:sz w:val="24"/>
    </w:rPr>
  </w:style>
  <w:style w:type="character" w:customStyle="1" w:styleId="Nadpis6Char">
    <w:name w:val="Nadpis 6 Char"/>
    <w:basedOn w:val="Standardnpsmoodstavce"/>
    <w:link w:val="Nadpis6"/>
    <w:uiPriority w:val="9"/>
    <w:rsid w:val="000F4B16"/>
    <w:rPr>
      <w:rFonts w:ascii="Cambria" w:hAnsi="Cambria"/>
      <w:i/>
      <w:iCs/>
      <w:color w:val="243F60"/>
      <w:sz w:val="24"/>
    </w:rPr>
  </w:style>
  <w:style w:type="character" w:customStyle="1" w:styleId="Nadpis7Char">
    <w:name w:val="Nadpis 7 Char"/>
    <w:basedOn w:val="Standardnpsmoodstavce"/>
    <w:link w:val="Nadpis7"/>
    <w:uiPriority w:val="9"/>
    <w:rsid w:val="000F4B16"/>
    <w:rPr>
      <w:rFonts w:ascii="Cambria" w:hAnsi="Cambria"/>
      <w:i/>
      <w:iCs/>
      <w:color w:val="404040"/>
      <w:sz w:val="24"/>
    </w:rPr>
  </w:style>
  <w:style w:type="character" w:customStyle="1" w:styleId="Nadpis8Char">
    <w:name w:val="Nadpis 8 Char"/>
    <w:basedOn w:val="Standardnpsmoodstavce"/>
    <w:link w:val="Nadpis8"/>
    <w:rsid w:val="000F4B16"/>
    <w:rPr>
      <w:rFonts w:ascii="Cambria" w:hAnsi="Cambria"/>
      <w:color w:val="404040"/>
    </w:rPr>
  </w:style>
  <w:style w:type="character" w:customStyle="1" w:styleId="Nadpis9Char">
    <w:name w:val="Nadpis 9 Char"/>
    <w:basedOn w:val="Standardnpsmoodstavce"/>
    <w:link w:val="Nadpis9"/>
    <w:uiPriority w:val="9"/>
    <w:rsid w:val="000F4B16"/>
    <w:rPr>
      <w:rFonts w:ascii="Cambria" w:hAnsi="Cambria"/>
      <w:i/>
      <w:iCs/>
      <w:color w:val="404040"/>
    </w:rPr>
  </w:style>
  <w:style w:type="character" w:styleId="Hypertextovodkaz">
    <w:name w:val="Hyperlink"/>
    <w:uiPriority w:val="99"/>
    <w:unhideWhenUsed/>
    <w:rsid w:val="000F4B16"/>
    <w:rPr>
      <w:color w:val="0000FF"/>
      <w:u w:val="single"/>
    </w:rPr>
  </w:style>
  <w:style w:type="character" w:customStyle="1" w:styleId="TextkomenteChar">
    <w:name w:val="Text komentáře Char"/>
    <w:link w:val="Textkomente"/>
    <w:uiPriority w:val="99"/>
    <w:rsid w:val="000F4B16"/>
    <w:rPr>
      <w:rFonts w:ascii="Calibri" w:hAnsi="Calibri"/>
    </w:rPr>
  </w:style>
  <w:style w:type="paragraph" w:styleId="Textkomente">
    <w:name w:val="annotation text"/>
    <w:basedOn w:val="Normln"/>
    <w:link w:val="TextkomenteChar"/>
    <w:uiPriority w:val="99"/>
    <w:unhideWhenUsed/>
    <w:rsid w:val="000F4B16"/>
    <w:pPr>
      <w:overflowPunct/>
      <w:autoSpaceDE/>
      <w:autoSpaceDN/>
      <w:adjustRightInd/>
      <w:spacing w:before="200" w:after="200"/>
      <w:jc w:val="both"/>
      <w:textAlignment w:val="auto"/>
    </w:pPr>
    <w:rPr>
      <w:rFonts w:ascii="Calibri" w:hAnsi="Calibri"/>
    </w:rPr>
  </w:style>
  <w:style w:type="character" w:customStyle="1" w:styleId="TextkomenteChar1">
    <w:name w:val="Text komentáře Char1"/>
    <w:basedOn w:val="Standardnpsmoodstavce"/>
    <w:uiPriority w:val="99"/>
    <w:semiHidden/>
    <w:rsid w:val="000F4B16"/>
  </w:style>
  <w:style w:type="character" w:styleId="Odkaznakoment">
    <w:name w:val="annotation reference"/>
    <w:uiPriority w:val="99"/>
    <w:rsid w:val="000F4B16"/>
    <w:rPr>
      <w:sz w:val="16"/>
      <w:szCs w:val="16"/>
    </w:rPr>
  </w:style>
  <w:style w:type="paragraph" w:customStyle="1" w:styleId="Standardntext">
    <w:name w:val="Standardní text"/>
    <w:basedOn w:val="Normln"/>
    <w:link w:val="StandardntextChar"/>
    <w:qFormat/>
    <w:rsid w:val="000F4B16"/>
    <w:pPr>
      <w:spacing w:after="120"/>
      <w:jc w:val="both"/>
    </w:pPr>
    <w:rPr>
      <w:rFonts w:cs="Calibri"/>
      <w:sz w:val="24"/>
      <w:szCs w:val="24"/>
    </w:rPr>
  </w:style>
  <w:style w:type="character" w:customStyle="1" w:styleId="StandardntextChar">
    <w:name w:val="Standardní text Char"/>
    <w:link w:val="Standardntext"/>
    <w:rsid w:val="000F4B16"/>
    <w:rPr>
      <w:rFonts w:cs="Calibri"/>
      <w:sz w:val="24"/>
      <w:szCs w:val="24"/>
    </w:rPr>
  </w:style>
  <w:style w:type="paragraph" w:styleId="Textbubliny">
    <w:name w:val="Balloon Text"/>
    <w:basedOn w:val="Normln"/>
    <w:link w:val="TextbublinyChar"/>
    <w:uiPriority w:val="99"/>
    <w:unhideWhenUsed/>
    <w:rsid w:val="000F4B16"/>
    <w:rPr>
      <w:rFonts w:ascii="Tahoma" w:hAnsi="Tahoma" w:cs="Tahoma"/>
      <w:sz w:val="16"/>
      <w:szCs w:val="16"/>
    </w:rPr>
  </w:style>
  <w:style w:type="character" w:customStyle="1" w:styleId="TextbublinyChar">
    <w:name w:val="Text bubliny Char"/>
    <w:basedOn w:val="Standardnpsmoodstavce"/>
    <w:link w:val="Textbubliny"/>
    <w:uiPriority w:val="99"/>
    <w:rsid w:val="000F4B16"/>
    <w:rPr>
      <w:rFonts w:ascii="Tahoma" w:hAnsi="Tahoma" w:cs="Tahoma"/>
      <w:sz w:val="16"/>
      <w:szCs w:val="16"/>
    </w:rPr>
  </w:style>
  <w:style w:type="paragraph" w:styleId="Zhlav">
    <w:name w:val="header"/>
    <w:basedOn w:val="Normln"/>
    <w:link w:val="ZhlavChar"/>
    <w:uiPriority w:val="99"/>
    <w:unhideWhenUsed/>
    <w:rsid w:val="000F4B16"/>
    <w:pPr>
      <w:tabs>
        <w:tab w:val="center" w:pos="4536"/>
        <w:tab w:val="right" w:pos="9072"/>
      </w:tabs>
    </w:pPr>
  </w:style>
  <w:style w:type="character" w:customStyle="1" w:styleId="ZhlavChar">
    <w:name w:val="Záhlaví Char"/>
    <w:basedOn w:val="Standardnpsmoodstavce"/>
    <w:link w:val="Zhlav"/>
    <w:uiPriority w:val="99"/>
    <w:rsid w:val="000F4B16"/>
  </w:style>
  <w:style w:type="paragraph" w:styleId="Zpat">
    <w:name w:val="footer"/>
    <w:basedOn w:val="Normln"/>
    <w:link w:val="ZpatChar"/>
    <w:uiPriority w:val="99"/>
    <w:unhideWhenUsed/>
    <w:rsid w:val="000F4B16"/>
    <w:pPr>
      <w:tabs>
        <w:tab w:val="center" w:pos="4536"/>
        <w:tab w:val="right" w:pos="9072"/>
      </w:tabs>
    </w:pPr>
  </w:style>
  <w:style w:type="character" w:customStyle="1" w:styleId="ZpatChar">
    <w:name w:val="Zápatí Char"/>
    <w:basedOn w:val="Standardnpsmoodstavce"/>
    <w:link w:val="Zpat"/>
    <w:uiPriority w:val="99"/>
    <w:rsid w:val="000F4B16"/>
  </w:style>
  <w:style w:type="paragraph" w:styleId="Odstavecseseznamem">
    <w:name w:val="List Paragraph"/>
    <w:aliases w:val="Nad,Odstavec_muj"/>
    <w:basedOn w:val="Normln"/>
    <w:link w:val="OdstavecseseznamemChar"/>
    <w:uiPriority w:val="34"/>
    <w:qFormat/>
    <w:rsid w:val="00C94B34"/>
    <w:pPr>
      <w:spacing w:after="160" w:line="340" w:lineRule="exact"/>
      <w:ind w:left="720"/>
      <w:contextualSpacing/>
    </w:pPr>
    <w:rPr>
      <w:rFonts w:asciiTheme="minorHAnsi" w:hAnsiTheme="minorHAnsi"/>
      <w:sz w:val="22"/>
    </w:rPr>
  </w:style>
  <w:style w:type="character" w:customStyle="1" w:styleId="OdstavecseseznamemChar">
    <w:name w:val="Odstavec se seznamem Char"/>
    <w:aliases w:val="Nad Char,Odstavec_muj Char"/>
    <w:link w:val="Odstavecseseznamem"/>
    <w:uiPriority w:val="34"/>
    <w:locked/>
    <w:rsid w:val="00C94B34"/>
    <w:rPr>
      <w:rFonts w:asciiTheme="minorHAnsi" w:hAnsiTheme="minorHAnsi"/>
      <w:sz w:val="22"/>
    </w:rPr>
  </w:style>
  <w:style w:type="paragraph" w:customStyle="1" w:styleId="Tabulka">
    <w:name w:val="Tabulka"/>
    <w:basedOn w:val="Titulek"/>
    <w:link w:val="TabulkaChar"/>
    <w:qFormat/>
    <w:rsid w:val="00C94B34"/>
  </w:style>
  <w:style w:type="paragraph" w:styleId="Titulek">
    <w:name w:val="caption"/>
    <w:basedOn w:val="Normln"/>
    <w:next w:val="Normln"/>
    <w:uiPriority w:val="35"/>
    <w:semiHidden/>
    <w:unhideWhenUsed/>
    <w:qFormat/>
    <w:rsid w:val="00C94B34"/>
    <w:pPr>
      <w:spacing w:after="200"/>
    </w:pPr>
    <w:rPr>
      <w:b/>
      <w:bCs/>
      <w:color w:val="4F81BD" w:themeColor="accent1"/>
      <w:sz w:val="18"/>
      <w:szCs w:val="18"/>
    </w:rPr>
  </w:style>
  <w:style w:type="character" w:customStyle="1" w:styleId="TabulkaChar">
    <w:name w:val="Tabulka Char"/>
    <w:link w:val="Tabulka"/>
    <w:locked/>
    <w:rsid w:val="00C94B34"/>
    <w:rPr>
      <w:b/>
      <w:bCs/>
      <w:color w:val="4F81BD" w:themeColor="accent1"/>
      <w:sz w:val="18"/>
      <w:szCs w:val="18"/>
    </w:rPr>
  </w:style>
  <w:style w:type="paragraph" w:customStyle="1" w:styleId="DAVA">
    <w:name w:val="DAVA"/>
    <w:basedOn w:val="Normln"/>
    <w:link w:val="DAVAChar"/>
    <w:uiPriority w:val="99"/>
    <w:qFormat/>
    <w:rsid w:val="00C94B34"/>
    <w:pPr>
      <w:overflowPunct/>
      <w:autoSpaceDE/>
      <w:autoSpaceDN/>
      <w:adjustRightInd/>
      <w:spacing w:before="120"/>
      <w:textAlignment w:val="auto"/>
    </w:pPr>
    <w:rPr>
      <w:rFonts w:ascii="Arial" w:hAnsi="Arial"/>
      <w:sz w:val="28"/>
      <w:lang w:val="x-none" w:eastAsia="x-none"/>
    </w:rPr>
  </w:style>
  <w:style w:type="character" w:customStyle="1" w:styleId="DAVAChar">
    <w:name w:val="DAVA Char"/>
    <w:link w:val="DAVA"/>
    <w:uiPriority w:val="99"/>
    <w:locked/>
    <w:rsid w:val="00C94B34"/>
    <w:rPr>
      <w:rFonts w:ascii="Arial" w:hAnsi="Arial"/>
      <w:sz w:val="28"/>
      <w:lang w:val="x-none" w:eastAsia="x-none"/>
    </w:rPr>
  </w:style>
  <w:style w:type="paragraph" w:customStyle="1" w:styleId="Default">
    <w:name w:val="Default"/>
    <w:rsid w:val="00C94B34"/>
    <w:pPr>
      <w:suppressAutoHyphens/>
      <w:autoSpaceDE w:val="0"/>
    </w:pPr>
    <w:rPr>
      <w:rFonts w:ascii="Calibri" w:hAnsi="Calibri" w:cs="Calibri"/>
      <w:color w:val="000000"/>
      <w:sz w:val="24"/>
      <w:szCs w:val="24"/>
      <w:lang w:eastAsia="ar-SA"/>
    </w:rPr>
  </w:style>
  <w:style w:type="table" w:styleId="Mkatabulky">
    <w:name w:val="Table Grid"/>
    <w:basedOn w:val="Normlntabulka"/>
    <w:uiPriority w:val="59"/>
    <w:rsid w:val="00C94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unhideWhenUsed/>
    <w:qFormat/>
    <w:rsid w:val="00C94B34"/>
    <w:rPr>
      <w:rFonts w:ascii="Calibri" w:hAnsi="Calibri"/>
      <w:lang w:val="x-none" w:eastAsia="x-none"/>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rsid w:val="00C94B34"/>
    <w:rPr>
      <w:rFonts w:ascii="Calibri" w:hAnsi="Calibri"/>
      <w:lang w:val="x-none" w:eastAsia="x-none"/>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unhideWhenUsed/>
    <w:rsid w:val="00C94B34"/>
    <w:rPr>
      <w:vertAlign w:val="superscript"/>
    </w:rPr>
  </w:style>
  <w:style w:type="paragraph" w:customStyle="1" w:styleId="MSp-text">
    <w:name w:val="MSp-text"/>
    <w:basedOn w:val="Normln"/>
    <w:rsid w:val="003C1122"/>
    <w:pPr>
      <w:tabs>
        <w:tab w:val="left" w:pos="720"/>
      </w:tabs>
      <w:overflowPunct/>
      <w:autoSpaceDE/>
      <w:autoSpaceDN/>
      <w:adjustRightInd/>
      <w:spacing w:after="240"/>
      <w:ind w:firstLine="720"/>
      <w:jc w:val="both"/>
      <w:textAlignment w:val="auto"/>
    </w:pPr>
    <w:rPr>
      <w:sz w:val="24"/>
      <w:szCs w:val="24"/>
      <w:lang w:eastAsia="en-US"/>
    </w:rPr>
  </w:style>
  <w:style w:type="paragraph" w:customStyle="1" w:styleId="Textdopisu">
    <w:name w:val="Text dopisu"/>
    <w:basedOn w:val="Normln"/>
    <w:rsid w:val="003C1122"/>
    <w:pPr>
      <w:ind w:firstLine="544"/>
      <w:jc w:val="both"/>
      <w:textAlignment w:val="auto"/>
    </w:pPr>
    <w:rPr>
      <w:sz w:val="24"/>
    </w:rPr>
  </w:style>
  <w:style w:type="paragraph" w:styleId="Normlnweb">
    <w:name w:val="Normal (Web)"/>
    <w:basedOn w:val="Normln"/>
    <w:uiPriority w:val="99"/>
    <w:unhideWhenUsed/>
    <w:rsid w:val="003C1122"/>
    <w:pPr>
      <w:suppressAutoHyphens/>
      <w:overflowPunct/>
      <w:autoSpaceDE/>
      <w:autoSpaceDN/>
      <w:adjustRightInd/>
      <w:spacing w:before="280" w:after="280"/>
      <w:textAlignment w:val="auto"/>
    </w:pPr>
    <w:rPr>
      <w:rFonts w:eastAsia="Calibri" w:cs="Calibri"/>
      <w:sz w:val="24"/>
      <w:szCs w:val="24"/>
      <w:lang w:eastAsia="ar-SA"/>
    </w:rPr>
  </w:style>
  <w:style w:type="character" w:customStyle="1" w:styleId="ZkladntextChar1">
    <w:name w:val="Základní text Char1"/>
    <w:basedOn w:val="Standardnpsmoodstavce"/>
    <w:uiPriority w:val="99"/>
    <w:semiHidden/>
    <w:rsid w:val="00617C33"/>
    <w:rPr>
      <w:rFonts w:asciiTheme="minorHAnsi" w:hAnsiTheme="minorHAnsi"/>
      <w:sz w:val="22"/>
    </w:rPr>
  </w:style>
  <w:style w:type="paragraph" w:styleId="Pedmtkomente">
    <w:name w:val="annotation subject"/>
    <w:basedOn w:val="Textkomente"/>
    <w:next w:val="Textkomente"/>
    <w:link w:val="PedmtkomenteChar"/>
    <w:uiPriority w:val="99"/>
    <w:semiHidden/>
    <w:unhideWhenUsed/>
    <w:rsid w:val="008D409B"/>
    <w:pPr>
      <w:overflowPunct w:val="0"/>
      <w:autoSpaceDE w:val="0"/>
      <w:autoSpaceDN w:val="0"/>
      <w:adjustRightInd w:val="0"/>
      <w:spacing w:before="0" w:after="0"/>
      <w:jc w:val="left"/>
      <w:textAlignment w:val="baseline"/>
    </w:pPr>
    <w:rPr>
      <w:rFonts w:ascii="Times New Roman" w:hAnsi="Times New Roman"/>
      <w:b/>
      <w:bCs/>
    </w:rPr>
  </w:style>
  <w:style w:type="character" w:customStyle="1" w:styleId="PedmtkomenteChar">
    <w:name w:val="Předmět komentáře Char"/>
    <w:basedOn w:val="TextkomenteChar"/>
    <w:link w:val="Pedmtkomente"/>
    <w:uiPriority w:val="99"/>
    <w:semiHidden/>
    <w:rsid w:val="008D409B"/>
    <w:rPr>
      <w:rFonts w:ascii="Calibri" w:hAnsi="Calibri"/>
      <w:b/>
      <w:bCs/>
    </w:rPr>
  </w:style>
  <w:style w:type="paragraph" w:customStyle="1" w:styleId="Poznmkapodarou">
    <w:name w:val="Poznámka pod čarou"/>
    <w:basedOn w:val="Normln"/>
    <w:link w:val="PoznmkapodarouChar"/>
    <w:qFormat/>
    <w:rsid w:val="00380A1D"/>
    <w:pPr>
      <w:tabs>
        <w:tab w:val="left" w:pos="708"/>
      </w:tabs>
      <w:suppressAutoHyphens/>
      <w:autoSpaceDN/>
      <w:adjustRightInd/>
      <w:spacing w:after="60" w:line="200" w:lineRule="atLeast"/>
      <w:jc w:val="both"/>
    </w:pPr>
    <w:rPr>
      <w:lang w:val="x-none" w:eastAsia="x-none"/>
    </w:rPr>
  </w:style>
  <w:style w:type="character" w:customStyle="1" w:styleId="PoznmkapodarouChar">
    <w:name w:val="Poznámka pod čarou Char"/>
    <w:link w:val="Poznmkapodarou"/>
    <w:rsid w:val="00380A1D"/>
    <w:rPr>
      <w:lang w:val="x-none" w:eastAsia="x-none"/>
    </w:rPr>
  </w:style>
  <w:style w:type="paragraph" w:styleId="Prosttext">
    <w:name w:val="Plain Text"/>
    <w:basedOn w:val="Normln"/>
    <w:link w:val="ProsttextChar"/>
    <w:uiPriority w:val="99"/>
    <w:unhideWhenUsed/>
    <w:rsid w:val="000B48A7"/>
    <w:pPr>
      <w:overflowPunct/>
      <w:autoSpaceDE/>
      <w:autoSpaceDN/>
      <w:adjustRightInd/>
      <w:textAlignment w:val="auto"/>
    </w:pPr>
    <w:rPr>
      <w:rFonts w:ascii="Consolas" w:hAnsi="Consolas"/>
      <w:sz w:val="21"/>
      <w:lang w:val="x-none" w:eastAsia="x-none"/>
    </w:rPr>
  </w:style>
  <w:style w:type="character" w:customStyle="1" w:styleId="ProsttextChar">
    <w:name w:val="Prostý text Char"/>
    <w:basedOn w:val="Standardnpsmoodstavce"/>
    <w:link w:val="Prosttext"/>
    <w:uiPriority w:val="99"/>
    <w:rsid w:val="000B48A7"/>
    <w:rPr>
      <w:rFonts w:ascii="Consolas" w:hAnsi="Consolas"/>
      <w:sz w:val="21"/>
      <w:lang w:val="x-none" w:eastAsia="x-none"/>
    </w:rPr>
  </w:style>
  <w:style w:type="paragraph" w:customStyle="1" w:styleId="Styl2">
    <w:name w:val="Styl2"/>
    <w:basedOn w:val="Normln"/>
    <w:uiPriority w:val="99"/>
    <w:rsid w:val="00E45DA1"/>
    <w:pPr>
      <w:overflowPunct/>
      <w:autoSpaceDE/>
      <w:autoSpaceDN/>
      <w:adjustRightInd/>
      <w:spacing w:before="60" w:after="60" w:line="288" w:lineRule="auto"/>
      <w:jc w:val="both"/>
      <w:textAlignment w:val="auto"/>
    </w:pPr>
    <w:rPr>
      <w:rFonts w:ascii="Arial" w:eastAsia="Calibri" w:hAnsi="Arial" w:cs="Arial"/>
    </w:rPr>
  </w:style>
  <w:style w:type="paragraph" w:customStyle="1" w:styleId="Revize1">
    <w:name w:val="Revize1"/>
    <w:hidden/>
    <w:semiHidden/>
    <w:rsid w:val="00E45DA1"/>
    <w:rPr>
      <w:rFonts w:ascii="Calibri" w:hAnsi="Calibri"/>
      <w:sz w:val="22"/>
      <w:szCs w:val="22"/>
    </w:rPr>
  </w:style>
  <w:style w:type="character" w:customStyle="1" w:styleId="hps">
    <w:name w:val="hps"/>
    <w:basedOn w:val="Standardnpsmoodstavce"/>
    <w:rsid w:val="00E45DA1"/>
  </w:style>
  <w:style w:type="paragraph" w:customStyle="1" w:styleId="Odstavecseseznamem1">
    <w:name w:val="Odstavec se seznamem1"/>
    <w:basedOn w:val="Normln"/>
    <w:uiPriority w:val="99"/>
    <w:qFormat/>
    <w:rsid w:val="00E45DA1"/>
    <w:pPr>
      <w:overflowPunct/>
      <w:autoSpaceDE/>
      <w:autoSpaceDN/>
      <w:adjustRightInd/>
      <w:spacing w:after="200" w:line="276" w:lineRule="auto"/>
      <w:ind w:left="720"/>
      <w:textAlignment w:val="auto"/>
    </w:pPr>
    <w:rPr>
      <w:rFonts w:ascii="Calibri" w:eastAsia="Calibri" w:hAnsi="Calibri" w:cs="Calibri"/>
      <w:sz w:val="22"/>
      <w:szCs w:val="22"/>
      <w:lang w:eastAsia="en-US"/>
    </w:rPr>
  </w:style>
  <w:style w:type="paragraph" w:customStyle="1" w:styleId="Tiret0">
    <w:name w:val="Tiret 0"/>
    <w:basedOn w:val="Normln"/>
    <w:rsid w:val="006D1AED"/>
    <w:pPr>
      <w:numPr>
        <w:numId w:val="20"/>
      </w:numPr>
      <w:tabs>
        <w:tab w:val="clear" w:pos="850"/>
        <w:tab w:val="num" w:pos="360"/>
      </w:tabs>
      <w:overflowPunct/>
      <w:autoSpaceDE/>
      <w:autoSpaceDN/>
      <w:adjustRightInd/>
      <w:spacing w:before="120" w:after="120"/>
      <w:ind w:left="0" w:firstLine="0"/>
      <w:jc w:val="both"/>
      <w:textAlignment w:val="auto"/>
    </w:pPr>
    <w:rPr>
      <w:sz w:val="24"/>
      <w:szCs w:val="24"/>
      <w:lang w:val="en-GB"/>
    </w:rPr>
  </w:style>
  <w:style w:type="paragraph" w:customStyle="1" w:styleId="Odstavecseseznamem2">
    <w:name w:val="Odstavec se seznamem2"/>
    <w:basedOn w:val="Normln"/>
    <w:uiPriority w:val="99"/>
    <w:qFormat/>
    <w:rsid w:val="00235340"/>
    <w:pPr>
      <w:overflowPunct/>
      <w:autoSpaceDE/>
      <w:autoSpaceDN/>
      <w:adjustRightInd/>
      <w:spacing w:after="200" w:line="276" w:lineRule="auto"/>
      <w:ind w:left="720"/>
      <w:textAlignment w:val="auto"/>
    </w:pPr>
    <w:rPr>
      <w:rFonts w:ascii="Calibri" w:eastAsia="Calibri" w:hAnsi="Calibri" w:cs="Calibri"/>
      <w:sz w:val="22"/>
      <w:szCs w:val="22"/>
      <w:lang w:eastAsia="en-US"/>
    </w:rPr>
  </w:style>
  <w:style w:type="character" w:styleId="slostrnky">
    <w:name w:val="page number"/>
    <w:basedOn w:val="Standardnpsmoodstavce"/>
    <w:uiPriority w:val="99"/>
    <w:rsid w:val="00235340"/>
  </w:style>
  <w:style w:type="paragraph" w:customStyle="1" w:styleId="Revize2">
    <w:name w:val="Revize2"/>
    <w:hidden/>
    <w:semiHidden/>
    <w:rsid w:val="00235340"/>
    <w:rPr>
      <w:rFonts w:ascii="Calibri" w:hAnsi="Calibri"/>
      <w:sz w:val="22"/>
      <w:szCs w:val="22"/>
    </w:rPr>
  </w:style>
  <w:style w:type="paragraph" w:customStyle="1" w:styleId="CM1">
    <w:name w:val="CM1"/>
    <w:basedOn w:val="Normln"/>
    <w:next w:val="Normln"/>
    <w:uiPriority w:val="99"/>
    <w:rsid w:val="00E44916"/>
    <w:pPr>
      <w:overflowPunct/>
      <w:textAlignment w:val="auto"/>
    </w:pPr>
    <w:rPr>
      <w:rFonts w:ascii="EUAlbertina" w:eastAsia="Calibri" w:hAnsi="EUAlbertina"/>
      <w:sz w:val="24"/>
      <w:szCs w:val="24"/>
    </w:rPr>
  </w:style>
  <w:style w:type="character" w:styleId="Siln">
    <w:name w:val="Strong"/>
    <w:basedOn w:val="Standardnpsmoodstavce"/>
    <w:uiPriority w:val="22"/>
    <w:qFormat/>
    <w:rsid w:val="006D00D4"/>
    <w:rPr>
      <w:b/>
      <w:bCs/>
    </w:rPr>
  </w:style>
  <w:style w:type="paragraph" w:customStyle="1" w:styleId="Odrky">
    <w:name w:val="Odrážky"/>
    <w:basedOn w:val="Normln"/>
    <w:uiPriority w:val="99"/>
    <w:rsid w:val="000B03D0"/>
    <w:pPr>
      <w:numPr>
        <w:numId w:val="42"/>
      </w:numPr>
      <w:overflowPunct/>
      <w:autoSpaceDE/>
      <w:autoSpaceDN/>
      <w:adjustRightInd/>
      <w:spacing w:after="40"/>
      <w:jc w:val="both"/>
      <w:textAlignment w:val="auto"/>
    </w:pPr>
    <w:rPr>
      <w:rFonts w:ascii="Verdana" w:hAnsi="Verdana" w:cs="Verdana"/>
      <w:lang w:eastAsia="en-US"/>
    </w:rPr>
  </w:style>
  <w:style w:type="paragraph" w:customStyle="1" w:styleId="TextNOK">
    <w:name w:val="Text NOK"/>
    <w:basedOn w:val="Normln"/>
    <w:link w:val="TextNOKChar"/>
    <w:rsid w:val="000B03D0"/>
    <w:pPr>
      <w:overflowPunct/>
      <w:autoSpaceDE/>
      <w:autoSpaceDN/>
      <w:adjustRightInd/>
      <w:spacing w:after="120" w:line="288" w:lineRule="auto"/>
      <w:jc w:val="both"/>
      <w:textAlignment w:val="auto"/>
    </w:pPr>
    <w:rPr>
      <w:rFonts w:ascii="Arial" w:eastAsia="Calibri" w:hAnsi="Arial"/>
      <w:szCs w:val="22"/>
      <w:lang w:val="x-none" w:eastAsia="x-none"/>
    </w:rPr>
  </w:style>
  <w:style w:type="character" w:customStyle="1" w:styleId="TextNOKChar">
    <w:name w:val="Text NOK Char"/>
    <w:link w:val="TextNOK"/>
    <w:locked/>
    <w:rsid w:val="000B03D0"/>
    <w:rPr>
      <w:rFonts w:ascii="Arial" w:eastAsia="Calibri" w:hAnsi="Arial"/>
      <w:szCs w:val="22"/>
      <w:lang w:val="x-none" w:eastAsia="x-none"/>
    </w:rPr>
  </w:style>
  <w:style w:type="paragraph" w:customStyle="1" w:styleId="grafy">
    <w:name w:val="grafy"/>
    <w:basedOn w:val="Seznam"/>
    <w:next w:val="Normln"/>
    <w:qFormat/>
    <w:rsid w:val="000B03D0"/>
    <w:pPr>
      <w:numPr>
        <w:numId w:val="43"/>
      </w:numPr>
      <w:tabs>
        <w:tab w:val="num" w:pos="850"/>
      </w:tabs>
      <w:spacing w:after="0" w:line="240" w:lineRule="auto"/>
      <w:ind w:left="0" w:firstLine="0"/>
      <w:jc w:val="both"/>
    </w:pPr>
    <w:rPr>
      <w:rFonts w:ascii="Cambria" w:hAnsi="Cambria"/>
      <w:b/>
      <w:color w:val="76923C"/>
      <w:sz w:val="18"/>
    </w:rPr>
  </w:style>
  <w:style w:type="paragraph" w:styleId="Seznam">
    <w:name w:val="List"/>
    <w:basedOn w:val="Normln"/>
    <w:uiPriority w:val="99"/>
    <w:semiHidden/>
    <w:unhideWhenUsed/>
    <w:rsid w:val="000B03D0"/>
    <w:pPr>
      <w:overflowPunct/>
      <w:autoSpaceDE/>
      <w:autoSpaceDN/>
      <w:adjustRightInd/>
      <w:spacing w:after="200" w:line="276" w:lineRule="auto"/>
      <w:ind w:left="283" w:hanging="283"/>
      <w:contextualSpacing/>
      <w:textAlignment w:val="auto"/>
    </w:pPr>
    <w:rPr>
      <w:rFonts w:ascii="Calibri" w:hAnsi="Calibri"/>
      <w:sz w:val="22"/>
      <w:szCs w:val="22"/>
    </w:rPr>
  </w:style>
  <w:style w:type="paragraph" w:styleId="Revize">
    <w:name w:val="Revision"/>
    <w:hidden/>
    <w:uiPriority w:val="99"/>
    <w:semiHidden/>
    <w:rsid w:val="0083711E"/>
    <w:rPr>
      <w:rFonts w:ascii="Calibri" w:hAnsi="Calibri"/>
      <w:sz w:val="22"/>
      <w:szCs w:val="22"/>
    </w:rPr>
  </w:style>
  <w:style w:type="character" w:styleId="Sledovanodkaz">
    <w:name w:val="FollowedHyperlink"/>
    <w:uiPriority w:val="99"/>
    <w:semiHidden/>
    <w:unhideWhenUsed/>
    <w:rsid w:val="0083711E"/>
    <w:rPr>
      <w:color w:val="800080"/>
      <w:u w:val="single"/>
    </w:rPr>
  </w:style>
  <w:style w:type="character" w:customStyle="1" w:styleId="apple-converted-space">
    <w:name w:val="apple-converted-space"/>
    <w:rsid w:val="0083711E"/>
  </w:style>
  <w:style w:type="character" w:customStyle="1" w:styleId="apple-style-span">
    <w:name w:val="apple-style-span"/>
    <w:rsid w:val="0083711E"/>
  </w:style>
  <w:style w:type="paragraph" w:customStyle="1" w:styleId="Point4letter">
    <w:name w:val="Point 4 (letter)"/>
    <w:basedOn w:val="Normln"/>
    <w:rsid w:val="00464549"/>
    <w:pPr>
      <w:tabs>
        <w:tab w:val="num" w:pos="3118"/>
      </w:tabs>
      <w:overflowPunct/>
      <w:autoSpaceDE/>
      <w:autoSpaceDN/>
      <w:adjustRightInd/>
      <w:spacing w:before="120" w:after="120"/>
      <w:ind w:left="3118" w:hanging="567"/>
      <w:jc w:val="both"/>
      <w:textAlignment w:val="auto"/>
    </w:pPr>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uiPriority w:val="9"/>
    <w:qFormat/>
    <w:rsid w:val="000F4B16"/>
    <w:pPr>
      <w:keepNext/>
      <w:pageBreakBefore/>
      <w:numPr>
        <w:numId w:val="1"/>
      </w:numPr>
      <w:overflowPunct/>
      <w:autoSpaceDE/>
      <w:autoSpaceDN/>
      <w:adjustRightInd/>
      <w:spacing w:before="120" w:after="240" w:line="276" w:lineRule="auto"/>
      <w:ind w:left="432"/>
      <w:jc w:val="both"/>
      <w:textAlignment w:val="auto"/>
      <w:outlineLvl w:val="0"/>
    </w:pPr>
    <w:rPr>
      <w:rFonts w:ascii="Calibri" w:hAnsi="Calibri"/>
      <w:b/>
      <w:bCs/>
      <w:smallCaps/>
      <w:kern w:val="32"/>
      <w:sz w:val="28"/>
      <w:szCs w:val="32"/>
    </w:rPr>
  </w:style>
  <w:style w:type="paragraph" w:styleId="Nadpis2">
    <w:name w:val="heading 2"/>
    <w:basedOn w:val="Normln"/>
    <w:next w:val="Normln"/>
    <w:link w:val="Nadpis2Char"/>
    <w:uiPriority w:val="9"/>
    <w:qFormat/>
    <w:rsid w:val="000F4B16"/>
    <w:pPr>
      <w:keepNext/>
      <w:numPr>
        <w:ilvl w:val="1"/>
        <w:numId w:val="1"/>
      </w:numPr>
      <w:overflowPunct/>
      <w:autoSpaceDE/>
      <w:autoSpaceDN/>
      <w:adjustRightInd/>
      <w:spacing w:before="240" w:after="240" w:line="276" w:lineRule="auto"/>
      <w:jc w:val="both"/>
      <w:textAlignment w:val="auto"/>
      <w:outlineLvl w:val="1"/>
    </w:pPr>
    <w:rPr>
      <w:rFonts w:ascii="Calibri" w:hAnsi="Calibri"/>
      <w:b/>
      <w:bCs/>
      <w:iCs/>
      <w:sz w:val="26"/>
      <w:szCs w:val="28"/>
    </w:rPr>
  </w:style>
  <w:style w:type="paragraph" w:styleId="Nadpis3">
    <w:name w:val="heading 3"/>
    <w:basedOn w:val="Normln"/>
    <w:next w:val="Normln"/>
    <w:link w:val="Nadpis3Char"/>
    <w:uiPriority w:val="9"/>
    <w:qFormat/>
    <w:rsid w:val="000F4B16"/>
    <w:pPr>
      <w:keepNext/>
      <w:keepLines/>
      <w:numPr>
        <w:ilvl w:val="2"/>
        <w:numId w:val="1"/>
      </w:numPr>
      <w:tabs>
        <w:tab w:val="num" w:pos="360"/>
      </w:tabs>
      <w:overflowPunct/>
      <w:autoSpaceDE/>
      <w:autoSpaceDN/>
      <w:adjustRightInd/>
      <w:spacing w:before="240" w:after="240" w:line="276" w:lineRule="auto"/>
      <w:ind w:left="0" w:firstLine="0"/>
      <w:jc w:val="both"/>
      <w:textAlignment w:val="auto"/>
      <w:outlineLvl w:val="2"/>
    </w:pPr>
    <w:rPr>
      <w:rFonts w:ascii="Calibri" w:hAnsi="Calibri"/>
      <w:b/>
      <w:bCs/>
      <w:color w:val="365F91"/>
      <w:sz w:val="24"/>
    </w:rPr>
  </w:style>
  <w:style w:type="paragraph" w:styleId="Nadpis4">
    <w:name w:val="heading 4"/>
    <w:basedOn w:val="Normln"/>
    <w:next w:val="Normln"/>
    <w:link w:val="Nadpis4Char"/>
    <w:uiPriority w:val="9"/>
    <w:qFormat/>
    <w:rsid w:val="000F4B16"/>
    <w:pPr>
      <w:keepNext/>
      <w:keepLines/>
      <w:numPr>
        <w:ilvl w:val="3"/>
        <w:numId w:val="1"/>
      </w:numPr>
      <w:overflowPunct/>
      <w:autoSpaceDE/>
      <w:autoSpaceDN/>
      <w:adjustRightInd/>
      <w:spacing w:before="360" w:after="120" w:line="276" w:lineRule="auto"/>
      <w:jc w:val="both"/>
      <w:textAlignment w:val="auto"/>
      <w:outlineLvl w:val="3"/>
    </w:pPr>
    <w:rPr>
      <w:rFonts w:ascii="Calibri" w:hAnsi="Calibri"/>
      <w:b/>
      <w:bCs/>
      <w:i/>
      <w:iCs/>
      <w:sz w:val="24"/>
    </w:rPr>
  </w:style>
  <w:style w:type="paragraph" w:styleId="Nadpis5">
    <w:name w:val="heading 5"/>
    <w:basedOn w:val="Normln"/>
    <w:next w:val="Normln"/>
    <w:link w:val="Nadpis5Char"/>
    <w:uiPriority w:val="9"/>
    <w:qFormat/>
    <w:rsid w:val="000F4B16"/>
    <w:pPr>
      <w:keepNext/>
      <w:keepLines/>
      <w:numPr>
        <w:ilvl w:val="4"/>
        <w:numId w:val="1"/>
      </w:numPr>
      <w:overflowPunct/>
      <w:autoSpaceDE/>
      <w:autoSpaceDN/>
      <w:adjustRightInd/>
      <w:spacing w:before="200" w:after="120" w:line="276" w:lineRule="auto"/>
      <w:jc w:val="both"/>
      <w:textAlignment w:val="auto"/>
      <w:outlineLvl w:val="4"/>
    </w:pPr>
    <w:rPr>
      <w:rFonts w:ascii="Calibri" w:hAnsi="Calibri"/>
      <w:color w:val="365F91"/>
      <w:sz w:val="24"/>
    </w:rPr>
  </w:style>
  <w:style w:type="paragraph" w:styleId="Nadpis6">
    <w:name w:val="heading 6"/>
    <w:basedOn w:val="Normln"/>
    <w:next w:val="Normln"/>
    <w:link w:val="Nadpis6Char"/>
    <w:uiPriority w:val="9"/>
    <w:qFormat/>
    <w:rsid w:val="000F4B16"/>
    <w:pPr>
      <w:keepNext/>
      <w:keepLines/>
      <w:numPr>
        <w:ilvl w:val="5"/>
        <w:numId w:val="1"/>
      </w:numPr>
      <w:overflowPunct/>
      <w:autoSpaceDE/>
      <w:autoSpaceDN/>
      <w:adjustRightInd/>
      <w:spacing w:before="200" w:line="276" w:lineRule="auto"/>
      <w:jc w:val="both"/>
      <w:textAlignment w:val="auto"/>
      <w:outlineLvl w:val="5"/>
    </w:pPr>
    <w:rPr>
      <w:rFonts w:ascii="Cambria" w:hAnsi="Cambria"/>
      <w:i/>
      <w:iCs/>
      <w:color w:val="243F60"/>
      <w:sz w:val="24"/>
    </w:rPr>
  </w:style>
  <w:style w:type="paragraph" w:styleId="Nadpis7">
    <w:name w:val="heading 7"/>
    <w:basedOn w:val="Normln"/>
    <w:next w:val="Normln"/>
    <w:link w:val="Nadpis7Char"/>
    <w:uiPriority w:val="9"/>
    <w:qFormat/>
    <w:rsid w:val="000F4B16"/>
    <w:pPr>
      <w:keepNext/>
      <w:keepLines/>
      <w:numPr>
        <w:ilvl w:val="6"/>
        <w:numId w:val="1"/>
      </w:numPr>
      <w:overflowPunct/>
      <w:autoSpaceDE/>
      <w:autoSpaceDN/>
      <w:adjustRightInd/>
      <w:spacing w:before="200" w:line="276" w:lineRule="auto"/>
      <w:jc w:val="both"/>
      <w:textAlignment w:val="auto"/>
      <w:outlineLvl w:val="6"/>
    </w:pPr>
    <w:rPr>
      <w:rFonts w:ascii="Cambria" w:hAnsi="Cambria"/>
      <w:i/>
      <w:iCs/>
      <w:color w:val="404040"/>
      <w:sz w:val="24"/>
    </w:rPr>
  </w:style>
  <w:style w:type="paragraph" w:styleId="Nadpis8">
    <w:name w:val="heading 8"/>
    <w:basedOn w:val="Normln"/>
    <w:next w:val="Normln"/>
    <w:link w:val="Nadpis8Char"/>
    <w:qFormat/>
    <w:rsid w:val="000F4B16"/>
    <w:pPr>
      <w:keepNext/>
      <w:keepLines/>
      <w:numPr>
        <w:ilvl w:val="7"/>
        <w:numId w:val="1"/>
      </w:numPr>
      <w:overflowPunct/>
      <w:autoSpaceDE/>
      <w:autoSpaceDN/>
      <w:adjustRightInd/>
      <w:spacing w:before="200" w:line="276" w:lineRule="auto"/>
      <w:jc w:val="both"/>
      <w:textAlignment w:val="auto"/>
      <w:outlineLvl w:val="7"/>
    </w:pPr>
    <w:rPr>
      <w:rFonts w:ascii="Cambria" w:hAnsi="Cambria"/>
      <w:color w:val="404040"/>
    </w:rPr>
  </w:style>
  <w:style w:type="paragraph" w:styleId="Nadpis9">
    <w:name w:val="heading 9"/>
    <w:basedOn w:val="Normln"/>
    <w:next w:val="Normln"/>
    <w:link w:val="Nadpis9Char"/>
    <w:uiPriority w:val="9"/>
    <w:qFormat/>
    <w:rsid w:val="000F4B16"/>
    <w:pPr>
      <w:keepNext/>
      <w:keepLines/>
      <w:numPr>
        <w:ilvl w:val="8"/>
        <w:numId w:val="1"/>
      </w:numPr>
      <w:overflowPunct/>
      <w:autoSpaceDE/>
      <w:autoSpaceDN/>
      <w:adjustRightInd/>
      <w:spacing w:before="200" w:line="276" w:lineRule="auto"/>
      <w:jc w:val="both"/>
      <w:textAlignment w:val="auto"/>
      <w:outlineLvl w:val="8"/>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uiPriority w:val="9"/>
    <w:rsid w:val="000F4B16"/>
    <w:rPr>
      <w:rFonts w:ascii="Calibri" w:hAnsi="Calibri"/>
      <w:b/>
      <w:bCs/>
      <w:smallCaps/>
      <w:kern w:val="32"/>
      <w:sz w:val="28"/>
      <w:szCs w:val="32"/>
    </w:rPr>
  </w:style>
  <w:style w:type="character" w:customStyle="1" w:styleId="Nadpis2Char">
    <w:name w:val="Nadpis 2 Char"/>
    <w:basedOn w:val="Standardnpsmoodstavce"/>
    <w:link w:val="Nadpis2"/>
    <w:uiPriority w:val="9"/>
    <w:rsid w:val="000F4B16"/>
    <w:rPr>
      <w:rFonts w:ascii="Calibri" w:hAnsi="Calibri"/>
      <w:b/>
      <w:bCs/>
      <w:iCs/>
      <w:sz w:val="26"/>
      <w:szCs w:val="28"/>
    </w:rPr>
  </w:style>
  <w:style w:type="character" w:customStyle="1" w:styleId="Nadpis3Char">
    <w:name w:val="Nadpis 3 Char"/>
    <w:basedOn w:val="Standardnpsmoodstavce"/>
    <w:link w:val="Nadpis3"/>
    <w:uiPriority w:val="9"/>
    <w:rsid w:val="000F4B16"/>
    <w:rPr>
      <w:rFonts w:ascii="Calibri" w:hAnsi="Calibri"/>
      <w:b/>
      <w:bCs/>
      <w:color w:val="365F91"/>
      <w:sz w:val="24"/>
    </w:rPr>
  </w:style>
  <w:style w:type="character" w:customStyle="1" w:styleId="Nadpis4Char">
    <w:name w:val="Nadpis 4 Char"/>
    <w:basedOn w:val="Standardnpsmoodstavce"/>
    <w:link w:val="Nadpis4"/>
    <w:uiPriority w:val="9"/>
    <w:rsid w:val="000F4B16"/>
    <w:rPr>
      <w:rFonts w:ascii="Calibri" w:hAnsi="Calibri"/>
      <w:b/>
      <w:bCs/>
      <w:i/>
      <w:iCs/>
      <w:sz w:val="24"/>
    </w:rPr>
  </w:style>
  <w:style w:type="character" w:customStyle="1" w:styleId="Nadpis5Char">
    <w:name w:val="Nadpis 5 Char"/>
    <w:basedOn w:val="Standardnpsmoodstavce"/>
    <w:link w:val="Nadpis5"/>
    <w:uiPriority w:val="9"/>
    <w:rsid w:val="000F4B16"/>
    <w:rPr>
      <w:rFonts w:ascii="Calibri" w:hAnsi="Calibri"/>
      <w:color w:val="365F91"/>
      <w:sz w:val="24"/>
    </w:rPr>
  </w:style>
  <w:style w:type="character" w:customStyle="1" w:styleId="Nadpis6Char">
    <w:name w:val="Nadpis 6 Char"/>
    <w:basedOn w:val="Standardnpsmoodstavce"/>
    <w:link w:val="Nadpis6"/>
    <w:uiPriority w:val="9"/>
    <w:rsid w:val="000F4B16"/>
    <w:rPr>
      <w:rFonts w:ascii="Cambria" w:hAnsi="Cambria"/>
      <w:i/>
      <w:iCs/>
      <w:color w:val="243F60"/>
      <w:sz w:val="24"/>
    </w:rPr>
  </w:style>
  <w:style w:type="character" w:customStyle="1" w:styleId="Nadpis7Char">
    <w:name w:val="Nadpis 7 Char"/>
    <w:basedOn w:val="Standardnpsmoodstavce"/>
    <w:link w:val="Nadpis7"/>
    <w:uiPriority w:val="9"/>
    <w:rsid w:val="000F4B16"/>
    <w:rPr>
      <w:rFonts w:ascii="Cambria" w:hAnsi="Cambria"/>
      <w:i/>
      <w:iCs/>
      <w:color w:val="404040"/>
      <w:sz w:val="24"/>
    </w:rPr>
  </w:style>
  <w:style w:type="character" w:customStyle="1" w:styleId="Nadpis8Char">
    <w:name w:val="Nadpis 8 Char"/>
    <w:basedOn w:val="Standardnpsmoodstavce"/>
    <w:link w:val="Nadpis8"/>
    <w:rsid w:val="000F4B16"/>
    <w:rPr>
      <w:rFonts w:ascii="Cambria" w:hAnsi="Cambria"/>
      <w:color w:val="404040"/>
    </w:rPr>
  </w:style>
  <w:style w:type="character" w:customStyle="1" w:styleId="Nadpis9Char">
    <w:name w:val="Nadpis 9 Char"/>
    <w:basedOn w:val="Standardnpsmoodstavce"/>
    <w:link w:val="Nadpis9"/>
    <w:uiPriority w:val="9"/>
    <w:rsid w:val="000F4B16"/>
    <w:rPr>
      <w:rFonts w:ascii="Cambria" w:hAnsi="Cambria"/>
      <w:i/>
      <w:iCs/>
      <w:color w:val="404040"/>
    </w:rPr>
  </w:style>
  <w:style w:type="character" w:styleId="Hypertextovodkaz">
    <w:name w:val="Hyperlink"/>
    <w:uiPriority w:val="99"/>
    <w:unhideWhenUsed/>
    <w:rsid w:val="000F4B16"/>
    <w:rPr>
      <w:color w:val="0000FF"/>
      <w:u w:val="single"/>
    </w:rPr>
  </w:style>
  <w:style w:type="character" w:customStyle="1" w:styleId="TextkomenteChar">
    <w:name w:val="Text komentáře Char"/>
    <w:link w:val="Textkomente"/>
    <w:uiPriority w:val="99"/>
    <w:rsid w:val="000F4B16"/>
    <w:rPr>
      <w:rFonts w:ascii="Calibri" w:hAnsi="Calibri"/>
    </w:rPr>
  </w:style>
  <w:style w:type="paragraph" w:styleId="Textkomente">
    <w:name w:val="annotation text"/>
    <w:basedOn w:val="Normln"/>
    <w:link w:val="TextkomenteChar"/>
    <w:uiPriority w:val="99"/>
    <w:unhideWhenUsed/>
    <w:rsid w:val="000F4B16"/>
    <w:pPr>
      <w:overflowPunct/>
      <w:autoSpaceDE/>
      <w:autoSpaceDN/>
      <w:adjustRightInd/>
      <w:spacing w:before="200" w:after="200"/>
      <w:jc w:val="both"/>
      <w:textAlignment w:val="auto"/>
    </w:pPr>
    <w:rPr>
      <w:rFonts w:ascii="Calibri" w:hAnsi="Calibri"/>
    </w:rPr>
  </w:style>
  <w:style w:type="character" w:customStyle="1" w:styleId="TextkomenteChar1">
    <w:name w:val="Text komentáře Char1"/>
    <w:basedOn w:val="Standardnpsmoodstavce"/>
    <w:uiPriority w:val="99"/>
    <w:semiHidden/>
    <w:rsid w:val="000F4B16"/>
  </w:style>
  <w:style w:type="character" w:styleId="Odkaznakoment">
    <w:name w:val="annotation reference"/>
    <w:uiPriority w:val="99"/>
    <w:rsid w:val="000F4B16"/>
    <w:rPr>
      <w:sz w:val="16"/>
      <w:szCs w:val="16"/>
    </w:rPr>
  </w:style>
  <w:style w:type="paragraph" w:customStyle="1" w:styleId="Standardntext">
    <w:name w:val="Standardní text"/>
    <w:basedOn w:val="Normln"/>
    <w:link w:val="StandardntextChar"/>
    <w:qFormat/>
    <w:rsid w:val="000F4B16"/>
    <w:pPr>
      <w:spacing w:after="120"/>
      <w:jc w:val="both"/>
    </w:pPr>
    <w:rPr>
      <w:rFonts w:cs="Calibri"/>
      <w:sz w:val="24"/>
      <w:szCs w:val="24"/>
    </w:rPr>
  </w:style>
  <w:style w:type="character" w:customStyle="1" w:styleId="StandardntextChar">
    <w:name w:val="Standardní text Char"/>
    <w:link w:val="Standardntext"/>
    <w:rsid w:val="000F4B16"/>
    <w:rPr>
      <w:rFonts w:cs="Calibri"/>
      <w:sz w:val="24"/>
      <w:szCs w:val="24"/>
    </w:rPr>
  </w:style>
  <w:style w:type="paragraph" w:styleId="Textbubliny">
    <w:name w:val="Balloon Text"/>
    <w:basedOn w:val="Normln"/>
    <w:link w:val="TextbublinyChar"/>
    <w:uiPriority w:val="99"/>
    <w:unhideWhenUsed/>
    <w:rsid w:val="000F4B16"/>
    <w:rPr>
      <w:rFonts w:ascii="Tahoma" w:hAnsi="Tahoma" w:cs="Tahoma"/>
      <w:sz w:val="16"/>
      <w:szCs w:val="16"/>
    </w:rPr>
  </w:style>
  <w:style w:type="character" w:customStyle="1" w:styleId="TextbublinyChar">
    <w:name w:val="Text bubliny Char"/>
    <w:basedOn w:val="Standardnpsmoodstavce"/>
    <w:link w:val="Textbubliny"/>
    <w:uiPriority w:val="99"/>
    <w:rsid w:val="000F4B16"/>
    <w:rPr>
      <w:rFonts w:ascii="Tahoma" w:hAnsi="Tahoma" w:cs="Tahoma"/>
      <w:sz w:val="16"/>
      <w:szCs w:val="16"/>
    </w:rPr>
  </w:style>
  <w:style w:type="paragraph" w:styleId="Zhlav">
    <w:name w:val="header"/>
    <w:basedOn w:val="Normln"/>
    <w:link w:val="ZhlavChar"/>
    <w:uiPriority w:val="99"/>
    <w:unhideWhenUsed/>
    <w:rsid w:val="000F4B16"/>
    <w:pPr>
      <w:tabs>
        <w:tab w:val="center" w:pos="4536"/>
        <w:tab w:val="right" w:pos="9072"/>
      </w:tabs>
    </w:pPr>
  </w:style>
  <w:style w:type="character" w:customStyle="1" w:styleId="ZhlavChar">
    <w:name w:val="Záhlaví Char"/>
    <w:basedOn w:val="Standardnpsmoodstavce"/>
    <w:link w:val="Zhlav"/>
    <w:uiPriority w:val="99"/>
    <w:rsid w:val="000F4B16"/>
  </w:style>
  <w:style w:type="paragraph" w:styleId="Zpat">
    <w:name w:val="footer"/>
    <w:basedOn w:val="Normln"/>
    <w:link w:val="ZpatChar"/>
    <w:uiPriority w:val="99"/>
    <w:unhideWhenUsed/>
    <w:rsid w:val="000F4B16"/>
    <w:pPr>
      <w:tabs>
        <w:tab w:val="center" w:pos="4536"/>
        <w:tab w:val="right" w:pos="9072"/>
      </w:tabs>
    </w:pPr>
  </w:style>
  <w:style w:type="character" w:customStyle="1" w:styleId="ZpatChar">
    <w:name w:val="Zápatí Char"/>
    <w:basedOn w:val="Standardnpsmoodstavce"/>
    <w:link w:val="Zpat"/>
    <w:uiPriority w:val="99"/>
    <w:rsid w:val="000F4B16"/>
  </w:style>
  <w:style w:type="paragraph" w:styleId="Odstavecseseznamem">
    <w:name w:val="List Paragraph"/>
    <w:aliases w:val="Nad,Odstavec_muj"/>
    <w:basedOn w:val="Normln"/>
    <w:link w:val="OdstavecseseznamemChar"/>
    <w:uiPriority w:val="34"/>
    <w:qFormat/>
    <w:rsid w:val="00C94B34"/>
    <w:pPr>
      <w:spacing w:after="160" w:line="340" w:lineRule="exact"/>
      <w:ind w:left="720"/>
      <w:contextualSpacing/>
    </w:pPr>
    <w:rPr>
      <w:rFonts w:asciiTheme="minorHAnsi" w:hAnsiTheme="minorHAnsi"/>
      <w:sz w:val="22"/>
    </w:rPr>
  </w:style>
  <w:style w:type="character" w:customStyle="1" w:styleId="OdstavecseseznamemChar">
    <w:name w:val="Odstavec se seznamem Char"/>
    <w:aliases w:val="Nad Char,Odstavec_muj Char"/>
    <w:link w:val="Odstavecseseznamem"/>
    <w:uiPriority w:val="34"/>
    <w:locked/>
    <w:rsid w:val="00C94B34"/>
    <w:rPr>
      <w:rFonts w:asciiTheme="minorHAnsi" w:hAnsiTheme="minorHAnsi"/>
      <w:sz w:val="22"/>
    </w:rPr>
  </w:style>
  <w:style w:type="paragraph" w:customStyle="1" w:styleId="Tabulka">
    <w:name w:val="Tabulka"/>
    <w:basedOn w:val="Titulek"/>
    <w:link w:val="TabulkaChar"/>
    <w:qFormat/>
    <w:rsid w:val="00C94B34"/>
  </w:style>
  <w:style w:type="paragraph" w:styleId="Titulek">
    <w:name w:val="caption"/>
    <w:basedOn w:val="Normln"/>
    <w:next w:val="Normln"/>
    <w:uiPriority w:val="35"/>
    <w:semiHidden/>
    <w:unhideWhenUsed/>
    <w:qFormat/>
    <w:rsid w:val="00C94B34"/>
    <w:pPr>
      <w:spacing w:after="200"/>
    </w:pPr>
    <w:rPr>
      <w:b/>
      <w:bCs/>
      <w:color w:val="4F81BD" w:themeColor="accent1"/>
      <w:sz w:val="18"/>
      <w:szCs w:val="18"/>
    </w:rPr>
  </w:style>
  <w:style w:type="character" w:customStyle="1" w:styleId="TabulkaChar">
    <w:name w:val="Tabulka Char"/>
    <w:link w:val="Tabulka"/>
    <w:locked/>
    <w:rsid w:val="00C94B34"/>
    <w:rPr>
      <w:b/>
      <w:bCs/>
      <w:color w:val="4F81BD" w:themeColor="accent1"/>
      <w:sz w:val="18"/>
      <w:szCs w:val="18"/>
    </w:rPr>
  </w:style>
  <w:style w:type="paragraph" w:customStyle="1" w:styleId="DAVA">
    <w:name w:val="DAVA"/>
    <w:basedOn w:val="Normln"/>
    <w:link w:val="DAVAChar"/>
    <w:uiPriority w:val="99"/>
    <w:qFormat/>
    <w:rsid w:val="00C94B34"/>
    <w:pPr>
      <w:overflowPunct/>
      <w:autoSpaceDE/>
      <w:autoSpaceDN/>
      <w:adjustRightInd/>
      <w:spacing w:before="120"/>
      <w:textAlignment w:val="auto"/>
    </w:pPr>
    <w:rPr>
      <w:rFonts w:ascii="Arial" w:hAnsi="Arial"/>
      <w:sz w:val="28"/>
      <w:lang w:val="x-none" w:eastAsia="x-none"/>
    </w:rPr>
  </w:style>
  <w:style w:type="character" w:customStyle="1" w:styleId="DAVAChar">
    <w:name w:val="DAVA Char"/>
    <w:link w:val="DAVA"/>
    <w:uiPriority w:val="99"/>
    <w:locked/>
    <w:rsid w:val="00C94B34"/>
    <w:rPr>
      <w:rFonts w:ascii="Arial" w:hAnsi="Arial"/>
      <w:sz w:val="28"/>
      <w:lang w:val="x-none" w:eastAsia="x-none"/>
    </w:rPr>
  </w:style>
  <w:style w:type="paragraph" w:customStyle="1" w:styleId="Default">
    <w:name w:val="Default"/>
    <w:rsid w:val="00C94B34"/>
    <w:pPr>
      <w:suppressAutoHyphens/>
      <w:autoSpaceDE w:val="0"/>
    </w:pPr>
    <w:rPr>
      <w:rFonts w:ascii="Calibri" w:hAnsi="Calibri" w:cs="Calibri"/>
      <w:color w:val="000000"/>
      <w:sz w:val="24"/>
      <w:szCs w:val="24"/>
      <w:lang w:eastAsia="ar-SA"/>
    </w:rPr>
  </w:style>
  <w:style w:type="table" w:styleId="Mkatabulky">
    <w:name w:val="Table Grid"/>
    <w:basedOn w:val="Normlntabulka"/>
    <w:uiPriority w:val="59"/>
    <w:rsid w:val="00C94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unhideWhenUsed/>
    <w:qFormat/>
    <w:rsid w:val="00C94B34"/>
    <w:rPr>
      <w:rFonts w:ascii="Calibri" w:hAnsi="Calibri"/>
      <w:lang w:val="x-none" w:eastAsia="x-none"/>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rsid w:val="00C94B34"/>
    <w:rPr>
      <w:rFonts w:ascii="Calibri" w:hAnsi="Calibri"/>
      <w:lang w:val="x-none" w:eastAsia="x-none"/>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unhideWhenUsed/>
    <w:rsid w:val="00C94B34"/>
    <w:rPr>
      <w:vertAlign w:val="superscript"/>
    </w:rPr>
  </w:style>
  <w:style w:type="paragraph" w:customStyle="1" w:styleId="MSp-text">
    <w:name w:val="MSp-text"/>
    <w:basedOn w:val="Normln"/>
    <w:rsid w:val="003C1122"/>
    <w:pPr>
      <w:tabs>
        <w:tab w:val="left" w:pos="720"/>
      </w:tabs>
      <w:overflowPunct/>
      <w:autoSpaceDE/>
      <w:autoSpaceDN/>
      <w:adjustRightInd/>
      <w:spacing w:after="240"/>
      <w:ind w:firstLine="720"/>
      <w:jc w:val="both"/>
      <w:textAlignment w:val="auto"/>
    </w:pPr>
    <w:rPr>
      <w:sz w:val="24"/>
      <w:szCs w:val="24"/>
      <w:lang w:eastAsia="en-US"/>
    </w:rPr>
  </w:style>
  <w:style w:type="paragraph" w:customStyle="1" w:styleId="Textdopisu">
    <w:name w:val="Text dopisu"/>
    <w:basedOn w:val="Normln"/>
    <w:rsid w:val="003C1122"/>
    <w:pPr>
      <w:ind w:firstLine="544"/>
      <w:jc w:val="both"/>
      <w:textAlignment w:val="auto"/>
    </w:pPr>
    <w:rPr>
      <w:sz w:val="24"/>
    </w:rPr>
  </w:style>
  <w:style w:type="paragraph" w:styleId="Normlnweb">
    <w:name w:val="Normal (Web)"/>
    <w:basedOn w:val="Normln"/>
    <w:uiPriority w:val="99"/>
    <w:unhideWhenUsed/>
    <w:rsid w:val="003C1122"/>
    <w:pPr>
      <w:suppressAutoHyphens/>
      <w:overflowPunct/>
      <w:autoSpaceDE/>
      <w:autoSpaceDN/>
      <w:adjustRightInd/>
      <w:spacing w:before="280" w:after="280"/>
      <w:textAlignment w:val="auto"/>
    </w:pPr>
    <w:rPr>
      <w:rFonts w:eastAsia="Calibri" w:cs="Calibri"/>
      <w:sz w:val="24"/>
      <w:szCs w:val="24"/>
      <w:lang w:eastAsia="ar-SA"/>
    </w:rPr>
  </w:style>
  <w:style w:type="character" w:customStyle="1" w:styleId="ZkladntextChar1">
    <w:name w:val="Základní text Char1"/>
    <w:basedOn w:val="Standardnpsmoodstavce"/>
    <w:uiPriority w:val="99"/>
    <w:semiHidden/>
    <w:rsid w:val="00617C33"/>
    <w:rPr>
      <w:rFonts w:asciiTheme="minorHAnsi" w:hAnsiTheme="minorHAnsi"/>
      <w:sz w:val="22"/>
    </w:rPr>
  </w:style>
  <w:style w:type="paragraph" w:styleId="Pedmtkomente">
    <w:name w:val="annotation subject"/>
    <w:basedOn w:val="Textkomente"/>
    <w:next w:val="Textkomente"/>
    <w:link w:val="PedmtkomenteChar"/>
    <w:uiPriority w:val="99"/>
    <w:semiHidden/>
    <w:unhideWhenUsed/>
    <w:rsid w:val="008D409B"/>
    <w:pPr>
      <w:overflowPunct w:val="0"/>
      <w:autoSpaceDE w:val="0"/>
      <w:autoSpaceDN w:val="0"/>
      <w:adjustRightInd w:val="0"/>
      <w:spacing w:before="0" w:after="0"/>
      <w:jc w:val="left"/>
      <w:textAlignment w:val="baseline"/>
    </w:pPr>
    <w:rPr>
      <w:rFonts w:ascii="Times New Roman" w:hAnsi="Times New Roman"/>
      <w:b/>
      <w:bCs/>
    </w:rPr>
  </w:style>
  <w:style w:type="character" w:customStyle="1" w:styleId="PedmtkomenteChar">
    <w:name w:val="Předmět komentáře Char"/>
    <w:basedOn w:val="TextkomenteChar"/>
    <w:link w:val="Pedmtkomente"/>
    <w:uiPriority w:val="99"/>
    <w:semiHidden/>
    <w:rsid w:val="008D409B"/>
    <w:rPr>
      <w:rFonts w:ascii="Calibri" w:hAnsi="Calibri"/>
      <w:b/>
      <w:bCs/>
    </w:rPr>
  </w:style>
  <w:style w:type="paragraph" w:customStyle="1" w:styleId="Poznmkapodarou">
    <w:name w:val="Poznámka pod čarou"/>
    <w:basedOn w:val="Normln"/>
    <w:link w:val="PoznmkapodarouChar"/>
    <w:qFormat/>
    <w:rsid w:val="00380A1D"/>
    <w:pPr>
      <w:tabs>
        <w:tab w:val="left" w:pos="708"/>
      </w:tabs>
      <w:suppressAutoHyphens/>
      <w:autoSpaceDN/>
      <w:adjustRightInd/>
      <w:spacing w:after="60" w:line="200" w:lineRule="atLeast"/>
      <w:jc w:val="both"/>
    </w:pPr>
    <w:rPr>
      <w:lang w:val="x-none" w:eastAsia="x-none"/>
    </w:rPr>
  </w:style>
  <w:style w:type="character" w:customStyle="1" w:styleId="PoznmkapodarouChar">
    <w:name w:val="Poznámka pod čarou Char"/>
    <w:link w:val="Poznmkapodarou"/>
    <w:rsid w:val="00380A1D"/>
    <w:rPr>
      <w:lang w:val="x-none" w:eastAsia="x-none"/>
    </w:rPr>
  </w:style>
  <w:style w:type="paragraph" w:styleId="Prosttext">
    <w:name w:val="Plain Text"/>
    <w:basedOn w:val="Normln"/>
    <w:link w:val="ProsttextChar"/>
    <w:uiPriority w:val="99"/>
    <w:unhideWhenUsed/>
    <w:rsid w:val="000B48A7"/>
    <w:pPr>
      <w:overflowPunct/>
      <w:autoSpaceDE/>
      <w:autoSpaceDN/>
      <w:adjustRightInd/>
      <w:textAlignment w:val="auto"/>
    </w:pPr>
    <w:rPr>
      <w:rFonts w:ascii="Consolas" w:hAnsi="Consolas"/>
      <w:sz w:val="21"/>
      <w:lang w:val="x-none" w:eastAsia="x-none"/>
    </w:rPr>
  </w:style>
  <w:style w:type="character" w:customStyle="1" w:styleId="ProsttextChar">
    <w:name w:val="Prostý text Char"/>
    <w:basedOn w:val="Standardnpsmoodstavce"/>
    <w:link w:val="Prosttext"/>
    <w:uiPriority w:val="99"/>
    <w:rsid w:val="000B48A7"/>
    <w:rPr>
      <w:rFonts w:ascii="Consolas" w:hAnsi="Consolas"/>
      <w:sz w:val="21"/>
      <w:lang w:val="x-none" w:eastAsia="x-none"/>
    </w:rPr>
  </w:style>
  <w:style w:type="paragraph" w:customStyle="1" w:styleId="Styl2">
    <w:name w:val="Styl2"/>
    <w:basedOn w:val="Normln"/>
    <w:uiPriority w:val="99"/>
    <w:rsid w:val="00E45DA1"/>
    <w:pPr>
      <w:overflowPunct/>
      <w:autoSpaceDE/>
      <w:autoSpaceDN/>
      <w:adjustRightInd/>
      <w:spacing w:before="60" w:after="60" w:line="288" w:lineRule="auto"/>
      <w:jc w:val="both"/>
      <w:textAlignment w:val="auto"/>
    </w:pPr>
    <w:rPr>
      <w:rFonts w:ascii="Arial" w:eastAsia="Calibri" w:hAnsi="Arial" w:cs="Arial"/>
    </w:rPr>
  </w:style>
  <w:style w:type="paragraph" w:customStyle="1" w:styleId="Revize1">
    <w:name w:val="Revize1"/>
    <w:hidden/>
    <w:semiHidden/>
    <w:rsid w:val="00E45DA1"/>
    <w:rPr>
      <w:rFonts w:ascii="Calibri" w:hAnsi="Calibri"/>
      <w:sz w:val="22"/>
      <w:szCs w:val="22"/>
    </w:rPr>
  </w:style>
  <w:style w:type="character" w:customStyle="1" w:styleId="hps">
    <w:name w:val="hps"/>
    <w:basedOn w:val="Standardnpsmoodstavce"/>
    <w:rsid w:val="00E45DA1"/>
  </w:style>
  <w:style w:type="paragraph" w:customStyle="1" w:styleId="Odstavecseseznamem1">
    <w:name w:val="Odstavec se seznamem1"/>
    <w:basedOn w:val="Normln"/>
    <w:uiPriority w:val="99"/>
    <w:qFormat/>
    <w:rsid w:val="00E45DA1"/>
    <w:pPr>
      <w:overflowPunct/>
      <w:autoSpaceDE/>
      <w:autoSpaceDN/>
      <w:adjustRightInd/>
      <w:spacing w:after="200" w:line="276" w:lineRule="auto"/>
      <w:ind w:left="720"/>
      <w:textAlignment w:val="auto"/>
    </w:pPr>
    <w:rPr>
      <w:rFonts w:ascii="Calibri" w:eastAsia="Calibri" w:hAnsi="Calibri" w:cs="Calibri"/>
      <w:sz w:val="22"/>
      <w:szCs w:val="22"/>
      <w:lang w:eastAsia="en-US"/>
    </w:rPr>
  </w:style>
  <w:style w:type="paragraph" w:customStyle="1" w:styleId="Tiret0">
    <w:name w:val="Tiret 0"/>
    <w:basedOn w:val="Normln"/>
    <w:rsid w:val="006D1AED"/>
    <w:pPr>
      <w:numPr>
        <w:numId w:val="20"/>
      </w:numPr>
      <w:tabs>
        <w:tab w:val="clear" w:pos="850"/>
        <w:tab w:val="num" w:pos="360"/>
      </w:tabs>
      <w:overflowPunct/>
      <w:autoSpaceDE/>
      <w:autoSpaceDN/>
      <w:adjustRightInd/>
      <w:spacing w:before="120" w:after="120"/>
      <w:ind w:left="0" w:firstLine="0"/>
      <w:jc w:val="both"/>
      <w:textAlignment w:val="auto"/>
    </w:pPr>
    <w:rPr>
      <w:sz w:val="24"/>
      <w:szCs w:val="24"/>
      <w:lang w:val="en-GB"/>
    </w:rPr>
  </w:style>
  <w:style w:type="paragraph" w:customStyle="1" w:styleId="Odstavecseseznamem2">
    <w:name w:val="Odstavec se seznamem2"/>
    <w:basedOn w:val="Normln"/>
    <w:uiPriority w:val="99"/>
    <w:qFormat/>
    <w:rsid w:val="00235340"/>
    <w:pPr>
      <w:overflowPunct/>
      <w:autoSpaceDE/>
      <w:autoSpaceDN/>
      <w:adjustRightInd/>
      <w:spacing w:after="200" w:line="276" w:lineRule="auto"/>
      <w:ind w:left="720"/>
      <w:textAlignment w:val="auto"/>
    </w:pPr>
    <w:rPr>
      <w:rFonts w:ascii="Calibri" w:eastAsia="Calibri" w:hAnsi="Calibri" w:cs="Calibri"/>
      <w:sz w:val="22"/>
      <w:szCs w:val="22"/>
      <w:lang w:eastAsia="en-US"/>
    </w:rPr>
  </w:style>
  <w:style w:type="character" w:styleId="slostrnky">
    <w:name w:val="page number"/>
    <w:basedOn w:val="Standardnpsmoodstavce"/>
    <w:uiPriority w:val="99"/>
    <w:rsid w:val="00235340"/>
  </w:style>
  <w:style w:type="paragraph" w:customStyle="1" w:styleId="Revize2">
    <w:name w:val="Revize2"/>
    <w:hidden/>
    <w:semiHidden/>
    <w:rsid w:val="00235340"/>
    <w:rPr>
      <w:rFonts w:ascii="Calibri" w:hAnsi="Calibri"/>
      <w:sz w:val="22"/>
      <w:szCs w:val="22"/>
    </w:rPr>
  </w:style>
  <w:style w:type="paragraph" w:customStyle="1" w:styleId="CM1">
    <w:name w:val="CM1"/>
    <w:basedOn w:val="Normln"/>
    <w:next w:val="Normln"/>
    <w:uiPriority w:val="99"/>
    <w:rsid w:val="00E44916"/>
    <w:pPr>
      <w:overflowPunct/>
      <w:textAlignment w:val="auto"/>
    </w:pPr>
    <w:rPr>
      <w:rFonts w:ascii="EUAlbertina" w:eastAsia="Calibri" w:hAnsi="EUAlbertina"/>
      <w:sz w:val="24"/>
      <w:szCs w:val="24"/>
    </w:rPr>
  </w:style>
  <w:style w:type="character" w:styleId="Siln">
    <w:name w:val="Strong"/>
    <w:basedOn w:val="Standardnpsmoodstavce"/>
    <w:uiPriority w:val="22"/>
    <w:qFormat/>
    <w:rsid w:val="006D00D4"/>
    <w:rPr>
      <w:b/>
      <w:bCs/>
    </w:rPr>
  </w:style>
  <w:style w:type="paragraph" w:customStyle="1" w:styleId="Odrky">
    <w:name w:val="Odrážky"/>
    <w:basedOn w:val="Normln"/>
    <w:uiPriority w:val="99"/>
    <w:rsid w:val="000B03D0"/>
    <w:pPr>
      <w:numPr>
        <w:numId w:val="42"/>
      </w:numPr>
      <w:overflowPunct/>
      <w:autoSpaceDE/>
      <w:autoSpaceDN/>
      <w:adjustRightInd/>
      <w:spacing w:after="40"/>
      <w:jc w:val="both"/>
      <w:textAlignment w:val="auto"/>
    </w:pPr>
    <w:rPr>
      <w:rFonts w:ascii="Verdana" w:hAnsi="Verdana" w:cs="Verdana"/>
      <w:lang w:eastAsia="en-US"/>
    </w:rPr>
  </w:style>
  <w:style w:type="paragraph" w:customStyle="1" w:styleId="TextNOK">
    <w:name w:val="Text NOK"/>
    <w:basedOn w:val="Normln"/>
    <w:link w:val="TextNOKChar"/>
    <w:rsid w:val="000B03D0"/>
    <w:pPr>
      <w:overflowPunct/>
      <w:autoSpaceDE/>
      <w:autoSpaceDN/>
      <w:adjustRightInd/>
      <w:spacing w:after="120" w:line="288" w:lineRule="auto"/>
      <w:jc w:val="both"/>
      <w:textAlignment w:val="auto"/>
    </w:pPr>
    <w:rPr>
      <w:rFonts w:ascii="Arial" w:eastAsia="Calibri" w:hAnsi="Arial"/>
      <w:szCs w:val="22"/>
      <w:lang w:val="x-none" w:eastAsia="x-none"/>
    </w:rPr>
  </w:style>
  <w:style w:type="character" w:customStyle="1" w:styleId="TextNOKChar">
    <w:name w:val="Text NOK Char"/>
    <w:link w:val="TextNOK"/>
    <w:locked/>
    <w:rsid w:val="000B03D0"/>
    <w:rPr>
      <w:rFonts w:ascii="Arial" w:eastAsia="Calibri" w:hAnsi="Arial"/>
      <w:szCs w:val="22"/>
      <w:lang w:val="x-none" w:eastAsia="x-none"/>
    </w:rPr>
  </w:style>
  <w:style w:type="paragraph" w:customStyle="1" w:styleId="grafy">
    <w:name w:val="grafy"/>
    <w:basedOn w:val="Seznam"/>
    <w:next w:val="Normln"/>
    <w:qFormat/>
    <w:rsid w:val="000B03D0"/>
    <w:pPr>
      <w:numPr>
        <w:numId w:val="43"/>
      </w:numPr>
      <w:tabs>
        <w:tab w:val="num" w:pos="850"/>
      </w:tabs>
      <w:spacing w:after="0" w:line="240" w:lineRule="auto"/>
      <w:ind w:left="0" w:firstLine="0"/>
      <w:jc w:val="both"/>
    </w:pPr>
    <w:rPr>
      <w:rFonts w:ascii="Cambria" w:hAnsi="Cambria"/>
      <w:b/>
      <w:color w:val="76923C"/>
      <w:sz w:val="18"/>
    </w:rPr>
  </w:style>
  <w:style w:type="paragraph" w:styleId="Seznam">
    <w:name w:val="List"/>
    <w:basedOn w:val="Normln"/>
    <w:uiPriority w:val="99"/>
    <w:semiHidden/>
    <w:unhideWhenUsed/>
    <w:rsid w:val="000B03D0"/>
    <w:pPr>
      <w:overflowPunct/>
      <w:autoSpaceDE/>
      <w:autoSpaceDN/>
      <w:adjustRightInd/>
      <w:spacing w:after="200" w:line="276" w:lineRule="auto"/>
      <w:ind w:left="283" w:hanging="283"/>
      <w:contextualSpacing/>
      <w:textAlignment w:val="auto"/>
    </w:pPr>
    <w:rPr>
      <w:rFonts w:ascii="Calibri" w:hAnsi="Calibri"/>
      <w:sz w:val="22"/>
      <w:szCs w:val="22"/>
    </w:rPr>
  </w:style>
  <w:style w:type="paragraph" w:styleId="Revize">
    <w:name w:val="Revision"/>
    <w:hidden/>
    <w:uiPriority w:val="99"/>
    <w:semiHidden/>
    <w:rsid w:val="0083711E"/>
    <w:rPr>
      <w:rFonts w:ascii="Calibri" w:hAnsi="Calibri"/>
      <w:sz w:val="22"/>
      <w:szCs w:val="22"/>
    </w:rPr>
  </w:style>
  <w:style w:type="character" w:styleId="Sledovanodkaz">
    <w:name w:val="FollowedHyperlink"/>
    <w:uiPriority w:val="99"/>
    <w:semiHidden/>
    <w:unhideWhenUsed/>
    <w:rsid w:val="0083711E"/>
    <w:rPr>
      <w:color w:val="800080"/>
      <w:u w:val="single"/>
    </w:rPr>
  </w:style>
  <w:style w:type="character" w:customStyle="1" w:styleId="apple-converted-space">
    <w:name w:val="apple-converted-space"/>
    <w:rsid w:val="0083711E"/>
  </w:style>
  <w:style w:type="character" w:customStyle="1" w:styleId="apple-style-span">
    <w:name w:val="apple-style-span"/>
    <w:rsid w:val="0083711E"/>
  </w:style>
  <w:style w:type="paragraph" w:customStyle="1" w:styleId="Point4letter">
    <w:name w:val="Point 4 (letter)"/>
    <w:basedOn w:val="Normln"/>
    <w:rsid w:val="00464549"/>
    <w:pPr>
      <w:tabs>
        <w:tab w:val="num" w:pos="3118"/>
      </w:tabs>
      <w:overflowPunct/>
      <w:autoSpaceDE/>
      <w:autoSpaceDN/>
      <w:adjustRightInd/>
      <w:spacing w:before="120" w:after="120"/>
      <w:ind w:left="3118" w:hanging="567"/>
      <w:jc w:val="both"/>
      <w:textAlignment w:val="auto"/>
    </w:pPr>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409899">
      <w:bodyDiv w:val="1"/>
      <w:marLeft w:val="0"/>
      <w:marRight w:val="0"/>
      <w:marTop w:val="0"/>
      <w:marBottom w:val="0"/>
      <w:divBdr>
        <w:top w:val="none" w:sz="0" w:space="0" w:color="auto"/>
        <w:left w:val="none" w:sz="0" w:space="0" w:color="auto"/>
        <w:bottom w:val="none" w:sz="0" w:space="0" w:color="auto"/>
        <w:right w:val="none" w:sz="0" w:space="0" w:color="auto"/>
      </w:divBdr>
    </w:div>
    <w:div w:id="138964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vzdelavaninsrr.cz/e-knihovna/" TargetMode="External"/><Relationship Id="rId21" Type="http://schemas.openxmlformats.org/officeDocument/2006/relationships/hyperlink" Target="http://www.mzp.cz/cz/posuzovani_vlivu_zivotni_prostredi" TargetMode="External"/><Relationship Id="rId42" Type="http://schemas.openxmlformats.org/officeDocument/2006/relationships/hyperlink" Target="http://www.mpo.cz/assets/cz/e-komunikace-a-posta/Internet/2013/4/Digi_esko_v.2.0.pdf" TargetMode="External"/><Relationship Id="rId47" Type="http://schemas.openxmlformats.org/officeDocument/2006/relationships/hyperlink" Target="http://www.mpo.cz/assets/cz/e-komunikace-a-posta/Internet/2013/4/Digi_esko_v.2.0.pdf" TargetMode="External"/><Relationship Id="rId63" Type="http://schemas.openxmlformats.org/officeDocument/2006/relationships/hyperlink" Target="http://databaze-strategie.cz/cz/mpo/strategie/koncepce-podpory-malych-a-strednich-podnikatelu-2014-2020" TargetMode="External"/><Relationship Id="rId68" Type="http://schemas.openxmlformats.org/officeDocument/2006/relationships/hyperlink" Target="http://www.vlada.cz/cz/ppov/zmocnenec-vlady-pro-lidska-prava/organizace-sekce-lp/organizace-sekce-lidskych-prav-107606/" TargetMode="External"/><Relationship Id="rId84" Type="http://schemas.openxmlformats.org/officeDocument/2006/relationships/hyperlink" Target="http://www.mfcr.cz/cs/legislativa/metodiky/2014/metodika-financnich-toku-a-kontroly-prog-17121" TargetMode="External"/><Relationship Id="rId89" Type="http://schemas.openxmlformats.org/officeDocument/2006/relationships/hyperlink" Target="http://www.portal-vz.cz/cs/Aktuality/Uverejneni-dokumentace-k-moznosti-napojeni-Individ" TargetMode="External"/><Relationship Id="rId112" Type="http://schemas.openxmlformats.org/officeDocument/2006/relationships/hyperlink" Target="http://portal.cenia.cz/eiasea/view/SEA100_koncepce" TargetMode="External"/><Relationship Id="rId2" Type="http://schemas.openxmlformats.org/officeDocument/2006/relationships/numbering" Target="numbering.xml"/><Relationship Id="rId16" Type="http://schemas.openxmlformats.org/officeDocument/2006/relationships/hyperlink" Target="http://portal.cenia.cz/eiasea/static/eia_legislativa" TargetMode="External"/><Relationship Id="rId29" Type="http://schemas.openxmlformats.org/officeDocument/2006/relationships/hyperlink" Target="http://portal.cenia.cz/eiasea/view/SEA100_koncepce" TargetMode="External"/><Relationship Id="rId107" Type="http://schemas.openxmlformats.org/officeDocument/2006/relationships/hyperlink" Target="http://portal.cenia.cz/eiasea/view/eia100_cr" TargetMode="External"/><Relationship Id="rId11" Type="http://schemas.openxmlformats.org/officeDocument/2006/relationships/hyperlink" Target="http://www.vlada.cz/assets/media-centrum/aktualne/Strategie-mezinarodni-konkurenceschopnosti-Ceske-republiky.pdf" TargetMode="External"/><Relationship Id="rId24" Type="http://schemas.openxmlformats.org/officeDocument/2006/relationships/hyperlink" Target="http://portal.cenia.cz/eiasea/osoby/osoby" TargetMode="External"/><Relationship Id="rId32" Type="http://schemas.openxmlformats.org/officeDocument/2006/relationships/hyperlink" Target="http://portal.cenia.cz/eiasea/view/SEA100_koncepce" TargetMode="External"/><Relationship Id="rId37" Type="http://schemas.openxmlformats.org/officeDocument/2006/relationships/hyperlink" Target="http://databaze-strategie.cz/cz/mv/strategie/strategicky-ramec-rozvoje-verejne-spravy-ceske-republiky-pro-obdobi-2014-2020" TargetMode="External"/><Relationship Id="rId40" Type="http://schemas.openxmlformats.org/officeDocument/2006/relationships/footer" Target="footer3.xml"/><Relationship Id="rId45" Type="http://schemas.openxmlformats.org/officeDocument/2006/relationships/hyperlink" Target="http://databaze-strategie.cz/cz/mv/strategie/strategicky-ramec-rozvoje-verejne-spravy-ceske-republiky-pro-obdobi-2014-2020" TargetMode="External"/><Relationship Id="rId53" Type="http://schemas.openxmlformats.org/officeDocument/2006/relationships/hyperlink" Target="http://www.mvcr.cz/odk2/clanek/odbor-verejne-spravy-dozoru-a-kontroly.aspx?q=Y2hudW09OQ%3d%3d" TargetMode="External"/><Relationship Id="rId58" Type="http://schemas.openxmlformats.org/officeDocument/2006/relationships/hyperlink" Target="http://www.czso.cz/csu/redakce.nsf/i/informacni_ekonomika" TargetMode="External"/><Relationship Id="rId66" Type="http://schemas.openxmlformats.org/officeDocument/2006/relationships/hyperlink" Target="http://www.mvcr.cz/odk2/clanek/odbor-verejne-spravy-dozoru-a-kontroly.aspx?q=Y2hudW09OQ%3d%3d" TargetMode="External"/><Relationship Id="rId74" Type="http://schemas.openxmlformats.org/officeDocument/2006/relationships/hyperlink" Target="http://www.vlada.cz/cz/ppov/vvzpo/dokumenty/zprava-o-plneni-opatreni-narodniho-planu-vytvareni-rovnych-prilezitosti-pro-osoby-se-zdravotnim-postizenim-na-obdobi-2010-2014-v-roce-2012-110987/" TargetMode="External"/><Relationship Id="rId79" Type="http://schemas.openxmlformats.org/officeDocument/2006/relationships/hyperlink" Target="http://www.portal-vz.cz/cs/Jak-na-zadavani-verejnych-zakazek/Metodiky-stanoviska/Stanoviska/Stanoviska-expertni-skupiny-MMR-k-ZVZ" TargetMode="External"/><Relationship Id="rId87" Type="http://schemas.openxmlformats.org/officeDocument/2006/relationships/hyperlink" Target="http://www.vestnikverejnychzakazek.cz/" TargetMode="External"/><Relationship Id="rId102" Type="http://schemas.openxmlformats.org/officeDocument/2006/relationships/hyperlink" Target="http://www.uohs.cz/cs/verejna-podpora.html" TargetMode="External"/><Relationship Id="rId110" Type="http://schemas.openxmlformats.org/officeDocument/2006/relationships/hyperlink" Target="http://www.mzp.cz/cz/posuzovani_vlivu_zivotni_prostredi" TargetMode="External"/><Relationship Id="rId5" Type="http://schemas.openxmlformats.org/officeDocument/2006/relationships/settings" Target="settings.xml"/><Relationship Id="rId61" Type="http://schemas.openxmlformats.org/officeDocument/2006/relationships/hyperlink" Target="http://www.mpo.cz/assets/cz/e-komunikace-a-posta/Internet/2013/4/Digi_esko_v.2.0.pdf" TargetMode="External"/><Relationship Id="rId82" Type="http://schemas.openxmlformats.org/officeDocument/2006/relationships/hyperlink" Target="http://mmr.cz/cs/Ministerstvo/Ministerstvo/Pro-media/Tiskove-zpravy/2014/Zakon-o-verejnych-zakazkach-pripravuje-siroke-kole" TargetMode="External"/><Relationship Id="rId90" Type="http://schemas.openxmlformats.org/officeDocument/2006/relationships/hyperlink" Target="https://nen.nipez.cz" TargetMode="External"/><Relationship Id="rId95" Type="http://schemas.openxmlformats.org/officeDocument/2006/relationships/hyperlink" Target="http://www.mfcr.cz/cs/legislativa/metodiky/2014/metodika-financnich-toku-a-kontroly-prog-17121" TargetMode="External"/><Relationship Id="rId19" Type="http://schemas.openxmlformats.org/officeDocument/2006/relationships/hyperlink" Target="http://portal.cenia.cz/eiasea/view/SEA100_koncepce" TargetMode="External"/><Relationship Id="rId14" Type="http://schemas.openxmlformats.org/officeDocument/2006/relationships/footer" Target="footer1.xml"/><Relationship Id="rId22" Type="http://schemas.openxmlformats.org/officeDocument/2006/relationships/hyperlink" Target="http://portal.cenia.cz/eiasea/view/eia100_cr" TargetMode="External"/><Relationship Id="rId27" Type="http://schemas.openxmlformats.org/officeDocument/2006/relationships/hyperlink" Target="http://www.mzp.cz/cz/posuzovani_vlivu_zivotni_prostredi" TargetMode="External"/><Relationship Id="rId30" Type="http://schemas.openxmlformats.org/officeDocument/2006/relationships/hyperlink" Target="http://www.mzp.cz/cz/posuzovani_vlivu_zivotni_prostredi" TargetMode="External"/><Relationship Id="rId35" Type="http://schemas.openxmlformats.org/officeDocument/2006/relationships/footer" Target="footer2.xml"/><Relationship Id="rId43" Type="http://schemas.openxmlformats.org/officeDocument/2006/relationships/hyperlink" Target="http://www.mpo.cz/dokument119071.html" TargetMode="External"/><Relationship Id="rId48" Type="http://schemas.openxmlformats.org/officeDocument/2006/relationships/hyperlink" Target="http://www.mpo.cz/dokument119071.html" TargetMode="External"/><Relationship Id="rId56" Type="http://schemas.openxmlformats.org/officeDocument/2006/relationships/hyperlink" Target="http://www.mpo.cz/assets/cz/e-komunikace-a-posta/Internet/2013/4/Digi_esko_v.2.0.pdf" TargetMode="External"/><Relationship Id="rId64" Type="http://schemas.openxmlformats.org/officeDocument/2006/relationships/hyperlink" Target="http://www.mvcr.cz/odk2/clanek/odbor-verejne-spravy-dozoru-a-kontroly.aspx?q=Y2hudW09OQ%3d%3d" TargetMode="External"/><Relationship Id="rId69" Type="http://schemas.openxmlformats.org/officeDocument/2006/relationships/hyperlink" Target="http://www.strukturalni-fondy.cz/cs/Fondy-EU/2014-2020/Metodicke-pokyny/Metodika-rozvoje-lidskych-zdroju" TargetMode="External"/><Relationship Id="rId77" Type="http://schemas.openxmlformats.org/officeDocument/2006/relationships/hyperlink" Target="http://www.portal-vz.cz/cs/Jak-na-zadavani-verejnych-zakazek/Legislativa-a-Judikatura/Legislativa/Narodni-legislativa-aktualni-a-uplne-zneni-z-(1)" TargetMode="External"/><Relationship Id="rId100" Type="http://schemas.openxmlformats.org/officeDocument/2006/relationships/hyperlink" Target="http://www.strukturalni-fondy.cz" TargetMode="External"/><Relationship Id="rId105" Type="http://schemas.openxmlformats.org/officeDocument/2006/relationships/hyperlink" Target="http://portal.cenia.cz/eiasea/static/eia_legislativa" TargetMode="External"/><Relationship Id="rId113"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mpo.cz/dokument119071.html" TargetMode="External"/><Relationship Id="rId72" Type="http://schemas.openxmlformats.org/officeDocument/2006/relationships/hyperlink" Target="http://www.strukturalni-fondy.cz/cs/Fondy-EU/2014-2020/Metodicke-pokyny/Metodika-rozvoje-lidskych-zdroju" TargetMode="External"/><Relationship Id="rId80" Type="http://schemas.openxmlformats.org/officeDocument/2006/relationships/hyperlink" Target="http://www.portal-vz.cz/cs/Aktuality" TargetMode="External"/><Relationship Id="rId85" Type="http://schemas.openxmlformats.org/officeDocument/2006/relationships/hyperlink" Target="http://www.portal-vz.cz/cs/Jak-na-zadavani-verejnych-zakazek/Legislativa-a-Judikatura/Legislativa/Narodni-legislativa-aktualni-a-uplne-zneni-z-(1)" TargetMode="External"/><Relationship Id="rId93" Type="http://schemas.openxmlformats.org/officeDocument/2006/relationships/hyperlink" Target="http://www.strukturalni-fondy.cz/cs/Fondy-EU/2014-2020/Metodicke-pokyny/Metodika-rozvoje-lidskych-zdroju" TargetMode="External"/><Relationship Id="rId98" Type="http://schemas.openxmlformats.org/officeDocument/2006/relationships/hyperlink" Target="http://www.uohs.cz/cs/verejna-podpora/akuality-z-verejne-podpory.html" TargetMode="External"/><Relationship Id="rId3" Type="http://schemas.openxmlformats.org/officeDocument/2006/relationships/styles" Target="styles.xml"/><Relationship Id="rId12" Type="http://schemas.openxmlformats.org/officeDocument/2006/relationships/hyperlink" Target="http://www.vlada.cz/assets/evropske-zalezitosti/aktualne/NPR-2014.pdf" TargetMode="External"/><Relationship Id="rId17" Type="http://schemas.openxmlformats.org/officeDocument/2006/relationships/hyperlink" Target="http://www.mzp.cz/cz/posuzovani_vlivu_zivotni_prostredi" TargetMode="External"/><Relationship Id="rId25" Type="http://schemas.openxmlformats.org/officeDocument/2006/relationships/hyperlink" Target="http://portal.cenia.cz/eiasea/static/eia_legislativa" TargetMode="External"/><Relationship Id="rId33" Type="http://schemas.openxmlformats.org/officeDocument/2006/relationships/hyperlink" Target="http://portal.cenia.cz/eiasea/osoby/osoby" TargetMode="External"/><Relationship Id="rId38" Type="http://schemas.openxmlformats.org/officeDocument/2006/relationships/hyperlink" Target="http://www.mvcr.cz/odk2/clanek/odbor-verejne-spravy-dozoru-a-kontroly.aspx?q=Y2hudW09OQ%3d%3d" TargetMode="External"/><Relationship Id="rId46" Type="http://schemas.openxmlformats.org/officeDocument/2006/relationships/hyperlink" Target="http://www.msmt.cz/uploads/OP_VVV/Narodni_RIS3_strategie_schvalena_vladou_8._12._2014.pdf" TargetMode="External"/><Relationship Id="rId59" Type="http://schemas.openxmlformats.org/officeDocument/2006/relationships/hyperlink" Target="http://www.mpo-efekt.cz/cz/ekis/i-ekis" TargetMode="External"/><Relationship Id="rId67" Type="http://schemas.openxmlformats.org/officeDocument/2006/relationships/hyperlink" Target="http://www.ochrance.cz/en/discrimination/" TargetMode="External"/><Relationship Id="rId103" Type="http://schemas.openxmlformats.org/officeDocument/2006/relationships/hyperlink" Target="http://www.strukturalni-fondy.cz" TargetMode="External"/><Relationship Id="rId108" Type="http://schemas.openxmlformats.org/officeDocument/2006/relationships/hyperlink" Target="http://portal.cenia.cz/eiasea/view/SEA100_koncepce" TargetMode="External"/><Relationship Id="rId20" Type="http://schemas.openxmlformats.org/officeDocument/2006/relationships/hyperlink" Target="http://www.vzdelavaninsrr.cz/e-knihovna/" TargetMode="External"/><Relationship Id="rId41" Type="http://schemas.openxmlformats.org/officeDocument/2006/relationships/hyperlink" Target="http://www.mpo.cz/dokument83642.html" TargetMode="External"/><Relationship Id="rId54" Type="http://schemas.openxmlformats.org/officeDocument/2006/relationships/hyperlink" Target="http://databaze-strategie.cz/cz/mv/strategie/strategicky-ramec-rozvoje-verejne-spravy-ceske-republiky-pro-obdobi-2014-2020" TargetMode="External"/><Relationship Id="rId62" Type="http://schemas.openxmlformats.org/officeDocument/2006/relationships/hyperlink" Target="http://www.mpo.cz/dokument119071.html" TargetMode="External"/><Relationship Id="rId70" Type="http://schemas.openxmlformats.org/officeDocument/2006/relationships/hyperlink" Target="http://www.ochrance.cz/en/discrimination/" TargetMode="External"/><Relationship Id="rId75" Type="http://schemas.openxmlformats.org/officeDocument/2006/relationships/hyperlink" Target="http://www.strukturalni-fondy.cz/cs/Fondy-EU/2014-2020/Metodicke-pokyny/Metodika-rozvoje-lidskych-zdroju" TargetMode="External"/><Relationship Id="rId83" Type="http://schemas.openxmlformats.org/officeDocument/2006/relationships/hyperlink" Target="http://www.portal-vz.cz/cs/Jak-na-zadavani-verejnych-zakazek/Metodiky-stanoviska/Katalog-vzorovych-zadavacich-dokumentaci" TargetMode="External"/><Relationship Id="rId88" Type="http://schemas.openxmlformats.org/officeDocument/2006/relationships/hyperlink" Target="http://www.portal-vz.cz/cs/Aktuality/Informace-k-postupu-pri-uverejnovani-v-souvislosti" TargetMode="External"/><Relationship Id="rId91" Type="http://schemas.openxmlformats.org/officeDocument/2006/relationships/hyperlink" Target="http://www.portal-vz.cz/cs/Spoluprace-a-vymena-informaci/Info-forum/Otazky-a-odpovedi" TargetMode="External"/><Relationship Id="rId96" Type="http://schemas.openxmlformats.org/officeDocument/2006/relationships/hyperlink" Target="http://www.uohs.cz/cs/verejna-podpora/manualy-metodiky-a-dalsi-dokumenty.html" TargetMode="External"/><Relationship Id="rId111" Type="http://schemas.openxmlformats.org/officeDocument/2006/relationships/hyperlink" Target="http://portal.cenia.cz/eiasea/view/eia100_cr"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portal.cenia.cz/eiasea/static/sea_legislativa" TargetMode="External"/><Relationship Id="rId23" Type="http://schemas.openxmlformats.org/officeDocument/2006/relationships/hyperlink" Target="http://portal.cenia.cz/eiasea/view/SEA100_koncepce" TargetMode="External"/><Relationship Id="rId28" Type="http://schemas.openxmlformats.org/officeDocument/2006/relationships/hyperlink" Target="http://portal.cenia.cz/eiasea/view/eia100_cr" TargetMode="External"/><Relationship Id="rId36" Type="http://schemas.openxmlformats.org/officeDocument/2006/relationships/hyperlink" Target="http://www.mvcr.cz/odk2/clanek/odbor-verejne-spravy-dozoru-a-kontroly.aspx?q=Y2hudW09OQ%3d%3d" TargetMode="External"/><Relationship Id="rId49" Type="http://schemas.openxmlformats.org/officeDocument/2006/relationships/hyperlink" Target="http://www.mpo.cz/dokument83642.html" TargetMode="External"/><Relationship Id="rId57" Type="http://schemas.openxmlformats.org/officeDocument/2006/relationships/hyperlink" Target="http://www.mpo.cz/dokument119071.html" TargetMode="External"/><Relationship Id="rId106" Type="http://schemas.openxmlformats.org/officeDocument/2006/relationships/hyperlink" Target="http://www.mzp.cz/cz/posuzovani_vlivu_zivotni_prostredi" TargetMode="External"/><Relationship Id="rId114" Type="http://schemas.openxmlformats.org/officeDocument/2006/relationships/theme" Target="theme/theme1.xml"/><Relationship Id="rId10" Type="http://schemas.openxmlformats.org/officeDocument/2006/relationships/hyperlink" Target="http://www.czechinvest.org/vyber-dodavatele-v-oppi-000" TargetMode="External"/><Relationship Id="rId31" Type="http://schemas.openxmlformats.org/officeDocument/2006/relationships/hyperlink" Target="http://portal.cenia.cz/eiasea/view/eia100_cr" TargetMode="External"/><Relationship Id="rId44" Type="http://schemas.openxmlformats.org/officeDocument/2006/relationships/hyperlink" Target="http://www.mvcr.cz/odk2/clanek/odbor-verejne-spravy-dozoru-a-kontroly.aspx?q=Y2hudW09OQ%3d%3d" TargetMode="External"/><Relationship Id="rId52" Type="http://schemas.openxmlformats.org/officeDocument/2006/relationships/hyperlink" Target="http://www.mpo.cz/assets/cz/e-komunikace-a-posta/Internet/2013/4/Digi_esko_v.2.0.pdf" TargetMode="External"/><Relationship Id="rId60" Type="http://schemas.openxmlformats.org/officeDocument/2006/relationships/hyperlink" Target="http://www.mpo.cz/dokument83642.html" TargetMode="External"/><Relationship Id="rId65" Type="http://schemas.openxmlformats.org/officeDocument/2006/relationships/hyperlink" Target="http://databaze-strategie.cz/cz/mv/strategie/strategicky-ramec-rozvoje-verejne-spravy-ceske-republiky-pro-obdobi-2014-2020" TargetMode="External"/><Relationship Id="rId73" Type="http://schemas.openxmlformats.org/officeDocument/2006/relationships/hyperlink" Target="http://www.vlada.cz/cz/ppov/vvzpo/dokumenty/narodni-plan-vytvareni-rovnych-prilezitosti-pro-osoby-se-zdravotnim-postizenim-na-obdobi-2010---2014-70026/" TargetMode="External"/><Relationship Id="rId78" Type="http://schemas.openxmlformats.org/officeDocument/2006/relationships/hyperlink" Target="http://www.portal-vz.cz/cs/Jak-na-zadavani-verejnych-zakazek/Metodiky-stanoviska" TargetMode="External"/><Relationship Id="rId81" Type="http://schemas.openxmlformats.org/officeDocument/2006/relationships/hyperlink" Target="http://www.strukturalni-fondy.cz/cs/Fondy-EU/Narodni-organ-pro-koordinaci/Dokumenty" TargetMode="External"/><Relationship Id="rId86" Type="http://schemas.openxmlformats.org/officeDocument/2006/relationships/hyperlink" Target="http://www.portal-vz.cz/cs/Jak-na-zadavani-verejnych-zakazek/Metodiky-stanoviska/Metodicke-pokyny" TargetMode="External"/><Relationship Id="rId94" Type="http://schemas.openxmlformats.org/officeDocument/2006/relationships/hyperlink" Target="http://www.uohs.cz/cs/legislativa/verejna-podpora.html" TargetMode="External"/><Relationship Id="rId99" Type="http://schemas.openxmlformats.org/officeDocument/2006/relationships/hyperlink" Target="http://www.vzdelavaninsrr.cz/" TargetMode="External"/><Relationship Id="rId101" Type="http://schemas.openxmlformats.org/officeDocument/2006/relationships/hyperlink" Target="http://www.strukturalni-fondy.cz/cs/Fondy-EU/2014-2020/Metodicke-pokyny/Metodika-rozvoje-lidskych-zdroju" TargetMode="External"/><Relationship Id="rId4" Type="http://schemas.microsoft.com/office/2007/relationships/stylesWithEffects" Target="stylesWithEffects.xml"/><Relationship Id="rId9" Type="http://schemas.openxmlformats.org/officeDocument/2006/relationships/hyperlink" Target="http://www.czechinvest.org/data/files/pokyny-k-uspusne-realizaci-vyburoveho-rizeni-na-dodavatele-cerven-2014-3814.pdf" TargetMode="External"/><Relationship Id="rId13" Type="http://schemas.openxmlformats.org/officeDocument/2006/relationships/hyperlink" Target="http://www.esfcr.cz/file/8938/" TargetMode="External"/><Relationship Id="rId18" Type="http://schemas.openxmlformats.org/officeDocument/2006/relationships/hyperlink" Target="http://portal.cenia.cz/eiasea/view/eia100_cr" TargetMode="External"/><Relationship Id="rId39" Type="http://schemas.openxmlformats.org/officeDocument/2006/relationships/hyperlink" Target="http://www.msmt.cz/uploads/OP_VVV/Narodni_RIS3_strategie_schvalena_vladou_8._12._2014.pdf" TargetMode="External"/><Relationship Id="rId109" Type="http://schemas.openxmlformats.org/officeDocument/2006/relationships/hyperlink" Target="http://www.strukturalni-fondy.cz/cs/Fondy-EU/2014-2020/Metodicke-pokyny/Metodika-rozvoje-lidskych-zdroju" TargetMode="External"/><Relationship Id="rId34" Type="http://schemas.openxmlformats.org/officeDocument/2006/relationships/header" Target="header1.xml"/><Relationship Id="rId50" Type="http://schemas.openxmlformats.org/officeDocument/2006/relationships/hyperlink" Target="http://www.mpo.cz/assets/cz/e-komunikace-a-posta/Internet/2013/4/Digi_esko_v.2.0.pdf" TargetMode="External"/><Relationship Id="rId55" Type="http://schemas.openxmlformats.org/officeDocument/2006/relationships/hyperlink" Target="http://www.msmt.cz/uploads/OP_VVV/Narodni_RIS3_strategie_schvalena_vladou_8._12._2014.pdf" TargetMode="External"/><Relationship Id="rId76" Type="http://schemas.openxmlformats.org/officeDocument/2006/relationships/hyperlink" Target="http://www.vlada.cz/cz/ppov/vvzpo/dokumenty/narodni-plan-vytvareni-rovnych-prilezitosti-pro-osoby-se-zdravotnim-postizenim-na-obdobi-2010---2014-70026/" TargetMode="External"/><Relationship Id="rId97" Type="http://schemas.openxmlformats.org/officeDocument/2006/relationships/hyperlink" Target="http://eagri.cz/public/web/mze/farmar/registr-podpor-de-minimis/" TargetMode="External"/><Relationship Id="rId104" Type="http://schemas.openxmlformats.org/officeDocument/2006/relationships/hyperlink" Target="http://portal.cenia.cz/eiasea/static/sea_legislativa" TargetMode="External"/><Relationship Id="rId7" Type="http://schemas.openxmlformats.org/officeDocument/2006/relationships/footnotes" Target="footnotes.xml"/><Relationship Id="rId71" Type="http://schemas.openxmlformats.org/officeDocument/2006/relationships/hyperlink" Target="http://www.mpsv.cz/cs/12152" TargetMode="External"/><Relationship Id="rId92" Type="http://schemas.openxmlformats.org/officeDocument/2006/relationships/hyperlink" Target="http://www.mmr.cz/cs/Verejne-zakazky/Verejne-zakazky-a-PPP/Informace-Udalosti/Konference-Pripravovane-zmeny-v-oblasti-verejneh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ile/8938/"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7726C-875B-4DAD-A7E4-D317E9B5C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6886CDAA.dotm</Template>
  <TotalTime>916</TotalTime>
  <Pages>139</Pages>
  <Words>46181</Words>
  <Characters>272470</Characters>
  <Application>Microsoft Office Word</Application>
  <DocSecurity>0</DocSecurity>
  <Lines>2270</Lines>
  <Paragraphs>636</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318015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Ptáčník</dc:creator>
  <cp:lastModifiedBy>Martin Ptáčník</cp:lastModifiedBy>
  <cp:revision>133</cp:revision>
  <cp:lastPrinted>2015-04-03T06:21:00Z</cp:lastPrinted>
  <dcterms:created xsi:type="dcterms:W3CDTF">2015-01-21T12:45:00Z</dcterms:created>
  <dcterms:modified xsi:type="dcterms:W3CDTF">2015-04-13T07:00:00Z</dcterms:modified>
</cp:coreProperties>
</file>