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66" w:rsidRDefault="00D71C66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752B0C" w:rsidRDefault="00752B0C"/>
    <w:p w:rsidR="00CD36D8" w:rsidRDefault="00CD36D8"/>
    <w:p w:rsidR="00752B0C" w:rsidRDefault="00752B0C"/>
    <w:p w:rsidR="00752B0C" w:rsidRDefault="00752B0C"/>
    <w:p w:rsidR="00752B0C" w:rsidRDefault="00752B0C"/>
    <w:p w:rsidR="00752B0C" w:rsidRDefault="00752B0C"/>
    <w:p w:rsidR="00CF1F41" w:rsidRDefault="00CF1F41" w:rsidP="00752B0C">
      <w:pPr>
        <w:jc w:val="center"/>
        <w:rPr>
          <w:b/>
          <w:sz w:val="32"/>
          <w:szCs w:val="32"/>
        </w:rPr>
      </w:pPr>
    </w:p>
    <w:p w:rsidR="003F38FB" w:rsidRPr="00F504D3" w:rsidRDefault="006D4EB5" w:rsidP="00752B0C">
      <w:pPr>
        <w:jc w:val="center"/>
        <w:rPr>
          <w:b/>
          <w:sz w:val="32"/>
          <w:szCs w:val="32"/>
        </w:rPr>
      </w:pPr>
      <w:r w:rsidRPr="00F504D3">
        <w:rPr>
          <w:b/>
          <w:sz w:val="32"/>
          <w:szCs w:val="32"/>
        </w:rPr>
        <w:t xml:space="preserve">Ex-ante </w:t>
      </w:r>
      <w:r w:rsidR="00D71C66" w:rsidRPr="00F504D3">
        <w:rPr>
          <w:b/>
          <w:sz w:val="32"/>
          <w:szCs w:val="32"/>
        </w:rPr>
        <w:t>hodnocení Operačního programu Podnikání a inovace</w:t>
      </w:r>
      <w:r w:rsidRPr="00F504D3">
        <w:rPr>
          <w:b/>
          <w:sz w:val="32"/>
          <w:szCs w:val="32"/>
        </w:rPr>
        <w:t xml:space="preserve"> pro konkurenceschopnost</w:t>
      </w:r>
      <w:r w:rsidR="00D71C66" w:rsidRPr="00F504D3">
        <w:rPr>
          <w:b/>
          <w:sz w:val="32"/>
          <w:szCs w:val="32"/>
        </w:rPr>
        <w:t xml:space="preserve"> 20</w:t>
      </w:r>
      <w:r w:rsidR="00011FD3" w:rsidRPr="00F504D3">
        <w:rPr>
          <w:b/>
          <w:sz w:val="32"/>
          <w:szCs w:val="32"/>
        </w:rPr>
        <w:t>14</w:t>
      </w:r>
      <w:r w:rsidR="00486697" w:rsidRPr="00F504D3">
        <w:rPr>
          <w:b/>
          <w:sz w:val="32"/>
          <w:szCs w:val="32"/>
        </w:rPr>
        <w:t xml:space="preserve"> </w:t>
      </w:r>
      <w:r w:rsidR="00D71C66" w:rsidRPr="00F504D3">
        <w:rPr>
          <w:b/>
          <w:sz w:val="32"/>
          <w:szCs w:val="32"/>
        </w:rPr>
        <w:t>-</w:t>
      </w:r>
      <w:r w:rsidR="00486697" w:rsidRPr="00F504D3">
        <w:rPr>
          <w:b/>
          <w:sz w:val="32"/>
          <w:szCs w:val="32"/>
        </w:rPr>
        <w:t xml:space="preserve"> </w:t>
      </w:r>
      <w:r w:rsidR="00D71C66" w:rsidRPr="00F504D3">
        <w:rPr>
          <w:b/>
          <w:sz w:val="32"/>
          <w:szCs w:val="32"/>
        </w:rPr>
        <w:t>20</w:t>
      </w:r>
      <w:r w:rsidRPr="00F504D3">
        <w:rPr>
          <w:b/>
          <w:sz w:val="32"/>
          <w:szCs w:val="32"/>
        </w:rPr>
        <w:t>20</w:t>
      </w:r>
    </w:p>
    <w:p w:rsidR="00752B0C" w:rsidRDefault="00752B0C" w:rsidP="00752B0C">
      <w:pPr>
        <w:jc w:val="center"/>
      </w:pPr>
    </w:p>
    <w:p w:rsidR="00752B0C" w:rsidRDefault="00752B0C" w:rsidP="00752B0C">
      <w:pPr>
        <w:jc w:val="center"/>
      </w:pPr>
    </w:p>
    <w:p w:rsidR="00752B0C" w:rsidRDefault="00752B0C" w:rsidP="00752B0C">
      <w:pPr>
        <w:jc w:val="center"/>
      </w:pPr>
    </w:p>
    <w:p w:rsidR="00752B0C" w:rsidRDefault="00752B0C" w:rsidP="00752B0C">
      <w:pPr>
        <w:jc w:val="center"/>
      </w:pPr>
    </w:p>
    <w:p w:rsidR="00D71C66" w:rsidRPr="00F504D3" w:rsidRDefault="00DD7DFF" w:rsidP="00752B0C">
      <w:pPr>
        <w:jc w:val="center"/>
        <w:rPr>
          <w:sz w:val="28"/>
          <w:szCs w:val="28"/>
        </w:rPr>
      </w:pPr>
      <w:r w:rsidRPr="00F504D3">
        <w:rPr>
          <w:sz w:val="28"/>
          <w:szCs w:val="28"/>
        </w:rPr>
        <w:t xml:space="preserve">Shrnutí </w:t>
      </w:r>
      <w:r w:rsidR="002B7960" w:rsidRPr="00F504D3">
        <w:rPr>
          <w:sz w:val="28"/>
          <w:szCs w:val="28"/>
        </w:rPr>
        <w:t>Z</w:t>
      </w:r>
      <w:r w:rsidR="006779E1" w:rsidRPr="00F504D3">
        <w:rPr>
          <w:sz w:val="28"/>
          <w:szCs w:val="28"/>
        </w:rPr>
        <w:t xml:space="preserve">ávěrečné </w:t>
      </w:r>
      <w:r w:rsidR="00D71C66" w:rsidRPr="00F504D3">
        <w:rPr>
          <w:sz w:val="28"/>
          <w:szCs w:val="28"/>
        </w:rPr>
        <w:t>zpráv</w:t>
      </w:r>
      <w:r w:rsidR="006779E1" w:rsidRPr="00F504D3">
        <w:rPr>
          <w:sz w:val="28"/>
          <w:szCs w:val="28"/>
        </w:rPr>
        <w:t>y</w:t>
      </w:r>
      <w:r w:rsidR="00C50268" w:rsidRPr="00F504D3">
        <w:rPr>
          <w:sz w:val="28"/>
          <w:szCs w:val="28"/>
        </w:rPr>
        <w:t xml:space="preserve"> </w:t>
      </w:r>
    </w:p>
    <w:p w:rsidR="00752B0C" w:rsidRDefault="00752B0C" w:rsidP="00752B0C">
      <w:pPr>
        <w:jc w:val="center"/>
        <w:rPr>
          <w:sz w:val="32"/>
          <w:szCs w:val="32"/>
        </w:rPr>
      </w:pPr>
    </w:p>
    <w:p w:rsidR="00752B0C" w:rsidRDefault="00752B0C" w:rsidP="00752B0C">
      <w:pPr>
        <w:jc w:val="center"/>
        <w:rPr>
          <w:sz w:val="32"/>
          <w:szCs w:val="32"/>
        </w:rPr>
      </w:pPr>
    </w:p>
    <w:p w:rsidR="00752B0C" w:rsidRDefault="00752B0C" w:rsidP="00752B0C">
      <w:pPr>
        <w:jc w:val="center"/>
        <w:rPr>
          <w:sz w:val="32"/>
          <w:szCs w:val="32"/>
        </w:rPr>
      </w:pPr>
    </w:p>
    <w:p w:rsidR="00752B0C" w:rsidRDefault="00752B0C" w:rsidP="00752B0C">
      <w:pPr>
        <w:jc w:val="center"/>
        <w:rPr>
          <w:sz w:val="32"/>
          <w:szCs w:val="32"/>
        </w:rPr>
      </w:pPr>
    </w:p>
    <w:p w:rsidR="00010002" w:rsidRDefault="00010002" w:rsidP="00752B0C">
      <w:pPr>
        <w:jc w:val="center"/>
        <w:rPr>
          <w:sz w:val="32"/>
          <w:szCs w:val="32"/>
        </w:rPr>
      </w:pPr>
    </w:p>
    <w:p w:rsidR="00752B0C" w:rsidRDefault="00752B0C" w:rsidP="00752B0C">
      <w:pPr>
        <w:jc w:val="center"/>
        <w:rPr>
          <w:sz w:val="32"/>
          <w:szCs w:val="32"/>
        </w:rPr>
      </w:pPr>
    </w:p>
    <w:p w:rsidR="00F504D3" w:rsidRDefault="00F504D3" w:rsidP="00752B0C">
      <w:pPr>
        <w:jc w:val="center"/>
        <w:rPr>
          <w:sz w:val="32"/>
          <w:szCs w:val="32"/>
        </w:rPr>
      </w:pPr>
    </w:p>
    <w:p w:rsidR="00F504D3" w:rsidRDefault="00F504D3" w:rsidP="00752B0C">
      <w:pPr>
        <w:jc w:val="center"/>
        <w:rPr>
          <w:sz w:val="32"/>
          <w:szCs w:val="32"/>
        </w:rPr>
      </w:pPr>
    </w:p>
    <w:p w:rsidR="00752B0C" w:rsidRDefault="00752B0C" w:rsidP="00752B0C">
      <w:pPr>
        <w:jc w:val="center"/>
        <w:rPr>
          <w:sz w:val="32"/>
          <w:szCs w:val="32"/>
        </w:rPr>
      </w:pPr>
    </w:p>
    <w:p w:rsidR="00752B0C" w:rsidRPr="00752B0C" w:rsidRDefault="00752B0C" w:rsidP="00752B0C">
      <w:pPr>
        <w:jc w:val="center"/>
        <w:rPr>
          <w:sz w:val="32"/>
          <w:szCs w:val="32"/>
        </w:rPr>
      </w:pPr>
    </w:p>
    <w:p w:rsidR="00D71C66" w:rsidRDefault="00D71C66" w:rsidP="00752B0C">
      <w:pPr>
        <w:jc w:val="center"/>
      </w:pPr>
    </w:p>
    <w:p w:rsidR="00752B0C" w:rsidRDefault="00752B0C" w:rsidP="00752B0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383717" cy="690690"/>
            <wp:effectExtent l="19050" t="0" r="0" b="0"/>
            <wp:docPr id="1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85" cy="70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B0C" w:rsidRDefault="00752B0C" w:rsidP="00752B0C">
      <w:pPr>
        <w:jc w:val="center"/>
      </w:pPr>
    </w:p>
    <w:p w:rsidR="00752B0C" w:rsidRDefault="00752B0C" w:rsidP="00752B0C">
      <w:pPr>
        <w:jc w:val="center"/>
        <w:rPr>
          <w:sz w:val="24"/>
          <w:szCs w:val="24"/>
        </w:rPr>
      </w:pPr>
    </w:p>
    <w:p w:rsidR="00752B0C" w:rsidRDefault="00752B0C" w:rsidP="00752B0C">
      <w:pPr>
        <w:jc w:val="center"/>
        <w:rPr>
          <w:sz w:val="24"/>
          <w:szCs w:val="24"/>
        </w:rPr>
      </w:pPr>
    </w:p>
    <w:p w:rsidR="00010002" w:rsidRDefault="00010002" w:rsidP="00752B0C">
      <w:pPr>
        <w:jc w:val="center"/>
        <w:rPr>
          <w:sz w:val="24"/>
          <w:szCs w:val="24"/>
        </w:rPr>
      </w:pPr>
    </w:p>
    <w:p w:rsidR="00E012E2" w:rsidRDefault="00E012E2" w:rsidP="00752B0C">
      <w:pPr>
        <w:jc w:val="center"/>
        <w:rPr>
          <w:sz w:val="24"/>
          <w:szCs w:val="24"/>
        </w:rPr>
      </w:pPr>
    </w:p>
    <w:p w:rsidR="00D71C66" w:rsidRDefault="00C50268" w:rsidP="00F504D3">
      <w:pPr>
        <w:jc w:val="center"/>
      </w:pPr>
      <w:r>
        <w:rPr>
          <w:sz w:val="22"/>
        </w:rPr>
        <w:t>červen</w:t>
      </w:r>
      <w:r w:rsidR="00151046">
        <w:rPr>
          <w:sz w:val="22"/>
        </w:rPr>
        <w:t xml:space="preserve"> 2014</w:t>
      </w:r>
    </w:p>
    <w:p w:rsidR="00B50F34" w:rsidRDefault="00B50F34">
      <w:pPr>
        <w:rPr>
          <w:rFonts w:ascii="Times New Roman" w:eastAsia="Times New Roman" w:hAnsi="Times New Roman" w:cs="Arial"/>
          <w:b/>
          <w:bCs/>
          <w:color w:val="000066"/>
          <w:kern w:val="32"/>
          <w:sz w:val="28"/>
          <w:szCs w:val="28"/>
        </w:rPr>
      </w:pPr>
      <w:bookmarkStart w:id="0" w:name="_Toc210708433"/>
      <w:r>
        <w:br w:type="page"/>
      </w:r>
    </w:p>
    <w:sdt>
      <w:sdtPr>
        <w:rPr>
          <w:rFonts w:ascii="Tahoma" w:eastAsiaTheme="minorHAnsi" w:hAnsi="Tahoma" w:cstheme="minorBidi"/>
          <w:b w:val="0"/>
          <w:bCs w:val="0"/>
          <w:color w:val="auto"/>
          <w:sz w:val="20"/>
          <w:szCs w:val="22"/>
        </w:rPr>
        <w:id w:val="54934645"/>
        <w:docPartObj>
          <w:docPartGallery w:val="Table of Contents"/>
          <w:docPartUnique/>
        </w:docPartObj>
      </w:sdtPr>
      <w:sdtContent>
        <w:p w:rsidR="00B50F34" w:rsidRDefault="00B50F34">
          <w:pPr>
            <w:pStyle w:val="Nadpisobsahu"/>
          </w:pPr>
          <w:r w:rsidRPr="00332838">
            <w:rPr>
              <w:rFonts w:ascii="Times New Roman" w:hAnsi="Times New Roman" w:cs="Times New Roman"/>
            </w:rPr>
            <w:t>Obsah</w:t>
          </w:r>
        </w:p>
        <w:p w:rsidR="00752B0C" w:rsidRPr="00752B0C" w:rsidRDefault="00752B0C" w:rsidP="00752B0C"/>
        <w:p w:rsidR="00EB77DF" w:rsidRDefault="00B12008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B50F34">
            <w:instrText xml:space="preserve"> TOC \o "1-3" \h \z \u </w:instrText>
          </w:r>
          <w:r>
            <w:fldChar w:fldCharType="separate"/>
          </w:r>
          <w:hyperlink w:anchor="_Toc392589601" w:history="1">
            <w:r w:rsidR="00EB77DF" w:rsidRPr="00A91EE5">
              <w:rPr>
                <w:rStyle w:val="Hypertextovodkaz"/>
                <w:noProof/>
              </w:rPr>
              <w:t>Seznam zkratek</w:t>
            </w:r>
            <w:r w:rsidR="00EB77DF">
              <w:rPr>
                <w:noProof/>
                <w:webHidden/>
              </w:rPr>
              <w:tab/>
            </w:r>
            <w:r w:rsidR="00EB77DF">
              <w:rPr>
                <w:noProof/>
                <w:webHidden/>
              </w:rPr>
              <w:fldChar w:fldCharType="begin"/>
            </w:r>
            <w:r w:rsidR="00EB77DF">
              <w:rPr>
                <w:noProof/>
                <w:webHidden/>
              </w:rPr>
              <w:instrText xml:space="preserve"> PAGEREF _Toc392589601 \h </w:instrText>
            </w:r>
            <w:r w:rsidR="00EB77DF">
              <w:rPr>
                <w:noProof/>
                <w:webHidden/>
              </w:rPr>
            </w:r>
            <w:r w:rsidR="00EB77DF">
              <w:rPr>
                <w:noProof/>
                <w:webHidden/>
              </w:rPr>
              <w:fldChar w:fldCharType="separate"/>
            </w:r>
            <w:r w:rsidR="00EB77DF">
              <w:rPr>
                <w:noProof/>
                <w:webHidden/>
              </w:rPr>
              <w:t>3</w:t>
            </w:r>
            <w:r w:rsidR="00EB77DF"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2" w:history="1">
            <w:r w:rsidRPr="00A91EE5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3" w:history="1">
            <w:r w:rsidRPr="00A91EE5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Identifikace zadavatele a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4" w:history="1">
            <w:r w:rsidRPr="00A91EE5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Cíl evaluačního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5" w:history="1">
            <w:r w:rsidRPr="00A91EE5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Použitá metodika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6" w:history="1">
            <w:r w:rsidRPr="00A91EE5">
              <w:rPr>
                <w:rStyle w:val="Hypertextovodkaz"/>
                <w:noProof/>
              </w:rPr>
              <w:t>1.4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Dosavadní doporučení ex-ante hodnotitele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7" w:history="1">
            <w:r w:rsidRPr="00A91EE5">
              <w:rPr>
                <w:rStyle w:val="Hypertextovodkaz"/>
                <w:noProof/>
              </w:rPr>
              <w:t>1.5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Otevřené otázky, nedořešená témata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8" w:history="1">
            <w:r w:rsidRPr="00A91EE5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Celkové posouzení programu, hlavní závěry a zjištění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77DF" w:rsidRDefault="00EB77D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92589609" w:history="1">
            <w:r w:rsidRPr="00A91EE5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A91EE5">
              <w:rPr>
                <w:rStyle w:val="Hypertextovodkaz"/>
                <w:noProof/>
              </w:rPr>
              <w:t>Hlavní závěry a zjištění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_Toc392589609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0F34" w:rsidRDefault="00B12008">
          <w:r>
            <w:fldChar w:fldCharType="end"/>
          </w:r>
        </w:p>
      </w:sdtContent>
    </w:sdt>
    <w:p w:rsidR="00B50F34" w:rsidRDefault="00B50F34">
      <w:pPr>
        <w:rPr>
          <w:rFonts w:ascii="Times New Roman" w:eastAsia="Times New Roman" w:hAnsi="Times New Roman" w:cs="Arial"/>
          <w:b/>
          <w:bCs/>
          <w:color w:val="000066"/>
          <w:kern w:val="32"/>
          <w:sz w:val="28"/>
          <w:szCs w:val="28"/>
        </w:rPr>
      </w:pPr>
      <w:r>
        <w:br w:type="page"/>
      </w:r>
    </w:p>
    <w:p w:rsidR="00DF7DED" w:rsidRDefault="00DF7DED" w:rsidP="00DF7DED">
      <w:pPr>
        <w:pStyle w:val="Nadpis2"/>
        <w:numPr>
          <w:ilvl w:val="0"/>
          <w:numId w:val="0"/>
        </w:numPr>
      </w:pPr>
      <w:bookmarkStart w:id="1" w:name="_Toc392589601"/>
      <w:r>
        <w:lastRenderedPageBreak/>
        <w:t>Seznam zkratek</w:t>
      </w:r>
      <w:bookmarkEnd w:id="1"/>
    </w:p>
    <w:p w:rsidR="005B0173" w:rsidRPr="005B0173" w:rsidRDefault="005B0173" w:rsidP="005B0173"/>
    <w:tbl>
      <w:tblPr>
        <w:tblStyle w:val="Mkatabulky"/>
        <w:tblW w:w="0" w:type="auto"/>
        <w:tblLook w:val="04A0"/>
      </w:tblPr>
      <w:tblGrid>
        <w:gridCol w:w="1526"/>
        <w:gridCol w:w="7513"/>
      </w:tblGrid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ČR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Česká republika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proofErr w:type="spellStart"/>
            <w:r w:rsidRPr="00B9453B">
              <w:rPr>
                <w:rFonts w:cs="Tahoma"/>
                <w:szCs w:val="20"/>
              </w:rPr>
              <w:t>DoP</w:t>
            </w:r>
            <w:proofErr w:type="spellEnd"/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Dohoda o partnerství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EFRR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Evropský fond regionálního rozvoje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EK/EC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Evropská komise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ESIF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Evropské strukturální a investiční fondy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EU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Evropská unie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ICT/IKT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Informační a komunikační technologie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KVET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Kombinovaná výroba elektřiny a tepla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MMR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Ministerstvo pro místní rozvoj ČR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MPO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Ministerstvo průmyslu a obchodu ČR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MS2014+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Monitorovací systém strukturálních fondů a Fondu soudržnosti pro programové období 2014-2020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MSP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Malý a střední podnik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NOK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 xml:space="preserve">Národní orgán pro koordinaci/Národní orgán pro koordinaci a řízení Dohody o partnerství 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OP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Operační program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OPPI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 xml:space="preserve">Operační program Podnikání a inovace 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OP PIK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Operační program Podnikání a inovace pro konkurenceschopnost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OZE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Obnovitelné zdroje energie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TC</w:t>
            </w:r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Tematický cíl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proofErr w:type="spellStart"/>
            <w:r w:rsidRPr="00B9453B">
              <w:rPr>
                <w:rFonts w:cs="Tahoma"/>
                <w:szCs w:val="20"/>
              </w:rPr>
              <w:t>VaV</w:t>
            </w:r>
            <w:proofErr w:type="spellEnd"/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Výzkum a vývoj</w:t>
            </w:r>
          </w:p>
        </w:tc>
      </w:tr>
      <w:tr w:rsidR="00DF7DED" w:rsidRPr="00B9453B" w:rsidTr="00DF7DED">
        <w:tc>
          <w:tcPr>
            <w:tcW w:w="1526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proofErr w:type="spellStart"/>
            <w:r w:rsidRPr="00B9453B">
              <w:rPr>
                <w:rFonts w:cs="Tahoma"/>
                <w:szCs w:val="20"/>
              </w:rPr>
              <w:t>VVaI</w:t>
            </w:r>
            <w:proofErr w:type="spellEnd"/>
          </w:p>
        </w:tc>
        <w:tc>
          <w:tcPr>
            <w:tcW w:w="7513" w:type="dxa"/>
          </w:tcPr>
          <w:p w:rsidR="00DF7DED" w:rsidRPr="00B9453B" w:rsidRDefault="00DF7DED" w:rsidP="005E5DC5">
            <w:pPr>
              <w:rPr>
                <w:rFonts w:cs="Tahoma"/>
                <w:szCs w:val="20"/>
              </w:rPr>
            </w:pPr>
            <w:r w:rsidRPr="00B9453B">
              <w:rPr>
                <w:rFonts w:cs="Tahoma"/>
                <w:szCs w:val="20"/>
              </w:rPr>
              <w:t>Výzkum, vývoj a inovace</w:t>
            </w:r>
          </w:p>
        </w:tc>
      </w:tr>
    </w:tbl>
    <w:p w:rsidR="00DF7DED" w:rsidRPr="00DF7DED" w:rsidRDefault="00DF7DED" w:rsidP="00DF7DED"/>
    <w:p w:rsidR="004C617B" w:rsidRPr="00AD13CF" w:rsidRDefault="004C617B" w:rsidP="009C5AC9">
      <w:pPr>
        <w:pStyle w:val="Nadpis1"/>
      </w:pPr>
      <w:bookmarkStart w:id="2" w:name="_Toc392589602"/>
      <w:r w:rsidRPr="00AD13CF">
        <w:lastRenderedPageBreak/>
        <w:t>Úvod</w:t>
      </w:r>
      <w:bookmarkEnd w:id="0"/>
      <w:bookmarkEnd w:id="2"/>
    </w:p>
    <w:p w:rsidR="004D477D" w:rsidRDefault="004D477D" w:rsidP="009C5AC9">
      <w:pPr>
        <w:pStyle w:val="Nadpis2"/>
      </w:pPr>
      <w:bookmarkStart w:id="3" w:name="_Toc207776423"/>
      <w:bookmarkStart w:id="4" w:name="_Toc210708434"/>
      <w:bookmarkStart w:id="5" w:name="_Toc392589603"/>
      <w:r>
        <w:t>Identifikace zadavatele a z</w:t>
      </w:r>
      <w:r w:rsidR="00984562">
        <w:t>hotovitele</w:t>
      </w:r>
      <w:bookmarkEnd w:id="5"/>
    </w:p>
    <w:p w:rsidR="004D477D" w:rsidRPr="004D477D" w:rsidRDefault="004D477D" w:rsidP="004D477D">
      <w:pPr>
        <w:spacing w:after="120"/>
        <w:rPr>
          <w:u w:val="single"/>
        </w:rPr>
      </w:pPr>
      <w:r w:rsidRPr="004D477D">
        <w:rPr>
          <w:u w:val="single"/>
        </w:rPr>
        <w:t>Zadavatel:</w:t>
      </w:r>
    </w:p>
    <w:p w:rsidR="004D477D" w:rsidRPr="004D477D" w:rsidRDefault="004D477D" w:rsidP="004D477D">
      <w:pPr>
        <w:rPr>
          <w:b/>
        </w:rPr>
      </w:pPr>
      <w:r w:rsidRPr="004D477D">
        <w:rPr>
          <w:b/>
        </w:rPr>
        <w:t>Česká republika - Ministerstvo průmyslu a obchodu</w:t>
      </w:r>
    </w:p>
    <w:p w:rsidR="004D477D" w:rsidRPr="00332856" w:rsidRDefault="004D477D" w:rsidP="004D477D">
      <w:r>
        <w:t>Na Františku 32</w:t>
      </w:r>
      <w:r w:rsidRPr="00332856">
        <w:t xml:space="preserve"> </w:t>
      </w:r>
    </w:p>
    <w:p w:rsidR="004D477D" w:rsidRDefault="004D477D" w:rsidP="004D477D">
      <w:r w:rsidRPr="00332856">
        <w:t>110 15</w:t>
      </w:r>
      <w:r>
        <w:t xml:space="preserve"> Praha 1</w:t>
      </w:r>
    </w:p>
    <w:p w:rsidR="004D477D" w:rsidRDefault="00B12008" w:rsidP="004D477D">
      <w:hyperlink r:id="rId9" w:history="1">
        <w:r w:rsidR="004D477D" w:rsidRPr="001D04C1">
          <w:rPr>
            <w:rStyle w:val="Hypertextovodkaz"/>
          </w:rPr>
          <w:t>www.mpo.cz</w:t>
        </w:r>
      </w:hyperlink>
      <w:r w:rsidR="004D477D">
        <w:t xml:space="preserve"> </w:t>
      </w:r>
    </w:p>
    <w:p w:rsidR="004D477D" w:rsidRPr="004D477D" w:rsidRDefault="004D477D" w:rsidP="004D477D">
      <w:pPr>
        <w:spacing w:after="120"/>
      </w:pPr>
    </w:p>
    <w:p w:rsidR="004D477D" w:rsidRPr="004D477D" w:rsidRDefault="004D477D" w:rsidP="004D477D">
      <w:pPr>
        <w:spacing w:after="120"/>
        <w:rPr>
          <w:u w:val="single"/>
        </w:rPr>
      </w:pPr>
      <w:r w:rsidRPr="004D477D">
        <w:rPr>
          <w:u w:val="single"/>
        </w:rPr>
        <w:t>Z</w:t>
      </w:r>
      <w:r w:rsidR="00984562">
        <w:rPr>
          <w:u w:val="single"/>
        </w:rPr>
        <w:t>hotovitel</w:t>
      </w:r>
      <w:r w:rsidRPr="004D477D">
        <w:rPr>
          <w:u w:val="single"/>
        </w:rPr>
        <w:t>:</w:t>
      </w:r>
    </w:p>
    <w:p w:rsidR="004D477D" w:rsidRPr="004D477D" w:rsidRDefault="004D477D" w:rsidP="004D477D">
      <w:pPr>
        <w:rPr>
          <w:b/>
        </w:rPr>
      </w:pPr>
      <w:r w:rsidRPr="004D477D">
        <w:rPr>
          <w:b/>
        </w:rPr>
        <w:t>EUFC CZ s.r.o.</w:t>
      </w:r>
    </w:p>
    <w:p w:rsidR="004D477D" w:rsidRDefault="004D477D" w:rsidP="004D477D">
      <w:r>
        <w:t>Popelova 75</w:t>
      </w:r>
    </w:p>
    <w:p w:rsidR="004D477D" w:rsidRDefault="004D477D" w:rsidP="004D477D">
      <w:r>
        <w:t>620 00 Brno</w:t>
      </w:r>
    </w:p>
    <w:p w:rsidR="004D477D" w:rsidRDefault="004D477D" w:rsidP="004D477D">
      <w:r w:rsidRPr="004D477D">
        <w:t>IČ: 269 42 364</w:t>
      </w:r>
    </w:p>
    <w:p w:rsidR="004D477D" w:rsidRPr="004D477D" w:rsidRDefault="00B12008" w:rsidP="004D477D">
      <w:hyperlink r:id="rId10" w:history="1">
        <w:r w:rsidR="004D477D" w:rsidRPr="001D04C1">
          <w:rPr>
            <w:rStyle w:val="Hypertextovodkaz"/>
          </w:rPr>
          <w:t>www.eufc.cz</w:t>
        </w:r>
      </w:hyperlink>
      <w:r w:rsidR="004D477D">
        <w:t xml:space="preserve">   </w:t>
      </w:r>
    </w:p>
    <w:p w:rsidR="00BC0C94" w:rsidRPr="00BC0C94" w:rsidRDefault="00BC0C94" w:rsidP="009C5AC9">
      <w:pPr>
        <w:pStyle w:val="Nadpis2"/>
      </w:pPr>
      <w:bookmarkStart w:id="6" w:name="_Toc392589604"/>
      <w:bookmarkEnd w:id="3"/>
      <w:bookmarkEnd w:id="4"/>
      <w:r w:rsidRPr="00BC0C94">
        <w:t xml:space="preserve">Cíl </w:t>
      </w:r>
      <w:r w:rsidR="00632CB4">
        <w:t xml:space="preserve">evaluačního </w:t>
      </w:r>
      <w:r w:rsidRPr="00BC0C94">
        <w:t>projektu</w:t>
      </w:r>
      <w:bookmarkEnd w:id="6"/>
    </w:p>
    <w:p w:rsidR="001074F7" w:rsidRPr="001074F7" w:rsidRDefault="001074F7" w:rsidP="001074F7">
      <w:pPr>
        <w:spacing w:after="120"/>
      </w:pPr>
      <w:r>
        <w:t xml:space="preserve">Ex-ante </w:t>
      </w:r>
      <w:r w:rsidR="002B1C03">
        <w:t xml:space="preserve">(předběžné) </w:t>
      </w:r>
      <w:r>
        <w:t xml:space="preserve">hodnocení </w:t>
      </w:r>
      <w:r w:rsidRPr="00432FF2">
        <w:t>O</w:t>
      </w:r>
      <w:r w:rsidR="00F94389">
        <w:t xml:space="preserve">peračního programu </w:t>
      </w:r>
      <w:r w:rsidRPr="00432FF2">
        <w:t>P</w:t>
      </w:r>
      <w:r w:rsidR="00F94389">
        <w:t>odnikání a inovace pro konkurenceschopnost 2014 - 2020</w:t>
      </w:r>
      <w:r w:rsidRPr="00432FF2">
        <w:t xml:space="preserve"> </w:t>
      </w:r>
      <w:r w:rsidRPr="001074F7">
        <w:t xml:space="preserve">má za cíl optimalizovat alokace finančních prostředků, zvýšit kvalitu programování a posoudit jeho účinnost a efekty. </w:t>
      </w:r>
    </w:p>
    <w:p w:rsidR="001074F7" w:rsidRPr="001074F7" w:rsidRDefault="001074F7" w:rsidP="001074F7">
      <w:pPr>
        <w:spacing w:after="120"/>
      </w:pPr>
      <w:r>
        <w:t>V souladu se zadáním zhotovitel</w:t>
      </w:r>
      <w:r w:rsidR="002B1C03">
        <w:t>/</w:t>
      </w:r>
      <w:r>
        <w:t>hodnotitel průběžně hodnot</w:t>
      </w:r>
      <w:r w:rsidR="00151046">
        <w:t>il</w:t>
      </w:r>
      <w:r w:rsidRPr="001074F7">
        <w:t xml:space="preserve"> dílčí výstupy prací řídícího orgánu na operačním programu, vytvář</w:t>
      </w:r>
      <w:r w:rsidR="00151046">
        <w:t>el</w:t>
      </w:r>
      <w:r w:rsidRPr="001074F7">
        <w:t xml:space="preserve"> a prezent</w:t>
      </w:r>
      <w:r w:rsidR="00151046">
        <w:t>oval</w:t>
      </w:r>
      <w:r w:rsidRPr="001074F7">
        <w:t xml:space="preserve"> doporučení na jejich úpravy, doplnění a změny. </w:t>
      </w:r>
    </w:p>
    <w:p w:rsidR="001074F7" w:rsidRPr="001074F7" w:rsidRDefault="001074F7" w:rsidP="001074F7">
      <w:pPr>
        <w:spacing w:after="120"/>
      </w:pPr>
      <w:r w:rsidRPr="001074F7">
        <w:t xml:space="preserve">V rámci předběžného hodnocení </w:t>
      </w:r>
      <w:r w:rsidR="00C50268">
        <w:t>byl</w:t>
      </w:r>
      <w:r w:rsidRPr="001074F7">
        <w:t xml:space="preserve"> posuz</w:t>
      </w:r>
      <w:r>
        <w:t>ován</w:t>
      </w:r>
      <w:r w:rsidRPr="001074F7">
        <w:t xml:space="preserve"> systém přidělování a využití rozpočtových zdrojů operačního programu za účelem optim</w:t>
      </w:r>
      <w:r>
        <w:t>álního nastavení programu a pos</w:t>
      </w:r>
      <w:r w:rsidRPr="001074F7">
        <w:t>uz</w:t>
      </w:r>
      <w:r>
        <w:t>ována</w:t>
      </w:r>
      <w:r w:rsidRPr="001074F7">
        <w:t xml:space="preserve"> kvalit</w:t>
      </w:r>
      <w:r>
        <w:t>a</w:t>
      </w:r>
      <w:r w:rsidRPr="001074F7">
        <w:t xml:space="preserve"> programování. </w:t>
      </w:r>
      <w:r w:rsidR="00C50268">
        <w:t>Byly</w:t>
      </w:r>
      <w:r w:rsidRPr="001074F7">
        <w:t xml:space="preserve"> identifikovány případné disparity a mezery v systému, zhodnocen potenciál pro rozvoj oblastí, na jejichž podporu je operační program zaměřen, a posouzeny střednědobé a dlouhodobé potřeby a cíle, kterých je nutno dosáhnout. </w:t>
      </w:r>
    </w:p>
    <w:p w:rsidR="001074F7" w:rsidRDefault="001074F7" w:rsidP="001074F7">
      <w:pPr>
        <w:spacing w:after="120"/>
      </w:pPr>
      <w:r>
        <w:t xml:space="preserve">Úkolem hodnotitele </w:t>
      </w:r>
      <w:r w:rsidR="00151046">
        <w:t>bylo</w:t>
      </w:r>
      <w:r>
        <w:t xml:space="preserve"> </w:t>
      </w:r>
      <w:r w:rsidRPr="001074F7">
        <w:t>posoud</w:t>
      </w:r>
      <w:r>
        <w:t>it</w:t>
      </w:r>
      <w:r w:rsidR="002429F3">
        <w:t xml:space="preserve"> především</w:t>
      </w:r>
      <w:r>
        <w:t>:</w:t>
      </w:r>
    </w:p>
    <w:p w:rsidR="001074F7" w:rsidRPr="001074F7" w:rsidRDefault="00D32FFD" w:rsidP="00F471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identifikované potřeby, </w:t>
      </w:r>
      <w:r w:rsidR="001074F7" w:rsidRPr="001074F7">
        <w:rPr>
          <w:rFonts w:ascii="Tahoma" w:hAnsi="Tahoma" w:cs="Tahoma"/>
          <w:sz w:val="20"/>
          <w:szCs w:val="20"/>
        </w:rPr>
        <w:t>navrženou strategii</w:t>
      </w:r>
      <w:r>
        <w:rPr>
          <w:rFonts w:ascii="Tahoma" w:hAnsi="Tahoma" w:cs="Tahoma"/>
          <w:sz w:val="20"/>
          <w:szCs w:val="20"/>
        </w:rPr>
        <w:t xml:space="preserve"> a cíle programu</w:t>
      </w:r>
      <w:r w:rsidR="001074F7" w:rsidRPr="001074F7">
        <w:rPr>
          <w:rFonts w:ascii="Tahoma" w:hAnsi="Tahoma" w:cs="Tahoma"/>
          <w:sz w:val="20"/>
          <w:szCs w:val="20"/>
        </w:rPr>
        <w:t xml:space="preserve">, </w:t>
      </w:r>
    </w:p>
    <w:p w:rsidR="001074F7" w:rsidRPr="001074F7" w:rsidRDefault="001074F7" w:rsidP="00F471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1074F7">
        <w:rPr>
          <w:rFonts w:ascii="Tahoma" w:hAnsi="Tahoma" w:cs="Tahoma"/>
          <w:sz w:val="20"/>
          <w:szCs w:val="20"/>
        </w:rPr>
        <w:t xml:space="preserve">míru zohlednění priorit Evropské unie, </w:t>
      </w:r>
    </w:p>
    <w:p w:rsidR="00D32FFD" w:rsidRDefault="00D32FFD" w:rsidP="00F471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systém přidělování a využití rozpočtových zdrojů programu,</w:t>
      </w:r>
    </w:p>
    <w:p w:rsidR="001074F7" w:rsidRPr="001074F7" w:rsidRDefault="001074F7" w:rsidP="00F471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1074F7">
        <w:rPr>
          <w:rFonts w:ascii="Tahoma" w:hAnsi="Tahoma" w:cs="Tahoma"/>
          <w:sz w:val="20"/>
          <w:szCs w:val="20"/>
        </w:rPr>
        <w:t>kvalitu navržených postupů pro implementaci, monitorování, hodnocení a řízení programu</w:t>
      </w:r>
      <w:r>
        <w:rPr>
          <w:rFonts w:ascii="Tahoma" w:hAnsi="Tahoma" w:cs="Tahoma"/>
          <w:sz w:val="20"/>
          <w:szCs w:val="20"/>
        </w:rPr>
        <w:t>, m</w:t>
      </w:r>
      <w:r w:rsidRPr="001074F7">
        <w:rPr>
          <w:rFonts w:ascii="Tahoma" w:hAnsi="Tahoma" w:cs="Tahoma"/>
          <w:sz w:val="20"/>
          <w:szCs w:val="20"/>
        </w:rPr>
        <w:t xml:space="preserve">j. na základě poznatků a zkušeností s implementací </w:t>
      </w:r>
      <w:r>
        <w:rPr>
          <w:rFonts w:ascii="Tahoma" w:hAnsi="Tahoma" w:cs="Tahoma"/>
          <w:sz w:val="20"/>
          <w:szCs w:val="20"/>
        </w:rPr>
        <w:t>předchozích operačních programů,</w:t>
      </w:r>
    </w:p>
    <w:p w:rsidR="001074F7" w:rsidRPr="001074F7" w:rsidRDefault="001074F7" w:rsidP="00F4713A">
      <w:pPr>
        <w:pStyle w:val="Odstavecseseznamem"/>
        <w:numPr>
          <w:ilvl w:val="0"/>
          <w:numId w:val="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074F7">
        <w:rPr>
          <w:rFonts w:ascii="Tahoma" w:hAnsi="Tahoma" w:cs="Tahoma"/>
          <w:sz w:val="20"/>
          <w:szCs w:val="20"/>
        </w:rPr>
        <w:t xml:space="preserve">synergické efekty jednotlivých </w:t>
      </w:r>
      <w:r>
        <w:rPr>
          <w:rFonts w:ascii="Tahoma" w:hAnsi="Tahoma" w:cs="Tahoma"/>
          <w:sz w:val="20"/>
          <w:szCs w:val="20"/>
        </w:rPr>
        <w:t>specifických cílů</w:t>
      </w:r>
      <w:r w:rsidRPr="001074F7">
        <w:rPr>
          <w:rFonts w:ascii="Tahoma" w:hAnsi="Tahoma" w:cs="Tahoma"/>
          <w:sz w:val="20"/>
          <w:szCs w:val="20"/>
        </w:rPr>
        <w:t xml:space="preserve"> v rámci OP PIK a synergické efekty s dalšími programy pro programovací období 2014 – 2020 a případné překryvy mezi těmito programy.</w:t>
      </w:r>
    </w:p>
    <w:p w:rsidR="0033668C" w:rsidRPr="0033668C" w:rsidRDefault="0033668C" w:rsidP="0033668C">
      <w:pPr>
        <w:spacing w:after="120"/>
      </w:pPr>
      <w:r w:rsidRPr="0033668C">
        <w:t xml:space="preserve">V návaznosti na témata definovaná čl. </w:t>
      </w:r>
      <w:r w:rsidR="00151046">
        <w:t>55</w:t>
      </w:r>
      <w:r w:rsidRPr="0033668C">
        <w:t xml:space="preserve"> </w:t>
      </w:r>
      <w:r w:rsidR="00151046">
        <w:t>O</w:t>
      </w:r>
      <w:r w:rsidRPr="0033668C">
        <w:t>becného nařízení a při jejich plném zohlednění během prací na veřejné zakázce se ex-ante hodnocení zaměř</w:t>
      </w:r>
      <w:r w:rsidR="008C406A">
        <w:t>ilo</w:t>
      </w:r>
      <w:r w:rsidRPr="0033668C">
        <w:t xml:space="preserve"> na následující </w:t>
      </w:r>
      <w:r w:rsidRPr="0033668C">
        <w:rPr>
          <w:u w:val="single"/>
        </w:rPr>
        <w:t>čtyři hlavní okruhy</w:t>
      </w:r>
      <w:r w:rsidRPr="0033668C">
        <w:t xml:space="preserve">, které vycházejí z doporučení Evropské komise </w:t>
      </w:r>
      <w:proofErr w:type="spellStart"/>
      <w:r w:rsidRPr="002B1C03">
        <w:rPr>
          <w:i/>
        </w:rPr>
        <w:t>Guidance</w:t>
      </w:r>
      <w:proofErr w:type="spellEnd"/>
      <w:r w:rsidRPr="002B1C03">
        <w:rPr>
          <w:i/>
        </w:rPr>
        <w:t xml:space="preserve"> </w:t>
      </w:r>
      <w:proofErr w:type="spellStart"/>
      <w:r w:rsidRPr="002B1C03">
        <w:rPr>
          <w:i/>
        </w:rPr>
        <w:t>document</w:t>
      </w:r>
      <w:proofErr w:type="spellEnd"/>
      <w:r w:rsidRPr="002B1C03">
        <w:rPr>
          <w:i/>
        </w:rPr>
        <w:t xml:space="preserve"> on ex-ante </w:t>
      </w:r>
      <w:proofErr w:type="spellStart"/>
      <w:r w:rsidRPr="002B1C03">
        <w:rPr>
          <w:i/>
        </w:rPr>
        <w:t>evaluation</w:t>
      </w:r>
      <w:proofErr w:type="spellEnd"/>
      <w:r w:rsidRPr="0033668C">
        <w:t xml:space="preserve"> </w:t>
      </w:r>
      <w:r w:rsidR="00F94389">
        <w:t>(</w:t>
      </w:r>
      <w:r w:rsidR="00151046">
        <w:t>leden</w:t>
      </w:r>
      <w:r w:rsidRPr="0033668C">
        <w:t xml:space="preserve"> 201</w:t>
      </w:r>
      <w:r w:rsidR="00151046">
        <w:t>3</w:t>
      </w:r>
      <w:r w:rsidR="00F94389">
        <w:t>)</w:t>
      </w:r>
      <w:r w:rsidRPr="0033668C">
        <w:t xml:space="preserve"> a dále z metodických pokynů vydaných M</w:t>
      </w:r>
      <w:r>
        <w:t>MR-NOK</w:t>
      </w:r>
      <w:r w:rsidRPr="0033668C">
        <w:t xml:space="preserve"> k přípravě programového období 2014-2020</w:t>
      </w:r>
      <w:r>
        <w:t>:</w:t>
      </w:r>
      <w:r w:rsidRPr="0033668C">
        <w:t xml:space="preserve"> </w:t>
      </w:r>
    </w:p>
    <w:p w:rsidR="0033668C" w:rsidRPr="0033668C" w:rsidRDefault="0033668C" w:rsidP="00F4713A">
      <w:pPr>
        <w:pStyle w:val="Odstavecseseznamem"/>
        <w:numPr>
          <w:ilvl w:val="0"/>
          <w:numId w:val="5"/>
        </w:numPr>
        <w:spacing w:after="120"/>
        <w:rPr>
          <w:rFonts w:ascii="Tahoma" w:hAnsi="Tahoma" w:cs="Tahoma"/>
          <w:sz w:val="20"/>
          <w:szCs w:val="20"/>
        </w:rPr>
      </w:pPr>
      <w:r w:rsidRPr="0033668C">
        <w:rPr>
          <w:rFonts w:ascii="Tahoma" w:eastAsiaTheme="minorHAnsi" w:hAnsi="Tahoma" w:cs="Tahoma"/>
          <w:sz w:val="20"/>
          <w:szCs w:val="20"/>
        </w:rPr>
        <w:t>Strategie programu</w:t>
      </w:r>
    </w:p>
    <w:p w:rsidR="0033668C" w:rsidRPr="0033668C" w:rsidRDefault="0033668C" w:rsidP="00F4713A">
      <w:pPr>
        <w:pStyle w:val="Odstavecseseznamem"/>
        <w:numPr>
          <w:ilvl w:val="0"/>
          <w:numId w:val="5"/>
        </w:numPr>
        <w:spacing w:after="120"/>
        <w:rPr>
          <w:rFonts w:ascii="Tahoma" w:hAnsi="Tahoma" w:cs="Tahoma"/>
          <w:sz w:val="20"/>
          <w:szCs w:val="20"/>
        </w:rPr>
      </w:pPr>
      <w:r w:rsidRPr="0033668C">
        <w:rPr>
          <w:rFonts w:ascii="Tahoma" w:hAnsi="Tahoma" w:cs="Tahoma"/>
          <w:sz w:val="20"/>
          <w:szCs w:val="20"/>
        </w:rPr>
        <w:t>Indikátory, monitoring a evaluace</w:t>
      </w:r>
    </w:p>
    <w:p w:rsidR="0033668C" w:rsidRPr="0033668C" w:rsidRDefault="0033668C" w:rsidP="00F4713A">
      <w:pPr>
        <w:pStyle w:val="Odstavecseseznamem"/>
        <w:numPr>
          <w:ilvl w:val="0"/>
          <w:numId w:val="5"/>
        </w:numPr>
        <w:spacing w:after="120"/>
        <w:rPr>
          <w:rFonts w:ascii="Tahoma" w:hAnsi="Tahoma" w:cs="Tahoma"/>
          <w:sz w:val="20"/>
          <w:szCs w:val="20"/>
        </w:rPr>
      </w:pPr>
      <w:r w:rsidRPr="0033668C">
        <w:rPr>
          <w:rFonts w:ascii="Tahoma" w:hAnsi="Tahoma" w:cs="Tahoma"/>
          <w:sz w:val="20"/>
          <w:szCs w:val="20"/>
        </w:rPr>
        <w:t>Konsistence finančních alokací</w:t>
      </w:r>
    </w:p>
    <w:p w:rsidR="0033668C" w:rsidRPr="0033668C" w:rsidRDefault="0033668C" w:rsidP="00F4713A">
      <w:pPr>
        <w:pStyle w:val="Odstavecseseznamem"/>
        <w:numPr>
          <w:ilvl w:val="0"/>
          <w:numId w:val="5"/>
        </w:numPr>
        <w:spacing w:after="120"/>
        <w:rPr>
          <w:rFonts w:ascii="Tahoma" w:eastAsiaTheme="minorHAnsi" w:hAnsi="Tahoma" w:cs="Tahoma"/>
          <w:sz w:val="20"/>
          <w:szCs w:val="20"/>
        </w:rPr>
      </w:pPr>
      <w:r w:rsidRPr="0033668C">
        <w:rPr>
          <w:rFonts w:ascii="Tahoma" w:eastAsiaTheme="minorHAnsi" w:hAnsi="Tahoma" w:cs="Tahoma"/>
          <w:sz w:val="20"/>
          <w:szCs w:val="20"/>
        </w:rPr>
        <w:t xml:space="preserve">Příspěvek k naplňování cílů Strategie Evropa </w:t>
      </w:r>
      <w:smartTag w:uri="urn:schemas-microsoft-com:office:smarttags" w:element="metricconverter">
        <w:smartTagPr>
          <w:attr w:name="ProductID" w:val="2020 a"/>
        </w:smartTagPr>
        <w:r w:rsidRPr="0033668C">
          <w:rPr>
            <w:rFonts w:ascii="Tahoma" w:eastAsiaTheme="minorHAnsi" w:hAnsi="Tahoma" w:cs="Tahoma"/>
            <w:sz w:val="20"/>
            <w:szCs w:val="20"/>
          </w:rPr>
          <w:t>2020 a</w:t>
        </w:r>
      </w:smartTag>
      <w:r w:rsidRPr="0033668C">
        <w:rPr>
          <w:rFonts w:ascii="Tahoma" w:eastAsiaTheme="minorHAnsi" w:hAnsi="Tahoma" w:cs="Tahoma"/>
          <w:sz w:val="20"/>
          <w:szCs w:val="20"/>
        </w:rPr>
        <w:t xml:space="preserve"> Dohody o partnerství a soulad operačního programu s dalšími strategiemi ČR </w:t>
      </w:r>
    </w:p>
    <w:p w:rsidR="00065FC1" w:rsidRPr="001074F7" w:rsidRDefault="00065FC1" w:rsidP="00432FF2">
      <w:pPr>
        <w:spacing w:after="120"/>
      </w:pPr>
      <w:r w:rsidRPr="001074F7">
        <w:t xml:space="preserve">Dílčí výstupy a zjištění </w:t>
      </w:r>
      <w:r w:rsidR="008C406A">
        <w:t>byly</w:t>
      </w:r>
      <w:r w:rsidRPr="001074F7">
        <w:t xml:space="preserve"> průběžně konzultovány se zástupci zadavatele a dalšími účastníky evaluace.</w:t>
      </w:r>
    </w:p>
    <w:p w:rsidR="00065FC1" w:rsidRPr="00432FF2" w:rsidRDefault="00065FC1" w:rsidP="00432FF2">
      <w:pPr>
        <w:spacing w:after="120"/>
      </w:pPr>
      <w:r w:rsidRPr="001074F7">
        <w:lastRenderedPageBreak/>
        <w:t xml:space="preserve">Konečným výsledkem práce na zakázce </w:t>
      </w:r>
      <w:r w:rsidR="00151046">
        <w:t>j</w:t>
      </w:r>
      <w:r w:rsidRPr="001074F7">
        <w:t>e Závěrečná zpráva, která shrn</w:t>
      </w:r>
      <w:r w:rsidR="00151046">
        <w:t xml:space="preserve">uje </w:t>
      </w:r>
      <w:r w:rsidRPr="001074F7">
        <w:t>výsledky a závěry předchozích etap plnění zakázky a obsah</w:t>
      </w:r>
      <w:r w:rsidR="00151046">
        <w:t>uje</w:t>
      </w:r>
      <w:r w:rsidRPr="001074F7">
        <w:t xml:space="preserve"> dílčí závěry, </w:t>
      </w:r>
      <w:r w:rsidR="008C406A">
        <w:t xml:space="preserve">souhrnné závěry a doporučení, a také </w:t>
      </w:r>
      <w:r w:rsidR="00151046">
        <w:t>toto</w:t>
      </w:r>
      <w:r w:rsidRPr="001074F7">
        <w:t xml:space="preserve"> manažerské shrnutí.</w:t>
      </w:r>
      <w:r w:rsidRPr="00432FF2">
        <w:t xml:space="preserve">  </w:t>
      </w:r>
    </w:p>
    <w:p w:rsidR="00BC0C94" w:rsidRPr="001074F7" w:rsidRDefault="002720A6" w:rsidP="009C5AC9">
      <w:pPr>
        <w:pStyle w:val="Nadpis2"/>
      </w:pPr>
      <w:bookmarkStart w:id="7" w:name="_Toc392589605"/>
      <w:r>
        <w:t>P</w:t>
      </w:r>
      <w:r w:rsidR="00BC0C94" w:rsidRPr="001074F7">
        <w:t>oužitá metodika</w:t>
      </w:r>
      <w:bookmarkEnd w:id="7"/>
    </w:p>
    <w:p w:rsidR="00432FF2" w:rsidRPr="00D60F77" w:rsidRDefault="00432FF2" w:rsidP="00432FF2">
      <w:pPr>
        <w:spacing w:after="120"/>
      </w:pPr>
      <w:r w:rsidRPr="00D60F77">
        <w:t>Metodický přístup hodnotitel</w:t>
      </w:r>
      <w:r w:rsidR="004071F3" w:rsidRPr="00D60F77">
        <w:t>e</w:t>
      </w:r>
      <w:r w:rsidRPr="00D60F77">
        <w:t xml:space="preserve"> </w:t>
      </w:r>
      <w:r w:rsidR="00151046">
        <w:t>byl</w:t>
      </w:r>
      <w:r w:rsidRPr="00D60F77">
        <w:t xml:space="preserve"> založen na sběru relevantních dat a informací a jejich analýze, přičemž </w:t>
      </w:r>
      <w:r w:rsidR="00151046">
        <w:t>byl</w:t>
      </w:r>
      <w:r w:rsidRPr="00D60F77">
        <w:t xml:space="preserve"> průběžně prováděn sběr jak kvalitativních, tak kvantitativních dat. Na základě těchto dat </w:t>
      </w:r>
      <w:r w:rsidR="00151046">
        <w:t>byly</w:t>
      </w:r>
      <w:r w:rsidRPr="00D60F77">
        <w:t xml:space="preserve"> zpracovávány analýzy zaměřené na řešení evaluačních okruhů vyplývajících ze zadání. </w:t>
      </w:r>
    </w:p>
    <w:p w:rsidR="0068318A" w:rsidRPr="001E7FBB" w:rsidRDefault="00432FF2" w:rsidP="00432FF2">
      <w:pPr>
        <w:spacing w:after="120"/>
      </w:pPr>
      <w:r w:rsidRPr="00D60F77">
        <w:t xml:space="preserve">V </w:t>
      </w:r>
      <w:r w:rsidR="00151046">
        <w:t>p</w:t>
      </w:r>
      <w:r w:rsidRPr="00D60F77">
        <w:t>růběhu řešení projektu převaž</w:t>
      </w:r>
      <w:r w:rsidR="00B952C4" w:rsidRPr="00D60F77">
        <w:t>ovaly</w:t>
      </w:r>
      <w:r w:rsidRPr="00D60F77">
        <w:t xml:space="preserve"> metody </w:t>
      </w:r>
      <w:proofErr w:type="spellStart"/>
      <w:r w:rsidRPr="00D60F77">
        <w:rPr>
          <w:rFonts w:cs="Tahoma"/>
          <w:szCs w:val="20"/>
        </w:rPr>
        <w:t>desk</w:t>
      </w:r>
      <w:proofErr w:type="spellEnd"/>
      <w:r w:rsidRPr="00D60F77">
        <w:rPr>
          <w:rFonts w:cs="Tahoma"/>
          <w:szCs w:val="20"/>
        </w:rPr>
        <w:t xml:space="preserve"> </w:t>
      </w:r>
      <w:proofErr w:type="spellStart"/>
      <w:r w:rsidRPr="00D60F77">
        <w:rPr>
          <w:rFonts w:cs="Tahoma"/>
          <w:szCs w:val="20"/>
        </w:rPr>
        <w:t>research</w:t>
      </w:r>
      <w:proofErr w:type="spellEnd"/>
      <w:r w:rsidRPr="00D60F77">
        <w:rPr>
          <w:rFonts w:cs="Tahoma"/>
          <w:szCs w:val="20"/>
        </w:rPr>
        <w:t>, tj. analýza relevantních dostupných primárních zdrojů, sběr a analýza dat doplněné o</w:t>
      </w:r>
      <w:r w:rsidRPr="00D60F77">
        <w:t xml:space="preserve"> </w:t>
      </w:r>
      <w:r w:rsidR="00D60F77">
        <w:t xml:space="preserve">pracovní </w:t>
      </w:r>
      <w:r w:rsidRPr="00D60F77">
        <w:t xml:space="preserve">schůzky se zástupci zadavatele </w:t>
      </w:r>
      <w:r w:rsidR="00D60F77" w:rsidRPr="001E7FBB">
        <w:t>a účasti členů hodnotitelského týmu na jednání platformy a pracovních skupin pro přípravu OP PIK</w:t>
      </w:r>
      <w:r w:rsidRPr="001E7FBB">
        <w:t xml:space="preserve">. </w:t>
      </w:r>
    </w:p>
    <w:p w:rsidR="0068318A" w:rsidRDefault="0068318A" w:rsidP="00432FF2">
      <w:pPr>
        <w:spacing w:after="120"/>
      </w:pPr>
      <w:r w:rsidRPr="001E7FBB">
        <w:t xml:space="preserve">Při řešení jednotlivých tematických okruhů evaluace </w:t>
      </w:r>
      <w:r w:rsidR="00151046">
        <w:t>byly</w:t>
      </w:r>
      <w:r w:rsidRPr="001E7FBB">
        <w:t xml:space="preserve"> využívány zejména následující metody a postupy:</w:t>
      </w:r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4575F2">
        <w:rPr>
          <w:rFonts w:ascii="Tahoma" w:hAnsi="Tahoma" w:cs="Tahoma"/>
          <w:sz w:val="20"/>
          <w:szCs w:val="20"/>
        </w:rPr>
        <w:t>Využívání sekundárních zdrojů dat</w:t>
      </w:r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4575F2">
        <w:rPr>
          <w:rFonts w:ascii="Tahoma" w:hAnsi="Tahoma" w:cs="Tahoma"/>
          <w:sz w:val="20"/>
          <w:szCs w:val="20"/>
        </w:rPr>
        <w:t>Individuální (řízené) rozhovory</w:t>
      </w:r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proofErr w:type="spellStart"/>
      <w:r w:rsidRPr="004575F2">
        <w:rPr>
          <w:rFonts w:ascii="Tahoma" w:hAnsi="Tahoma" w:cs="Tahoma"/>
          <w:sz w:val="20"/>
          <w:szCs w:val="20"/>
        </w:rPr>
        <w:t>Desk</w:t>
      </w:r>
      <w:proofErr w:type="spellEnd"/>
      <w:r w:rsidRPr="004575F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575F2">
        <w:rPr>
          <w:rFonts w:ascii="Tahoma" w:hAnsi="Tahoma" w:cs="Tahoma"/>
          <w:sz w:val="20"/>
          <w:szCs w:val="20"/>
        </w:rPr>
        <w:t>research</w:t>
      </w:r>
      <w:proofErr w:type="spellEnd"/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4575F2">
        <w:rPr>
          <w:rFonts w:ascii="Tahoma" w:hAnsi="Tahoma" w:cs="Tahoma"/>
          <w:sz w:val="20"/>
          <w:szCs w:val="20"/>
        </w:rPr>
        <w:t>SWOT analýza</w:t>
      </w:r>
    </w:p>
    <w:p w:rsidR="0011542D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Metoda logického rámce</w:t>
      </w:r>
    </w:p>
    <w:p w:rsidR="0011542D" w:rsidRPr="00346F6A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346F6A">
        <w:rPr>
          <w:rFonts w:ascii="Tahoma" w:hAnsi="Tahoma" w:cs="Tahoma"/>
          <w:sz w:val="20"/>
          <w:szCs w:val="20"/>
        </w:rPr>
        <w:t>Procesní analýzy</w:t>
      </w:r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4575F2">
        <w:rPr>
          <w:rFonts w:ascii="Tahoma" w:hAnsi="Tahoma" w:cs="Tahoma"/>
          <w:sz w:val="20"/>
          <w:szCs w:val="20"/>
        </w:rPr>
        <w:t>Srovnávací metody</w:t>
      </w:r>
    </w:p>
    <w:p w:rsidR="0011542D" w:rsidRPr="004575F2" w:rsidRDefault="0011542D" w:rsidP="00F4713A">
      <w:pPr>
        <w:pStyle w:val="Odstavecseseznamem"/>
        <w:numPr>
          <w:ilvl w:val="0"/>
          <w:numId w:val="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4575F2">
        <w:rPr>
          <w:rFonts w:ascii="Tahoma" w:hAnsi="Tahoma" w:cs="Tahoma"/>
          <w:sz w:val="20"/>
          <w:szCs w:val="20"/>
        </w:rPr>
        <w:t>Metoda syntézy</w:t>
      </w:r>
    </w:p>
    <w:p w:rsidR="0011542D" w:rsidRDefault="0011542D" w:rsidP="0011542D">
      <w:pPr>
        <w:spacing w:after="120"/>
        <w:rPr>
          <w:rFonts w:cs="Tahoma"/>
          <w:szCs w:val="20"/>
        </w:rPr>
      </w:pPr>
      <w:r w:rsidRPr="00D31629">
        <w:rPr>
          <w:rFonts w:cs="Tahoma"/>
          <w:szCs w:val="20"/>
        </w:rPr>
        <w:t xml:space="preserve">Zvolené metodologické postupy </w:t>
      </w:r>
      <w:r w:rsidR="00151046">
        <w:rPr>
          <w:rFonts w:cs="Tahoma"/>
          <w:szCs w:val="20"/>
        </w:rPr>
        <w:t>byly</w:t>
      </w:r>
      <w:r>
        <w:rPr>
          <w:rFonts w:cs="Tahoma"/>
          <w:szCs w:val="20"/>
        </w:rPr>
        <w:t xml:space="preserve"> využívány a kombinovány</w:t>
      </w:r>
      <w:r w:rsidRPr="00D31629">
        <w:rPr>
          <w:rFonts w:cs="Tahoma"/>
          <w:szCs w:val="20"/>
        </w:rPr>
        <w:t xml:space="preserve"> podle aktuálních potřeb a hodnocených principů.</w:t>
      </w:r>
      <w:r>
        <w:rPr>
          <w:rFonts w:cs="Tahoma"/>
          <w:szCs w:val="20"/>
        </w:rPr>
        <w:t xml:space="preserve"> </w:t>
      </w:r>
      <w:r w:rsidRPr="00D31629">
        <w:rPr>
          <w:rFonts w:cs="Tahoma"/>
          <w:szCs w:val="20"/>
        </w:rPr>
        <w:t xml:space="preserve">Získaná data a informace </w:t>
      </w:r>
      <w:r w:rsidR="00151046">
        <w:rPr>
          <w:rFonts w:cs="Tahoma"/>
          <w:szCs w:val="20"/>
        </w:rPr>
        <w:t>byla</w:t>
      </w:r>
      <w:r>
        <w:rPr>
          <w:rFonts w:cs="Tahoma"/>
          <w:szCs w:val="20"/>
        </w:rPr>
        <w:t xml:space="preserve"> podrobována </w:t>
      </w:r>
      <w:r w:rsidRPr="00D31629">
        <w:rPr>
          <w:rFonts w:cs="Tahoma"/>
          <w:szCs w:val="20"/>
        </w:rPr>
        <w:t>analýzám (</w:t>
      </w:r>
      <w:proofErr w:type="spellStart"/>
      <w:r w:rsidRPr="00D31629">
        <w:rPr>
          <w:rFonts w:cs="Tahoma"/>
          <w:szCs w:val="20"/>
        </w:rPr>
        <w:t>desk</w:t>
      </w:r>
      <w:proofErr w:type="spellEnd"/>
      <w:r w:rsidRPr="00D31629">
        <w:rPr>
          <w:rFonts w:cs="Tahoma"/>
          <w:szCs w:val="20"/>
        </w:rPr>
        <w:t xml:space="preserve"> </w:t>
      </w:r>
      <w:proofErr w:type="spellStart"/>
      <w:r w:rsidRPr="00D31629">
        <w:rPr>
          <w:rFonts w:cs="Tahoma"/>
          <w:szCs w:val="20"/>
        </w:rPr>
        <w:t>research</w:t>
      </w:r>
      <w:proofErr w:type="spellEnd"/>
      <w:r>
        <w:rPr>
          <w:rFonts w:cs="Tahoma"/>
          <w:szCs w:val="20"/>
        </w:rPr>
        <w:t>, srovnávací metody aj.</w:t>
      </w:r>
      <w:r w:rsidRPr="00D31629">
        <w:rPr>
          <w:rFonts w:cs="Tahoma"/>
          <w:szCs w:val="20"/>
        </w:rPr>
        <w:t xml:space="preserve">) a příslušná zjištění </w:t>
      </w:r>
      <w:r w:rsidR="00151046">
        <w:rPr>
          <w:rFonts w:cs="Tahoma"/>
          <w:szCs w:val="20"/>
        </w:rPr>
        <w:t>byla</w:t>
      </w:r>
      <w:r w:rsidRPr="00D31629">
        <w:rPr>
          <w:rFonts w:cs="Tahoma"/>
          <w:szCs w:val="20"/>
        </w:rPr>
        <w:t xml:space="preserve"> </w:t>
      </w:r>
      <w:r w:rsidRPr="00FD5BB6">
        <w:rPr>
          <w:rFonts w:cs="Tahoma"/>
          <w:szCs w:val="20"/>
        </w:rPr>
        <w:t>metodou syntézy poznatků formulována do</w:t>
      </w:r>
      <w:r>
        <w:rPr>
          <w:rFonts w:cs="Tahoma"/>
          <w:szCs w:val="20"/>
        </w:rPr>
        <w:t xml:space="preserve"> dílčích výstupů, průběžných zpráv </w:t>
      </w:r>
      <w:r w:rsidRPr="00080EB9">
        <w:rPr>
          <w:rFonts w:cs="Tahoma"/>
          <w:szCs w:val="20"/>
        </w:rPr>
        <w:t>a následně i do závěrečné zprávy.</w:t>
      </w:r>
    </w:p>
    <w:p w:rsidR="00205839" w:rsidRDefault="004866E8" w:rsidP="004866E8">
      <w:pPr>
        <w:pStyle w:val="Nadpis2"/>
      </w:pPr>
      <w:bookmarkStart w:id="8" w:name="_Toc392589606"/>
      <w:r>
        <w:t>Dosavadní doporučení ex</w:t>
      </w:r>
      <w:r w:rsidR="002916A7">
        <w:t>-</w:t>
      </w:r>
      <w:r>
        <w:t>ante hodnotitele</w:t>
      </w:r>
      <w:bookmarkEnd w:id="8"/>
    </w:p>
    <w:p w:rsidR="002C3C60" w:rsidRDefault="002C3C60" w:rsidP="002C3C60">
      <w:pPr>
        <w:spacing w:after="120"/>
        <w:rPr>
          <w:rFonts w:cs="Tahoma"/>
          <w:szCs w:val="20"/>
        </w:rPr>
      </w:pPr>
      <w:r w:rsidRPr="00F008A5">
        <w:rPr>
          <w:rFonts w:cs="Tahoma"/>
          <w:szCs w:val="20"/>
        </w:rPr>
        <w:t>Ho</w:t>
      </w:r>
      <w:r>
        <w:rPr>
          <w:rFonts w:cs="Tahoma"/>
          <w:szCs w:val="20"/>
        </w:rPr>
        <w:t xml:space="preserve">dnotitel provedl v předchozí fázi své činnosti detailní analýzu a rozbor 5. verze OP PIK a svá zjištění a doporučení formuloval </w:t>
      </w:r>
      <w:r w:rsidRPr="00825A7F">
        <w:rPr>
          <w:rFonts w:cs="Tahoma"/>
          <w:szCs w:val="20"/>
        </w:rPr>
        <w:t>v</w:t>
      </w:r>
      <w:r w:rsidRPr="00825A7F">
        <w:rPr>
          <w:rFonts w:cs="Tahoma"/>
          <w:i/>
          <w:szCs w:val="20"/>
        </w:rPr>
        <w:t> Z</w:t>
      </w:r>
      <w:r w:rsidRPr="000620FC">
        <w:rPr>
          <w:rFonts w:cs="Tahoma"/>
          <w:i/>
          <w:szCs w:val="20"/>
        </w:rPr>
        <w:t>ávěrečné zpráv</w:t>
      </w:r>
      <w:r>
        <w:rPr>
          <w:rFonts w:cs="Tahoma"/>
          <w:i/>
          <w:szCs w:val="20"/>
        </w:rPr>
        <w:t>ě</w:t>
      </w:r>
      <w:r w:rsidRPr="000620FC">
        <w:rPr>
          <w:rFonts w:cs="Tahoma"/>
          <w:i/>
          <w:szCs w:val="20"/>
        </w:rPr>
        <w:t xml:space="preserve"> ex-ante hodnocení OP PIK</w:t>
      </w:r>
      <w:r>
        <w:rPr>
          <w:rFonts w:cs="Tahoma"/>
          <w:i/>
          <w:szCs w:val="20"/>
        </w:rPr>
        <w:t xml:space="preserve"> 2014-2020</w:t>
      </w:r>
      <w:r w:rsidRPr="0014709B">
        <w:rPr>
          <w:rFonts w:cs="Tahoma"/>
          <w:szCs w:val="20"/>
        </w:rPr>
        <w:t>, která byla předána zadavateli v </w:t>
      </w:r>
      <w:r>
        <w:rPr>
          <w:rFonts w:cs="Tahoma"/>
          <w:szCs w:val="20"/>
        </w:rPr>
        <w:t>březnu</w:t>
      </w:r>
      <w:r w:rsidRPr="0014709B">
        <w:rPr>
          <w:rFonts w:cs="Tahoma"/>
          <w:szCs w:val="20"/>
        </w:rPr>
        <w:t xml:space="preserve"> 201</w:t>
      </w:r>
      <w:r>
        <w:rPr>
          <w:rFonts w:cs="Tahoma"/>
          <w:szCs w:val="20"/>
        </w:rPr>
        <w:t>4</w:t>
      </w:r>
      <w:r w:rsidRPr="0014709B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</w:p>
    <w:p w:rsidR="002C3C60" w:rsidRPr="00DA5BDB" w:rsidRDefault="002C3C60" w:rsidP="002C3C60">
      <w:pPr>
        <w:spacing w:after="120"/>
        <w:rPr>
          <w:rFonts w:cs="Tahoma"/>
          <w:szCs w:val="20"/>
        </w:rPr>
      </w:pPr>
      <w:r w:rsidRPr="00DA5BDB">
        <w:rPr>
          <w:rFonts w:cs="Tahoma"/>
          <w:szCs w:val="20"/>
        </w:rPr>
        <w:t xml:space="preserve">Hodnotitel vnímá pozitivně, že zpracovatel </w:t>
      </w:r>
      <w:r w:rsidRPr="009E5BE4">
        <w:rPr>
          <w:rFonts w:cs="Tahoma"/>
          <w:szCs w:val="20"/>
        </w:rPr>
        <w:t>velkou část návrhů a</w:t>
      </w:r>
      <w:r w:rsidRPr="00DA5BDB">
        <w:rPr>
          <w:rFonts w:cs="Tahoma"/>
          <w:szCs w:val="20"/>
        </w:rPr>
        <w:t xml:space="preserve"> doporučení zcela nebo částečně akceptoval a promítnul do hodnocené verze OP PIK (7-2). Jedná se </w:t>
      </w:r>
      <w:r>
        <w:rPr>
          <w:rFonts w:cs="Tahoma"/>
          <w:szCs w:val="20"/>
        </w:rPr>
        <w:t xml:space="preserve">mj. </w:t>
      </w:r>
      <w:r w:rsidRPr="00DA5BDB">
        <w:rPr>
          <w:rFonts w:cs="Tahoma"/>
          <w:szCs w:val="20"/>
        </w:rPr>
        <w:t>o:</w:t>
      </w:r>
    </w:p>
    <w:p w:rsidR="002C3C60" w:rsidRPr="00DA5BDB" w:rsidRDefault="002C3C60" w:rsidP="002C3C60">
      <w:pPr>
        <w:pStyle w:val="Odstavecseseznamem"/>
        <w:numPr>
          <w:ilvl w:val="0"/>
          <w:numId w:val="17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další</w:t>
      </w:r>
      <w:r w:rsidRPr="00DA5BDB">
        <w:rPr>
          <w:rFonts w:ascii="Tahoma" w:hAnsi="Tahoma" w:cs="Tahoma"/>
          <w:sz w:val="20"/>
          <w:szCs w:val="20"/>
        </w:rPr>
        <w:t xml:space="preserve"> zpřesnění intervenční logiky </w:t>
      </w:r>
      <w:r>
        <w:rPr>
          <w:rFonts w:ascii="Tahoma" w:hAnsi="Tahoma" w:cs="Tahoma"/>
          <w:sz w:val="20"/>
          <w:szCs w:val="20"/>
        </w:rPr>
        <w:t xml:space="preserve">operačního </w:t>
      </w:r>
      <w:r w:rsidRPr="00DA5BDB">
        <w:rPr>
          <w:rFonts w:ascii="Tahoma" w:hAnsi="Tahoma" w:cs="Tahoma"/>
          <w:sz w:val="20"/>
          <w:szCs w:val="20"/>
        </w:rPr>
        <w:t xml:space="preserve">programu ve smyslu upřesnění </w:t>
      </w:r>
      <w:r>
        <w:rPr>
          <w:rFonts w:ascii="Tahoma" w:hAnsi="Tahoma" w:cs="Tahoma"/>
          <w:sz w:val="20"/>
          <w:szCs w:val="20"/>
        </w:rPr>
        <w:t xml:space="preserve">indikativního výčtu </w:t>
      </w:r>
      <w:r w:rsidRPr="00DA5BDB">
        <w:rPr>
          <w:rFonts w:ascii="Tahoma" w:hAnsi="Tahoma" w:cs="Tahoma"/>
          <w:sz w:val="20"/>
          <w:szCs w:val="20"/>
        </w:rPr>
        <w:t>podporovaných aktivit v rámci specifických cílů</w:t>
      </w:r>
      <w:r>
        <w:rPr>
          <w:rFonts w:ascii="Tahoma" w:hAnsi="Tahoma" w:cs="Tahoma"/>
          <w:sz w:val="20"/>
          <w:szCs w:val="20"/>
        </w:rPr>
        <w:t xml:space="preserve">, </w:t>
      </w:r>
      <w:r w:rsidRPr="00DA5BDB">
        <w:rPr>
          <w:rFonts w:ascii="Tahoma" w:hAnsi="Tahoma" w:cs="Tahoma"/>
          <w:sz w:val="20"/>
          <w:szCs w:val="20"/>
        </w:rPr>
        <w:t>jejich</w:t>
      </w:r>
      <w:r>
        <w:rPr>
          <w:rFonts w:ascii="Tahoma" w:hAnsi="Tahoma" w:cs="Tahoma"/>
          <w:sz w:val="20"/>
          <w:szCs w:val="20"/>
        </w:rPr>
        <w:t xml:space="preserve"> výstupů a také</w:t>
      </w:r>
      <w:r w:rsidRPr="00DA5BDB">
        <w:rPr>
          <w:rFonts w:ascii="Tahoma" w:hAnsi="Tahoma" w:cs="Tahoma"/>
          <w:sz w:val="20"/>
          <w:szCs w:val="20"/>
        </w:rPr>
        <w:t xml:space="preserve"> vazeb na očekávané výsledky;</w:t>
      </w:r>
    </w:p>
    <w:p w:rsidR="002C3C60" w:rsidRPr="00DA5BDB" w:rsidRDefault="002C3C60" w:rsidP="002C3C60">
      <w:pPr>
        <w:pStyle w:val="Odstavecseseznamem"/>
        <w:numPr>
          <w:ilvl w:val="0"/>
          <w:numId w:val="1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A5BDB">
        <w:rPr>
          <w:rFonts w:ascii="Tahoma" w:hAnsi="Tahoma" w:cs="Tahoma"/>
          <w:sz w:val="20"/>
          <w:szCs w:val="20"/>
        </w:rPr>
        <w:t xml:space="preserve">doplnění pasáží věnujících </w:t>
      </w:r>
      <w:r>
        <w:rPr>
          <w:rFonts w:ascii="Tahoma" w:hAnsi="Tahoma" w:cs="Tahoma"/>
          <w:sz w:val="20"/>
          <w:szCs w:val="20"/>
        </w:rPr>
        <w:t xml:space="preserve">zhodnocení a </w:t>
      </w:r>
      <w:r w:rsidRPr="00DA5BDB">
        <w:rPr>
          <w:rFonts w:ascii="Tahoma" w:hAnsi="Tahoma" w:cs="Tahoma"/>
          <w:sz w:val="20"/>
          <w:szCs w:val="20"/>
        </w:rPr>
        <w:t>návaznostem na programovací období 2007–2013</w:t>
      </w:r>
      <w:r>
        <w:rPr>
          <w:rFonts w:ascii="Tahoma" w:hAnsi="Tahoma" w:cs="Tahoma"/>
          <w:sz w:val="20"/>
          <w:szCs w:val="20"/>
        </w:rPr>
        <w:t xml:space="preserve"> (připraveno formou nepovinné přílohy, vlastní text zatím nedoplněn)</w:t>
      </w:r>
      <w:r w:rsidRPr="00DA5BDB">
        <w:rPr>
          <w:rFonts w:ascii="Tahoma" w:hAnsi="Tahoma" w:cs="Tahoma"/>
          <w:sz w:val="20"/>
          <w:szCs w:val="20"/>
        </w:rPr>
        <w:t xml:space="preserve">;    </w:t>
      </w:r>
    </w:p>
    <w:p w:rsidR="002C3C60" w:rsidRPr="00DA5BDB" w:rsidRDefault="002C3C60" w:rsidP="002C3C60">
      <w:pPr>
        <w:pStyle w:val="Odstavecseseznamem"/>
        <w:numPr>
          <w:ilvl w:val="0"/>
          <w:numId w:val="1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A5BDB">
        <w:rPr>
          <w:rFonts w:ascii="Tahoma" w:hAnsi="Tahoma" w:cs="Tahoma"/>
          <w:sz w:val="20"/>
          <w:szCs w:val="20"/>
        </w:rPr>
        <w:t>revizi indikátorové soustavy OP PIK</w:t>
      </w:r>
      <w:r>
        <w:rPr>
          <w:rFonts w:ascii="Tahoma" w:hAnsi="Tahoma" w:cs="Tahoma"/>
          <w:sz w:val="20"/>
          <w:szCs w:val="20"/>
        </w:rPr>
        <w:t xml:space="preserve"> na úrovni výsledků specifických cílů</w:t>
      </w:r>
      <w:r w:rsidRPr="00DA5BDB">
        <w:rPr>
          <w:rFonts w:ascii="Tahoma" w:hAnsi="Tahoma" w:cs="Tahoma"/>
          <w:sz w:val="20"/>
          <w:szCs w:val="20"/>
        </w:rPr>
        <w:t>;</w:t>
      </w:r>
    </w:p>
    <w:p w:rsidR="002C3C60" w:rsidRPr="00DA5BDB" w:rsidRDefault="002C3C60" w:rsidP="002C3C60">
      <w:pPr>
        <w:pStyle w:val="Odstavecseseznamem"/>
        <w:numPr>
          <w:ilvl w:val="0"/>
          <w:numId w:val="1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A5BDB">
        <w:rPr>
          <w:rFonts w:ascii="Tahoma" w:hAnsi="Tahoma" w:cs="Tahoma"/>
          <w:sz w:val="20"/>
          <w:szCs w:val="20"/>
        </w:rPr>
        <w:t>doplnění</w:t>
      </w:r>
      <w:r>
        <w:rPr>
          <w:rFonts w:ascii="Tahoma" w:hAnsi="Tahoma" w:cs="Tahoma"/>
          <w:sz w:val="20"/>
          <w:szCs w:val="20"/>
        </w:rPr>
        <w:t xml:space="preserve"> a zpřesnění</w:t>
      </w:r>
      <w:r w:rsidRPr="00DA5BDB">
        <w:rPr>
          <w:rFonts w:ascii="Tahoma" w:hAnsi="Tahoma" w:cs="Tahoma"/>
          <w:sz w:val="20"/>
          <w:szCs w:val="20"/>
        </w:rPr>
        <w:t xml:space="preserve"> výchozích a cílových hodnot ukazatelů;</w:t>
      </w:r>
    </w:p>
    <w:p w:rsidR="002C3C60" w:rsidRPr="00DA5BDB" w:rsidRDefault="002C3C60" w:rsidP="002C3C60">
      <w:pPr>
        <w:pStyle w:val="Odstavecseseznamem"/>
        <w:numPr>
          <w:ilvl w:val="0"/>
          <w:numId w:val="1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A5BDB">
        <w:rPr>
          <w:rFonts w:ascii="Tahoma" w:hAnsi="Tahoma" w:cs="Tahoma"/>
          <w:sz w:val="20"/>
          <w:szCs w:val="20"/>
        </w:rPr>
        <w:t xml:space="preserve">doplnění popisu základních postupů monitorování programu a shromažďování dat nezbytných k provádění evaluací k posouzení účinnosti, účelnosti a dopadu operačního programu. </w:t>
      </w:r>
    </w:p>
    <w:p w:rsidR="002C3C60" w:rsidRPr="00DA5BDB" w:rsidRDefault="002C3C60" w:rsidP="002C3C60">
      <w:pPr>
        <w:spacing w:after="120"/>
        <w:rPr>
          <w:rFonts w:eastAsia="Calibri" w:cs="Times New Roman"/>
        </w:rPr>
      </w:pPr>
      <w:r w:rsidRPr="00DA5BDB">
        <w:rPr>
          <w:rFonts w:eastAsia="Calibri" w:cs="Times New Roman"/>
        </w:rPr>
        <w:t xml:space="preserve">Další </w:t>
      </w:r>
      <w:r>
        <w:rPr>
          <w:rFonts w:eastAsia="Calibri" w:cs="Times New Roman"/>
        </w:rPr>
        <w:t xml:space="preserve">předchozí zjištění </w:t>
      </w:r>
      <w:r w:rsidRPr="00DA5BDB">
        <w:rPr>
          <w:rFonts w:eastAsia="Calibri" w:cs="Times New Roman"/>
        </w:rPr>
        <w:t xml:space="preserve">a doporučení </w:t>
      </w:r>
      <w:r>
        <w:rPr>
          <w:rFonts w:eastAsia="Calibri" w:cs="Times New Roman"/>
        </w:rPr>
        <w:t xml:space="preserve">ex-ante hodnotitele </w:t>
      </w:r>
      <w:r w:rsidRPr="00DA5BDB">
        <w:rPr>
          <w:rFonts w:eastAsia="Calibri" w:cs="Times New Roman"/>
        </w:rPr>
        <w:t xml:space="preserve">byla zohledněna </w:t>
      </w:r>
      <w:r w:rsidRPr="009E5BE4">
        <w:rPr>
          <w:rFonts w:eastAsia="Calibri" w:cs="Times New Roman"/>
        </w:rPr>
        <w:t>spíše v</w:t>
      </w:r>
      <w:r w:rsidRPr="00DA5BDB">
        <w:rPr>
          <w:rFonts w:eastAsia="Calibri" w:cs="Times New Roman"/>
        </w:rPr>
        <w:t> malé míře nebo vůbec. Jedná se zejména o následující:</w:t>
      </w:r>
    </w:p>
    <w:p w:rsidR="002C3C60" w:rsidRPr="00DA5BDB" w:rsidRDefault="002C3C60" w:rsidP="002C3C60">
      <w:pPr>
        <w:pStyle w:val="Odstavecseseznamem"/>
        <w:numPr>
          <w:ilvl w:val="0"/>
          <w:numId w:val="3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E87A16">
        <w:rPr>
          <w:rFonts w:ascii="Tahoma" w:hAnsi="Tahoma" w:cs="Tahoma"/>
          <w:sz w:val="20"/>
          <w:szCs w:val="20"/>
        </w:rPr>
        <w:t>Zváž</w:t>
      </w:r>
      <w:r w:rsidRPr="009E5BE4">
        <w:rPr>
          <w:rFonts w:ascii="Tahoma" w:hAnsi="Tahoma" w:cs="Tahoma"/>
          <w:sz w:val="20"/>
          <w:szCs w:val="20"/>
        </w:rPr>
        <w:t>it případnou vyšš</w:t>
      </w:r>
      <w:r w:rsidRPr="00E87A16">
        <w:rPr>
          <w:rFonts w:ascii="Tahoma" w:hAnsi="Tahoma" w:cs="Tahoma"/>
          <w:sz w:val="20"/>
          <w:szCs w:val="20"/>
        </w:rPr>
        <w:t>í</w:t>
      </w:r>
      <w:r w:rsidRPr="00DA5BDB">
        <w:rPr>
          <w:rFonts w:ascii="Tahoma" w:hAnsi="Tahoma" w:cs="Tahoma"/>
          <w:sz w:val="20"/>
          <w:szCs w:val="20"/>
        </w:rPr>
        <w:t xml:space="preserve"> koncentraci OP PIK.</w:t>
      </w:r>
    </w:p>
    <w:p w:rsidR="002C3C60" w:rsidRPr="00DA5BDB" w:rsidRDefault="002C3C60" w:rsidP="002C3C60">
      <w:pPr>
        <w:pStyle w:val="Odstavecseseznamem"/>
        <w:numPr>
          <w:ilvl w:val="0"/>
          <w:numId w:val="3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A5BDB">
        <w:rPr>
          <w:rFonts w:ascii="Tahoma" w:hAnsi="Tahoma" w:cs="Tahoma"/>
          <w:sz w:val="20"/>
          <w:szCs w:val="20"/>
        </w:rPr>
        <w:t xml:space="preserve">Více popsat synergie </w:t>
      </w:r>
      <w:r>
        <w:rPr>
          <w:rFonts w:ascii="Tahoma" w:hAnsi="Tahoma" w:cs="Tahoma"/>
          <w:sz w:val="20"/>
          <w:szCs w:val="20"/>
        </w:rPr>
        <w:t xml:space="preserve">a také hraniční oblasti </w:t>
      </w:r>
      <w:r w:rsidRPr="00DA5BDB">
        <w:rPr>
          <w:rFonts w:ascii="Tahoma" w:hAnsi="Tahoma" w:cs="Tahoma"/>
          <w:sz w:val="20"/>
          <w:szCs w:val="20"/>
        </w:rPr>
        <w:t>mezi prioritními osami a specifickými cíli OP PIK.</w:t>
      </w:r>
    </w:p>
    <w:p w:rsidR="002C3C60" w:rsidRDefault="002C3C60" w:rsidP="002C3C60">
      <w:pPr>
        <w:pStyle w:val="Odstavecseseznamem"/>
        <w:numPr>
          <w:ilvl w:val="0"/>
          <w:numId w:val="3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85051">
        <w:rPr>
          <w:rFonts w:ascii="Tahoma" w:hAnsi="Tahoma" w:cs="Tahoma"/>
          <w:sz w:val="20"/>
          <w:szCs w:val="20"/>
        </w:rPr>
        <w:t>Zpřesnit intervenční logiku programu ve smyslu: i) provést revizi popsaných výsledků, jichž chtějí specifické cíle dosáhnout, a odliši</w:t>
      </w:r>
      <w:r w:rsidRPr="009E5BE4">
        <w:rPr>
          <w:rFonts w:ascii="Tahoma" w:hAnsi="Tahoma" w:cs="Tahoma"/>
          <w:sz w:val="20"/>
          <w:szCs w:val="20"/>
        </w:rPr>
        <w:t>t dos</w:t>
      </w:r>
      <w:r w:rsidRPr="00E87A16">
        <w:rPr>
          <w:rFonts w:ascii="Tahoma" w:hAnsi="Tahoma" w:cs="Tahoma"/>
          <w:sz w:val="20"/>
          <w:szCs w:val="20"/>
        </w:rPr>
        <w:t>ažitelné</w:t>
      </w:r>
      <w:r w:rsidRPr="00D85051">
        <w:rPr>
          <w:rFonts w:ascii="Tahoma" w:hAnsi="Tahoma" w:cs="Tahoma"/>
          <w:sz w:val="20"/>
          <w:szCs w:val="20"/>
        </w:rPr>
        <w:t xml:space="preserve"> (reálné) výsledky OP PIK od širších socioekonomických cílů a </w:t>
      </w:r>
      <w:proofErr w:type="spellStart"/>
      <w:r w:rsidRPr="00D85051">
        <w:rPr>
          <w:rFonts w:ascii="Tahoma" w:hAnsi="Tahoma" w:cs="Tahoma"/>
          <w:sz w:val="20"/>
          <w:szCs w:val="20"/>
        </w:rPr>
        <w:t>ii</w:t>
      </w:r>
      <w:proofErr w:type="spellEnd"/>
      <w:r w:rsidRPr="00D85051">
        <w:rPr>
          <w:rFonts w:ascii="Tahoma" w:hAnsi="Tahoma" w:cs="Tahoma"/>
          <w:sz w:val="20"/>
          <w:szCs w:val="20"/>
        </w:rPr>
        <w:t xml:space="preserve">) </w:t>
      </w:r>
      <w:r w:rsidRPr="009E5BE4">
        <w:rPr>
          <w:rFonts w:ascii="Tahoma" w:hAnsi="Tahoma" w:cs="Tahoma"/>
          <w:sz w:val="20"/>
          <w:szCs w:val="20"/>
        </w:rPr>
        <w:t xml:space="preserve">popř. </w:t>
      </w:r>
      <w:r w:rsidRPr="00D85051">
        <w:rPr>
          <w:rFonts w:ascii="Tahoma" w:hAnsi="Tahoma" w:cs="Tahoma"/>
          <w:sz w:val="20"/>
          <w:szCs w:val="20"/>
        </w:rPr>
        <w:t xml:space="preserve">doplnit popis/vyjádření vazeb očekávaných výsledků specifických cílů OP PIK na hlavní </w:t>
      </w:r>
      <w:proofErr w:type="spellStart"/>
      <w:r w:rsidRPr="00D85051">
        <w:rPr>
          <w:rFonts w:ascii="Tahoma" w:hAnsi="Tahoma" w:cs="Tahoma"/>
          <w:sz w:val="20"/>
          <w:szCs w:val="20"/>
        </w:rPr>
        <w:t>výsledktematických</w:t>
      </w:r>
      <w:proofErr w:type="spellEnd"/>
      <w:r w:rsidRPr="00D85051">
        <w:rPr>
          <w:rFonts w:ascii="Tahoma" w:hAnsi="Tahoma" w:cs="Tahoma"/>
          <w:sz w:val="20"/>
          <w:szCs w:val="20"/>
        </w:rPr>
        <w:t xml:space="preserve"> cílů </w:t>
      </w:r>
      <w:proofErr w:type="spellStart"/>
      <w:r w:rsidRPr="00D85051">
        <w:rPr>
          <w:rFonts w:ascii="Tahoma" w:hAnsi="Tahoma" w:cs="Tahoma"/>
          <w:sz w:val="20"/>
          <w:szCs w:val="20"/>
        </w:rPr>
        <w:t>uvedenv</w:t>
      </w:r>
      <w:proofErr w:type="spellEnd"/>
      <w:r w:rsidRPr="00D85051">
        <w:rPr>
          <w:rFonts w:ascii="Tahoma" w:hAnsi="Tahoma" w:cs="Tahoma"/>
          <w:sz w:val="20"/>
          <w:szCs w:val="20"/>
        </w:rPr>
        <w:t> </w:t>
      </w:r>
      <w:proofErr w:type="spellStart"/>
      <w:r w:rsidRPr="00D85051">
        <w:rPr>
          <w:rFonts w:ascii="Tahoma" w:hAnsi="Tahoma" w:cs="Tahoma"/>
          <w:sz w:val="20"/>
          <w:szCs w:val="20"/>
        </w:rPr>
        <w:t>DoP.</w:t>
      </w:r>
      <w:proofErr w:type="spellEnd"/>
      <w:r w:rsidRPr="00D85051">
        <w:rPr>
          <w:rFonts w:ascii="Tahoma" w:hAnsi="Tahoma" w:cs="Tahoma"/>
          <w:sz w:val="20"/>
          <w:szCs w:val="20"/>
        </w:rPr>
        <w:t xml:space="preserve"> </w:t>
      </w:r>
    </w:p>
    <w:p w:rsidR="002C3C60" w:rsidRPr="00D85051" w:rsidRDefault="002C3C60" w:rsidP="002C3C60">
      <w:pPr>
        <w:pStyle w:val="Odstavecseseznamem"/>
        <w:numPr>
          <w:ilvl w:val="0"/>
          <w:numId w:val="3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85051">
        <w:rPr>
          <w:rFonts w:ascii="Tahoma" w:hAnsi="Tahoma" w:cs="Tahoma"/>
          <w:sz w:val="20"/>
          <w:szCs w:val="20"/>
        </w:rPr>
        <w:t xml:space="preserve">Doplnit u jednotlivých specifických cílů OP PIK výčet dalších faktorů/opatření nad rámec OP PIK, které jsou nezbytné pro dosažení žádoucích změn, což dle vyjádření zadavatele bude uvedeno v příloze věnující se analýze potřeb ČR.   </w:t>
      </w:r>
    </w:p>
    <w:p w:rsidR="00151046" w:rsidRPr="002C3C60" w:rsidRDefault="002C3C60" w:rsidP="002C3C60">
      <w:pPr>
        <w:pStyle w:val="Odstavecseseznamem"/>
        <w:numPr>
          <w:ilvl w:val="0"/>
          <w:numId w:val="3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103185">
        <w:rPr>
          <w:rFonts w:ascii="Tahoma" w:hAnsi="Tahoma" w:cs="Tahoma"/>
          <w:sz w:val="20"/>
          <w:szCs w:val="20"/>
        </w:rPr>
        <w:lastRenderedPageBreak/>
        <w:t>Přehledněji uvést a popsat principy naplňování územní dimenze vč. jejich</w:t>
      </w:r>
      <w:r>
        <w:rPr>
          <w:rFonts w:ascii="Tahoma" w:hAnsi="Tahoma" w:cs="Tahoma"/>
          <w:sz w:val="20"/>
          <w:szCs w:val="20"/>
        </w:rPr>
        <w:t xml:space="preserve"> pří</w:t>
      </w:r>
      <w:r w:rsidRPr="00103185">
        <w:rPr>
          <w:rFonts w:ascii="Tahoma" w:hAnsi="Tahoma" w:cs="Tahoma"/>
          <w:sz w:val="20"/>
          <w:szCs w:val="20"/>
        </w:rPr>
        <w:t>sp</w:t>
      </w:r>
      <w:r>
        <w:rPr>
          <w:rFonts w:ascii="Tahoma" w:hAnsi="Tahoma" w:cs="Tahoma"/>
          <w:sz w:val="20"/>
          <w:szCs w:val="20"/>
        </w:rPr>
        <w:t xml:space="preserve">ěvku </w:t>
      </w:r>
      <w:r w:rsidRPr="00103185">
        <w:rPr>
          <w:rFonts w:ascii="Tahoma" w:hAnsi="Tahoma" w:cs="Tahoma"/>
          <w:sz w:val="20"/>
          <w:szCs w:val="20"/>
        </w:rPr>
        <w:t>k cílům a očekávaným výsledkům programu.</w:t>
      </w:r>
      <w:r>
        <w:rPr>
          <w:rFonts w:ascii="Tahoma" w:hAnsi="Tahoma" w:cs="Tahoma"/>
          <w:sz w:val="20"/>
          <w:szCs w:val="20"/>
        </w:rPr>
        <w:t xml:space="preserve"> Zde bere hodnotitel na vědomí skutečnost, že se dokončují na národní úrovni (v gesci MMR-NOK) Národní dokument k územní dimenzi (NDÚD) a Metodický pokyn pro využití integrovaných nástrojů v programovém období 2014 – 2020 (MPIN), které </w:t>
      </w:r>
      <w:r w:rsidRPr="00BB00EC">
        <w:rPr>
          <w:rFonts w:ascii="Tahoma" w:hAnsi="Tahoma" w:cs="Tahoma"/>
          <w:sz w:val="20"/>
          <w:szCs w:val="20"/>
        </w:rPr>
        <w:t>dle vyjádření zadavatele</w:t>
      </w:r>
      <w:r>
        <w:rPr>
          <w:rFonts w:ascii="Tahoma" w:hAnsi="Tahoma" w:cs="Tahoma"/>
          <w:sz w:val="20"/>
          <w:szCs w:val="20"/>
        </w:rPr>
        <w:t xml:space="preserve"> budou zohledněny při dalších pracích na programovém dokumentu OP PIK</w:t>
      </w:r>
      <w:r w:rsidR="00D04EE0" w:rsidRPr="002C3C60">
        <w:rPr>
          <w:rFonts w:ascii="Tahoma" w:hAnsi="Tahoma" w:cs="Tahoma"/>
          <w:sz w:val="20"/>
          <w:szCs w:val="20"/>
        </w:rPr>
        <w:t>.</w:t>
      </w:r>
    </w:p>
    <w:p w:rsidR="00151046" w:rsidRPr="00276FF3" w:rsidRDefault="00151046" w:rsidP="00151046">
      <w:pPr>
        <w:pStyle w:val="Nadpis2"/>
      </w:pPr>
      <w:bookmarkStart w:id="9" w:name="_Toc384047810"/>
      <w:bookmarkStart w:id="10" w:name="_Toc392589607"/>
      <w:r w:rsidRPr="00276FF3">
        <w:t>Otevřené otázky, nedořešená témata</w:t>
      </w:r>
      <w:bookmarkEnd w:id="9"/>
      <w:bookmarkEnd w:id="10"/>
    </w:p>
    <w:p w:rsidR="000B3B82" w:rsidRPr="00667E35" w:rsidRDefault="000B3B82" w:rsidP="000B3B82">
      <w:pPr>
        <w:spacing w:after="120"/>
        <w:rPr>
          <w:rFonts w:eastAsia="Calibri" w:cs="Times New Roman"/>
        </w:rPr>
      </w:pPr>
      <w:r w:rsidRPr="00DA5BDB">
        <w:rPr>
          <w:rFonts w:eastAsia="Calibri" w:cs="Times New Roman"/>
        </w:rPr>
        <w:t xml:space="preserve">Hodnotitel upozorňuje, že s ohledem </w:t>
      </w:r>
      <w:r w:rsidRPr="00667E35">
        <w:rPr>
          <w:rFonts w:eastAsia="Calibri" w:cs="Times New Roman"/>
        </w:rPr>
        <w:t xml:space="preserve">na objektivní vnější okolnosti a aktuální stav věcí zůstávají některá témata s vazbou na ex-ante hodnocení OP PIK </w:t>
      </w:r>
      <w:r w:rsidRPr="009E5BE4">
        <w:rPr>
          <w:rFonts w:eastAsia="Calibri" w:cs="Times New Roman"/>
        </w:rPr>
        <w:t>ješt</w:t>
      </w:r>
      <w:r w:rsidRPr="009E5BE4">
        <w:rPr>
          <w:rFonts w:eastAsia="Calibri" w:cs="Times New Roman" w:hint="eastAsia"/>
        </w:rPr>
        <w:t>ě</w:t>
      </w:r>
      <w:r w:rsidRPr="009E5BE4">
        <w:rPr>
          <w:rFonts w:eastAsia="Calibri" w:cs="Times New Roman"/>
        </w:rPr>
        <w:t xml:space="preserve"> </w:t>
      </w:r>
      <w:r w:rsidRPr="00667E35">
        <w:rPr>
          <w:rFonts w:eastAsia="Calibri" w:cs="Times New Roman"/>
        </w:rPr>
        <w:t xml:space="preserve">otevřená. </w:t>
      </w:r>
    </w:p>
    <w:p w:rsidR="000B3B82" w:rsidRPr="00667E35" w:rsidRDefault="000B3B82" w:rsidP="000B3B82">
      <w:pPr>
        <w:spacing w:after="120"/>
        <w:rPr>
          <w:rFonts w:eastAsia="Calibri" w:cs="Times New Roman"/>
        </w:rPr>
      </w:pPr>
      <w:r w:rsidRPr="00667E35">
        <w:rPr>
          <w:rFonts w:eastAsia="Calibri" w:cs="Times New Roman"/>
        </w:rPr>
        <w:t>Mezi tyto okolnosti lze zařadit především následující:</w:t>
      </w:r>
    </w:p>
    <w:p w:rsidR="000B3B82" w:rsidRPr="00667E35" w:rsidRDefault="000B3B82" w:rsidP="000B3B82">
      <w:pPr>
        <w:pStyle w:val="Odstavecseseznamem"/>
        <w:numPr>
          <w:ilvl w:val="0"/>
          <w:numId w:val="40"/>
        </w:num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9E5BE4">
        <w:rPr>
          <w:rFonts w:ascii="Tahoma" w:eastAsia="Calibri" w:hAnsi="Tahoma" w:cs="Tahoma"/>
          <w:sz w:val="20"/>
          <w:szCs w:val="20"/>
        </w:rPr>
        <w:t>Na konečné stanovení vnitřních finančních alokací programu může mít vliv rozhodnutí o národním spolufinancování.</w:t>
      </w:r>
      <w:r w:rsidRPr="00667E35">
        <w:rPr>
          <w:rFonts w:ascii="Tahoma" w:eastAsia="Calibri" w:hAnsi="Tahoma" w:cs="Tahoma"/>
          <w:sz w:val="20"/>
          <w:szCs w:val="20"/>
        </w:rPr>
        <w:t xml:space="preserve"> Tato skutečnost může mít </w:t>
      </w:r>
      <w:proofErr w:type="spellStart"/>
      <w:r w:rsidRPr="00667E35">
        <w:rPr>
          <w:rFonts w:ascii="Tahoma" w:eastAsia="Calibri" w:hAnsi="Tahoma" w:cs="Tahoma"/>
          <w:sz w:val="20"/>
          <w:szCs w:val="20"/>
        </w:rPr>
        <w:t>event</w:t>
      </w:r>
      <w:proofErr w:type="spellEnd"/>
      <w:r w:rsidRPr="00667E35">
        <w:rPr>
          <w:rFonts w:ascii="Tahoma" w:eastAsia="Calibri" w:hAnsi="Tahoma" w:cs="Tahoma"/>
          <w:sz w:val="20"/>
          <w:szCs w:val="20"/>
        </w:rPr>
        <w:t>. vliv na provádění hodnocení v evaluačních okruzích: „Konzistence finančních alokací“ a „Indikátory, monitoring, evaluace“.</w:t>
      </w:r>
    </w:p>
    <w:p w:rsidR="000B3B82" w:rsidRPr="00DA5BDB" w:rsidRDefault="000B3B82" w:rsidP="000B3B82">
      <w:pPr>
        <w:pStyle w:val="Odstavecseseznamem"/>
        <w:numPr>
          <w:ilvl w:val="0"/>
          <w:numId w:val="40"/>
        </w:num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667E35">
        <w:rPr>
          <w:rFonts w:ascii="Tahoma" w:eastAsia="Calibri" w:hAnsi="Tahoma" w:cs="Tahoma"/>
          <w:sz w:val="20"/>
          <w:szCs w:val="20"/>
        </w:rPr>
        <w:t>Dosud nebylo zpracováno předběžné posouzení finančních nástrojů dle čl. 37 Obecného nařízení. Tato skutečnost může mít vliv na provádění hodnocení zejm</w:t>
      </w:r>
      <w:r w:rsidRPr="00DA5BDB">
        <w:rPr>
          <w:rFonts w:ascii="Tahoma" w:eastAsia="Calibri" w:hAnsi="Tahoma" w:cs="Tahoma"/>
          <w:sz w:val="20"/>
          <w:szCs w:val="20"/>
        </w:rPr>
        <w:t>éna v evaluačních okruzích: „Konzistence finančních alokací“ a „Indikátory, monitoring, evaluace“.</w:t>
      </w:r>
    </w:p>
    <w:p w:rsidR="000B3B82" w:rsidRPr="008B4736" w:rsidRDefault="000B3B82" w:rsidP="000B3B82">
      <w:pPr>
        <w:pStyle w:val="Odstavecseseznamem"/>
        <w:numPr>
          <w:ilvl w:val="0"/>
          <w:numId w:val="40"/>
        </w:num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DA5BDB">
        <w:rPr>
          <w:rFonts w:ascii="Tahoma" w:eastAsia="Calibri" w:hAnsi="Tahoma" w:cs="Tahoma"/>
          <w:sz w:val="20"/>
          <w:szCs w:val="20"/>
        </w:rPr>
        <w:t>Vzhledem k tomu, že popis</w:t>
      </w:r>
      <w:r>
        <w:rPr>
          <w:rFonts w:ascii="Tahoma" w:eastAsia="Calibri" w:hAnsi="Tahoma" w:cs="Tahoma"/>
          <w:sz w:val="20"/>
          <w:szCs w:val="20"/>
        </w:rPr>
        <w:t>y</w:t>
      </w:r>
      <w:r w:rsidRPr="00DA5BDB">
        <w:rPr>
          <w:rFonts w:ascii="Tahoma" w:eastAsia="Calibri" w:hAnsi="Tahoma" w:cs="Tahoma"/>
          <w:sz w:val="20"/>
          <w:szCs w:val="20"/>
        </w:rPr>
        <w:t xml:space="preserve"> postupů monitorování programu a shromažďování dat nezbytných k provádění evaluací k posouzení účinnosti, účelnosti a dopadu operačního programu a také návrhy lidských zdrojů a administrativní kapacity pro řízení programu ne</w:t>
      </w:r>
      <w:r>
        <w:rPr>
          <w:rFonts w:ascii="Tahoma" w:eastAsia="Calibri" w:hAnsi="Tahoma" w:cs="Tahoma"/>
          <w:sz w:val="20"/>
          <w:szCs w:val="20"/>
        </w:rPr>
        <w:t xml:space="preserve">jsou </w:t>
      </w:r>
      <w:r w:rsidRPr="00DA5BDB">
        <w:rPr>
          <w:rFonts w:ascii="Tahoma" w:eastAsia="Calibri" w:hAnsi="Tahoma" w:cs="Tahoma"/>
          <w:sz w:val="20"/>
          <w:szCs w:val="20"/>
        </w:rPr>
        <w:t xml:space="preserve">součástí struktury operačního programu dle „Vzoru pro operační programy v rámci cíle Investice pro růst a zaměstnanost“, který tvoří přílohu prováděcího nařízení Komise (EU) č. 288/2014 ze dne 25. února 2014, není možné </w:t>
      </w:r>
      <w:r>
        <w:rPr>
          <w:rFonts w:ascii="Tahoma" w:eastAsia="Calibri" w:hAnsi="Tahoma" w:cs="Tahoma"/>
          <w:sz w:val="20"/>
          <w:szCs w:val="20"/>
        </w:rPr>
        <w:t xml:space="preserve">plně </w:t>
      </w:r>
      <w:r w:rsidRPr="00DA5BDB">
        <w:rPr>
          <w:rFonts w:ascii="Tahoma" w:eastAsia="Calibri" w:hAnsi="Tahoma" w:cs="Tahoma"/>
          <w:sz w:val="20"/>
          <w:szCs w:val="20"/>
        </w:rPr>
        <w:t xml:space="preserve">zodpovědět </w:t>
      </w:r>
      <w:r>
        <w:rPr>
          <w:rFonts w:ascii="Tahoma" w:eastAsia="Calibri" w:hAnsi="Tahoma" w:cs="Tahoma"/>
          <w:sz w:val="20"/>
          <w:szCs w:val="20"/>
        </w:rPr>
        <w:t>ani některé</w:t>
      </w:r>
      <w:r w:rsidRPr="00DA5BDB">
        <w:rPr>
          <w:rFonts w:ascii="Tahoma" w:eastAsia="Calibri" w:hAnsi="Tahoma" w:cs="Tahoma"/>
          <w:sz w:val="20"/>
          <w:szCs w:val="20"/>
        </w:rPr>
        <w:t xml:space="preserve"> evaluační otázky v rámci evaluačního okruhu „Indikátory, monitoring, evaluace“.</w:t>
      </w:r>
      <w:r w:rsidRPr="008B4736">
        <w:rPr>
          <w:rFonts w:ascii="Tahoma" w:eastAsia="Calibri" w:hAnsi="Tahoma" w:cs="Tahoma"/>
          <w:sz w:val="20"/>
          <w:szCs w:val="20"/>
        </w:rPr>
        <w:t xml:space="preserve"> </w:t>
      </w:r>
    </w:p>
    <w:p w:rsidR="00151046" w:rsidRPr="000B3B82" w:rsidRDefault="00151046" w:rsidP="000B3B82">
      <w:pPr>
        <w:spacing w:after="120"/>
        <w:ind w:left="360"/>
        <w:rPr>
          <w:rFonts w:eastAsia="Calibri" w:cs="Tahoma"/>
          <w:szCs w:val="20"/>
        </w:rPr>
      </w:pPr>
      <w:r w:rsidRPr="000B3B82">
        <w:rPr>
          <w:rFonts w:eastAsia="Calibri" w:cs="Tahoma"/>
          <w:szCs w:val="20"/>
        </w:rPr>
        <w:t xml:space="preserve"> </w:t>
      </w:r>
    </w:p>
    <w:p w:rsidR="005C0945" w:rsidRPr="00764FC3" w:rsidRDefault="005C0945" w:rsidP="00151046">
      <w:pPr>
        <w:pStyle w:val="Odstavecseseznamem"/>
        <w:spacing w:after="120"/>
        <w:jc w:val="both"/>
        <w:rPr>
          <w:rFonts w:ascii="Tahoma" w:hAnsi="Tahoma" w:cs="Tahoma"/>
          <w:sz w:val="20"/>
          <w:szCs w:val="20"/>
        </w:rPr>
      </w:pPr>
    </w:p>
    <w:p w:rsidR="004866E8" w:rsidRPr="004866E8" w:rsidRDefault="004866E8" w:rsidP="004866E8">
      <w:pPr>
        <w:spacing w:after="120"/>
        <w:rPr>
          <w:rFonts w:eastAsia="Calibri" w:cs="Times New Roman"/>
        </w:rPr>
      </w:pPr>
    </w:p>
    <w:p w:rsidR="00BC0C94" w:rsidRPr="004866E8" w:rsidRDefault="00BC0C94" w:rsidP="004C617B">
      <w:pPr>
        <w:spacing w:after="120"/>
      </w:pPr>
    </w:p>
    <w:p w:rsidR="00FD69E6" w:rsidRDefault="00FD69E6" w:rsidP="009C5AC9">
      <w:pPr>
        <w:pStyle w:val="Nadpis1"/>
      </w:pPr>
      <w:bookmarkStart w:id="11" w:name="_Toc392589608"/>
      <w:r>
        <w:lastRenderedPageBreak/>
        <w:t>Celkové posouzení programu</w:t>
      </w:r>
      <w:r w:rsidR="002720A6">
        <w:t>, hlavní závěry a zjištění</w:t>
      </w:r>
      <w:bookmarkEnd w:id="11"/>
    </w:p>
    <w:p w:rsidR="000B3B82" w:rsidRPr="002914C3" w:rsidRDefault="000B3B82" w:rsidP="000B3B82">
      <w:pPr>
        <w:spacing w:after="120"/>
      </w:pPr>
      <w:r w:rsidRPr="002914C3">
        <w:t xml:space="preserve">Předmětem hodnocení </w:t>
      </w:r>
      <w:r>
        <w:t>byla</w:t>
      </w:r>
      <w:r w:rsidRPr="002914C3">
        <w:t xml:space="preserve"> pracovní verze OP PIK z </w:t>
      </w:r>
      <w:r>
        <w:t>11</w:t>
      </w:r>
      <w:r w:rsidRPr="002914C3">
        <w:t xml:space="preserve">. </w:t>
      </w:r>
      <w:r>
        <w:t xml:space="preserve">června </w:t>
      </w:r>
      <w:r w:rsidRPr="002914C3">
        <w:t xml:space="preserve">2014 (verze </w:t>
      </w:r>
      <w:r>
        <w:t>7-2</w:t>
      </w:r>
      <w:r w:rsidRPr="002914C3">
        <w:t xml:space="preserve">). </w:t>
      </w:r>
    </w:p>
    <w:p w:rsidR="000B3B82" w:rsidRPr="00DA43AB" w:rsidRDefault="000B3B82" w:rsidP="000B3B82">
      <w:pPr>
        <w:spacing w:after="120"/>
        <w:rPr>
          <w:rFonts w:cs="Tahoma"/>
          <w:szCs w:val="20"/>
        </w:rPr>
      </w:pPr>
      <w:r>
        <w:rPr>
          <w:rFonts w:cs="Tahoma"/>
          <w:szCs w:val="20"/>
        </w:rPr>
        <w:t xml:space="preserve">Tato </w:t>
      </w:r>
      <w:r w:rsidRPr="00DA43AB">
        <w:rPr>
          <w:rFonts w:cs="Tahoma"/>
          <w:szCs w:val="20"/>
        </w:rPr>
        <w:t>verze</w:t>
      </w:r>
      <w:r>
        <w:rPr>
          <w:rFonts w:cs="Tahoma"/>
          <w:szCs w:val="20"/>
        </w:rPr>
        <w:t xml:space="preserve"> operačního programu </w:t>
      </w:r>
      <w:r w:rsidRPr="00DA43AB">
        <w:rPr>
          <w:rFonts w:cs="Tahoma"/>
          <w:szCs w:val="20"/>
        </w:rPr>
        <w:t xml:space="preserve">byla zpracována v rozsahu </w:t>
      </w:r>
      <w:r>
        <w:rPr>
          <w:rFonts w:cs="Tahoma"/>
          <w:szCs w:val="20"/>
        </w:rPr>
        <w:t>300</w:t>
      </w:r>
      <w:r w:rsidRPr="00DA43AB">
        <w:rPr>
          <w:rFonts w:cs="Tahoma"/>
          <w:szCs w:val="20"/>
        </w:rPr>
        <w:t xml:space="preserve"> stran textu a obsahuje:</w:t>
      </w:r>
    </w:p>
    <w:p w:rsidR="000B3B82" w:rsidRPr="00162307" w:rsidRDefault="000B3B82" w:rsidP="000B3B82">
      <w:pPr>
        <w:pStyle w:val="Odstavecseseznamem"/>
        <w:numPr>
          <w:ilvl w:val="0"/>
          <w:numId w:val="7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162307">
        <w:rPr>
          <w:rFonts w:ascii="Tahoma" w:hAnsi="Tahoma" w:cs="Tahoma"/>
          <w:sz w:val="20"/>
          <w:szCs w:val="20"/>
        </w:rPr>
        <w:t xml:space="preserve">vlastní text programu vypracovaný ve struktuře </w:t>
      </w:r>
      <w:r w:rsidRPr="00A847C7">
        <w:rPr>
          <w:rFonts w:ascii="Tahoma" w:hAnsi="Tahoma" w:cs="Tahoma"/>
          <w:sz w:val="20"/>
          <w:szCs w:val="20"/>
        </w:rPr>
        <w:t>v souladu s přílohou „Vzor pro operační programy v rámci cíle Investice pro růst a zaměstnanost“ prováděcího nařízení Komise (EU) č. 288/2014 ze dne 25. února 2014</w:t>
      </w:r>
      <w:r w:rsidRPr="00162307">
        <w:rPr>
          <w:rFonts w:ascii="Tahoma" w:hAnsi="Tahoma" w:cs="Tahoma"/>
          <w:sz w:val="20"/>
          <w:szCs w:val="20"/>
        </w:rPr>
        <w:t>,</w:t>
      </w:r>
    </w:p>
    <w:p w:rsidR="000B3B82" w:rsidRPr="00162307" w:rsidRDefault="000B3B82" w:rsidP="000B3B82">
      <w:pPr>
        <w:pStyle w:val="Odstavecseseznamem"/>
        <w:numPr>
          <w:ilvl w:val="0"/>
          <w:numId w:val="7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 w:rsidRPr="00162307">
        <w:rPr>
          <w:rFonts w:ascii="Tahoma" w:hAnsi="Tahoma" w:cs="Tahoma"/>
          <w:sz w:val="20"/>
          <w:szCs w:val="20"/>
        </w:rPr>
        <w:t xml:space="preserve"> příloh: </w:t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Příloha č. I: Návrh zprávy o hodnocení ex ante a shrnut</w:t>
      </w:r>
      <w:r>
        <w:rPr>
          <w:rFonts w:cs="Tahoma"/>
          <w:szCs w:val="20"/>
        </w:rPr>
        <w:t>í (zatím nedoplněná)</w:t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Příloha č. II: Dokumentace o posouzení použitelnosti a plnění předběžných podmínek</w:t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Nepovinná příloha č. 1: Zhodnocení zkušeností z programovacího období 2007-2013</w:t>
      </w:r>
      <w:r>
        <w:rPr>
          <w:rFonts w:cs="Tahoma"/>
          <w:szCs w:val="20"/>
        </w:rPr>
        <w:t xml:space="preserve"> (zatím nedoplněná)</w:t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Nepovinná příloha č. 2: Analýza potřeb ČR ve vybraných problémových oblastech Dohody o partnerství</w:t>
      </w:r>
      <w:r w:rsidRPr="00825A7F">
        <w:rPr>
          <w:rFonts w:cs="Tahoma"/>
          <w:webHidden/>
          <w:szCs w:val="20"/>
        </w:rPr>
        <w:tab/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Nepovinná příloha č. 3: Základní principy monitorování a vyhodnocování OP PIK</w:t>
      </w:r>
    </w:p>
    <w:p w:rsidR="000B3B82" w:rsidRPr="00825A7F" w:rsidRDefault="000B3B82" w:rsidP="000B3B82">
      <w:pPr>
        <w:spacing w:after="120"/>
        <w:ind w:left="1416"/>
        <w:rPr>
          <w:rFonts w:cs="Tahoma"/>
          <w:szCs w:val="20"/>
        </w:rPr>
      </w:pPr>
      <w:r w:rsidRPr="00825A7F">
        <w:rPr>
          <w:rFonts w:cs="Tahoma"/>
          <w:szCs w:val="20"/>
        </w:rPr>
        <w:t>Nepovinná příloha č. 4: Synergie a komplementarity</w:t>
      </w:r>
      <w:r w:rsidRPr="00825A7F">
        <w:rPr>
          <w:rFonts w:cs="Tahoma"/>
          <w:webHidden/>
          <w:szCs w:val="20"/>
        </w:rPr>
        <w:tab/>
      </w:r>
    </w:p>
    <w:p w:rsidR="000B3B82" w:rsidRPr="0014709B" w:rsidRDefault="000B3B82" w:rsidP="000B3B82">
      <w:pPr>
        <w:spacing w:after="120"/>
        <w:rPr>
          <w:rFonts w:cs="Tahoma"/>
          <w:szCs w:val="20"/>
        </w:rPr>
      </w:pPr>
      <w:r w:rsidRPr="0014709B">
        <w:rPr>
          <w:rFonts w:cs="Tahoma"/>
          <w:szCs w:val="20"/>
        </w:rPr>
        <w:t xml:space="preserve">Oproti předchozí </w:t>
      </w:r>
      <w:r>
        <w:rPr>
          <w:rFonts w:cs="Tahoma"/>
          <w:szCs w:val="20"/>
        </w:rPr>
        <w:t>hodnocené verzi</w:t>
      </w:r>
      <w:r w:rsidRPr="0014709B">
        <w:rPr>
          <w:rFonts w:cs="Tahoma"/>
          <w:szCs w:val="20"/>
        </w:rPr>
        <w:t xml:space="preserve"> OP PIK</w:t>
      </w:r>
      <w:r>
        <w:rPr>
          <w:rFonts w:cs="Tahoma"/>
          <w:szCs w:val="20"/>
        </w:rPr>
        <w:t xml:space="preserve"> (</w:t>
      </w:r>
      <w:proofErr w:type="spellStart"/>
      <w:r>
        <w:rPr>
          <w:rFonts w:cs="Tahoma"/>
          <w:szCs w:val="20"/>
        </w:rPr>
        <w:t>ver</w:t>
      </w:r>
      <w:proofErr w:type="spellEnd"/>
      <w:r>
        <w:rPr>
          <w:rFonts w:cs="Tahoma"/>
          <w:szCs w:val="20"/>
        </w:rPr>
        <w:t>. 5-3)</w:t>
      </w:r>
      <w:r w:rsidRPr="0014709B">
        <w:rPr>
          <w:rFonts w:cs="Tahoma"/>
          <w:szCs w:val="20"/>
        </w:rPr>
        <w:t xml:space="preserve"> doznal text některých vý</w:t>
      </w:r>
      <w:r>
        <w:rPr>
          <w:rFonts w:cs="Tahoma"/>
          <w:szCs w:val="20"/>
        </w:rPr>
        <w:t>znamných</w:t>
      </w:r>
      <w:r w:rsidRPr="0014709B">
        <w:rPr>
          <w:rFonts w:cs="Tahoma"/>
          <w:szCs w:val="20"/>
        </w:rPr>
        <w:t xml:space="preserve"> změn, zejména: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byla vynechána nepovinná příloha</w:t>
      </w:r>
      <w:r w:rsidRPr="00825A7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 w:rsidRPr="00825A7F">
        <w:rPr>
          <w:rFonts w:ascii="Tahoma" w:hAnsi="Tahoma" w:cs="Tahoma"/>
          <w:sz w:val="20"/>
          <w:szCs w:val="20"/>
        </w:rPr>
        <w:t>Úřady a orgány odpovědné za řízení, kontrolu a audit</w:t>
      </w:r>
      <w:r>
        <w:rPr>
          <w:rFonts w:ascii="Tahoma" w:hAnsi="Tahoma" w:cs="Tahoma"/>
          <w:sz w:val="20"/>
          <w:szCs w:val="20"/>
        </w:rPr>
        <w:t xml:space="preserve">“, naopak nově byly zařazeny nepovinné přílohy věnující se zhodnocení zkušeností z programovacího období 2007-2013, analýze potřeb a základním principům monitorování a vyhodnocování programu;   </w:t>
      </w:r>
    </w:p>
    <w:p w:rsidR="000B3B82" w:rsidRPr="0014709B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14709B">
        <w:rPr>
          <w:rFonts w:ascii="Tahoma" w:hAnsi="Tahoma" w:cs="Tahoma"/>
          <w:sz w:val="20"/>
          <w:szCs w:val="20"/>
        </w:rPr>
        <w:t>byla</w:t>
      </w:r>
      <w:r>
        <w:rPr>
          <w:rFonts w:ascii="Tahoma" w:hAnsi="Tahoma" w:cs="Tahoma"/>
          <w:sz w:val="20"/>
          <w:szCs w:val="20"/>
        </w:rPr>
        <w:t xml:space="preserve"> aktualizována a</w:t>
      </w:r>
      <w:r w:rsidRPr="0014709B">
        <w:rPr>
          <w:rFonts w:ascii="Tahoma" w:hAnsi="Tahoma" w:cs="Tahoma"/>
          <w:sz w:val="20"/>
          <w:szCs w:val="20"/>
        </w:rPr>
        <w:t xml:space="preserve"> rozšířena kapitola 1.1</w:t>
      </w:r>
      <w:r>
        <w:rPr>
          <w:rFonts w:ascii="Tahoma" w:hAnsi="Tahoma" w:cs="Tahoma"/>
          <w:sz w:val="20"/>
          <w:szCs w:val="20"/>
        </w:rPr>
        <w:t>.1</w:t>
      </w:r>
      <w:r w:rsidRPr="0014709B">
        <w:rPr>
          <w:rFonts w:ascii="Tahoma" w:hAnsi="Tahoma" w:cs="Tahoma"/>
          <w:sz w:val="20"/>
          <w:szCs w:val="20"/>
        </w:rPr>
        <w:t>, především v části týkající se vazby programu na klíčové strategické dokumenty;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14709B">
        <w:rPr>
          <w:rFonts w:ascii="Tahoma" w:hAnsi="Tahoma" w:cs="Tahoma"/>
          <w:sz w:val="20"/>
          <w:szCs w:val="20"/>
        </w:rPr>
        <w:t xml:space="preserve">byl </w:t>
      </w:r>
      <w:r>
        <w:rPr>
          <w:rFonts w:ascii="Tahoma" w:hAnsi="Tahoma" w:cs="Tahoma"/>
          <w:sz w:val="20"/>
          <w:szCs w:val="20"/>
        </w:rPr>
        <w:t>aktualizován</w:t>
      </w:r>
      <w:r w:rsidRPr="0014709B">
        <w:rPr>
          <w:rFonts w:ascii="Tahoma" w:hAnsi="Tahoma" w:cs="Tahoma"/>
          <w:sz w:val="20"/>
          <w:szCs w:val="20"/>
        </w:rPr>
        <w:t xml:space="preserve"> popis odůvodnění výběru tematických cílů a investičních priorit OP PIK (Tabulka 1</w:t>
      </w:r>
      <w:r>
        <w:rPr>
          <w:rFonts w:ascii="Tahoma" w:hAnsi="Tahoma" w:cs="Tahoma"/>
          <w:sz w:val="20"/>
          <w:szCs w:val="20"/>
        </w:rPr>
        <w:t xml:space="preserve"> v textu OP</w:t>
      </w:r>
      <w:r w:rsidRPr="0014709B">
        <w:rPr>
          <w:rFonts w:ascii="Tahoma" w:hAnsi="Tahoma" w:cs="Tahoma"/>
          <w:sz w:val="20"/>
          <w:szCs w:val="20"/>
        </w:rPr>
        <w:t>);</w:t>
      </w:r>
    </w:p>
    <w:p w:rsidR="000B3B82" w:rsidRPr="0014709B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došlo</w:t>
      </w:r>
      <w:proofErr w:type="gramEnd"/>
      <w:r>
        <w:rPr>
          <w:rFonts w:ascii="Tahoma" w:hAnsi="Tahoma" w:cs="Tahoma"/>
          <w:sz w:val="20"/>
          <w:szCs w:val="20"/>
        </w:rPr>
        <w:t xml:space="preserve"> k úpravě finančních alokací pro OP PIK rozdělení mezi prioritní osy a investiční priority;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9B34EB">
        <w:rPr>
          <w:rFonts w:ascii="Tahoma" w:hAnsi="Tahoma" w:cs="Tahoma"/>
          <w:sz w:val="20"/>
          <w:szCs w:val="20"/>
        </w:rPr>
        <w:t>byla provedena zásadní revize indikátorové soustavy OP PIK, zejména na úrovni ukazatelů výsledků a v návaznosti na to byly rovněž nově stanoveny výchozí a cílové hodnoty ukazatelů</w:t>
      </w:r>
      <w:r>
        <w:rPr>
          <w:rFonts w:ascii="Tahoma" w:hAnsi="Tahoma" w:cs="Tahoma"/>
          <w:sz w:val="20"/>
          <w:szCs w:val="20"/>
        </w:rPr>
        <w:t xml:space="preserve"> vč. ukazatelů pro výkonnostní rámec</w:t>
      </w:r>
      <w:r w:rsidRPr="009B34EB">
        <w:rPr>
          <w:rFonts w:ascii="Tahoma" w:hAnsi="Tahoma" w:cs="Tahoma"/>
          <w:sz w:val="20"/>
          <w:szCs w:val="20"/>
        </w:rPr>
        <w:t>;</w:t>
      </w:r>
    </w:p>
    <w:p w:rsidR="000B3B82" w:rsidRPr="009B34EB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9B34EB">
        <w:rPr>
          <w:rFonts w:ascii="Tahoma" w:hAnsi="Tahoma" w:cs="Tahoma"/>
          <w:sz w:val="20"/>
          <w:szCs w:val="20"/>
        </w:rPr>
        <w:t>byly upřesněny/doplněny popisy výsledků, kterých chce ČR dosáhnout s podporou Unie v rámci jednotlivých specifických cílů (SC);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853F6F">
        <w:rPr>
          <w:rFonts w:ascii="Tahoma" w:hAnsi="Tahoma" w:cs="Tahoma"/>
          <w:sz w:val="20"/>
          <w:szCs w:val="20"/>
        </w:rPr>
        <w:t>byly upřesněny/doplněny popisy indikativního výčtu podporovaných aktivit v rámci jednotlivých SC;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 relevantních SC byly doplněny popisy vazeb na RIS3;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 jednotlivých SC byly upraveny/zpřesněny popisy cílových skupin, cílových území a typů příjemců a také hlavní zásady pro výběr operací;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byly doplněny tabulky „Kategorie zásahů“;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A004CE">
        <w:rPr>
          <w:rFonts w:ascii="Tahoma" w:hAnsi="Tahoma" w:cs="Tahoma"/>
          <w:sz w:val="20"/>
          <w:szCs w:val="20"/>
        </w:rPr>
        <w:t>byly zpřesněny popisy plánovaného využití finančních nástrojů;</w:t>
      </w:r>
    </w:p>
    <w:p w:rsidR="000B3B82" w:rsidRPr="00A004CE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byl rozšířen oddíl věnovaný integrovanému přístupu k územnímu rozvoji;</w:t>
      </w:r>
    </w:p>
    <w:p w:rsidR="000B3B82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697F57">
        <w:rPr>
          <w:rFonts w:ascii="Tahoma" w:hAnsi="Tahoma" w:cs="Tahoma"/>
          <w:sz w:val="20"/>
          <w:szCs w:val="20"/>
        </w:rPr>
        <w:t>byly doplněny a rozšířeny popisy koordinace mezi fondy a dalšími unijními a vnitrostátními finančními nástroji;</w:t>
      </w:r>
    </w:p>
    <w:p w:rsidR="000B3B82" w:rsidRPr="00697F57" w:rsidRDefault="000B3B82" w:rsidP="000B3B82">
      <w:pPr>
        <w:pStyle w:val="Odstavecseseznamem"/>
        <w:numPr>
          <w:ilvl w:val="0"/>
          <w:numId w:val="41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byl aktualizován oddíl věnovaný předběžným podmínkám.</w:t>
      </w:r>
    </w:p>
    <w:p w:rsidR="00DB3D83" w:rsidRDefault="00DB3D83" w:rsidP="00DB3D83">
      <w:pPr>
        <w:pStyle w:val="Nadpis2"/>
      </w:pPr>
      <w:bookmarkStart w:id="12" w:name="_Toc392589609"/>
      <w:r>
        <w:t>Hlavní závěry a zjištění</w:t>
      </w:r>
      <w:bookmarkEnd w:id="12"/>
    </w:p>
    <w:p w:rsidR="000B3B82" w:rsidRDefault="000B3B82" w:rsidP="000B3B82">
      <w:pPr>
        <w:spacing w:after="120"/>
      </w:pPr>
      <w:r w:rsidRPr="00004641">
        <w:t xml:space="preserve">Cílem projektu </w:t>
      </w:r>
      <w:r>
        <w:t xml:space="preserve">ex-ante hodnocení Operačního programu Podnikání a inovace pro konkurenceschopnost </w:t>
      </w:r>
      <w:r w:rsidRPr="00004641">
        <w:t>20</w:t>
      </w:r>
      <w:r>
        <w:t xml:space="preserve">14 – 2020 je především </w:t>
      </w:r>
      <w:r w:rsidRPr="00004641">
        <w:t>optimalizovat alokace finančních prostředků</w:t>
      </w:r>
      <w:r>
        <w:t xml:space="preserve"> programů</w:t>
      </w:r>
      <w:r w:rsidRPr="00004641">
        <w:t>, zvýšit kvalitu programování a posoudit jeho účinnost a efekty.</w:t>
      </w:r>
    </w:p>
    <w:p w:rsidR="000B3B82" w:rsidRPr="00004641" w:rsidRDefault="000B3B82" w:rsidP="000B3B82">
      <w:pPr>
        <w:spacing w:after="120"/>
      </w:pPr>
      <w:r>
        <w:lastRenderedPageBreak/>
        <w:t xml:space="preserve">Hodnotitel </w:t>
      </w:r>
      <w:r w:rsidRPr="00004641">
        <w:t xml:space="preserve">průběžně </w:t>
      </w:r>
      <w:r>
        <w:t xml:space="preserve">posuzoval </w:t>
      </w:r>
      <w:r w:rsidRPr="00004641">
        <w:t>výstupy prací řídícího orgánu na operačním programu</w:t>
      </w:r>
      <w:r>
        <w:t xml:space="preserve"> a v</w:t>
      </w:r>
      <w:r w:rsidRPr="00004641">
        <w:t>ytvář</w:t>
      </w:r>
      <w:r>
        <w:t xml:space="preserve">el a formou průběžných zpráv a závěrečné zprávy </w:t>
      </w:r>
      <w:r w:rsidRPr="00004641">
        <w:t>prezent</w:t>
      </w:r>
      <w:r>
        <w:t xml:space="preserve">oval </w:t>
      </w:r>
      <w:r w:rsidRPr="00004641">
        <w:t xml:space="preserve">doporučení na jejich úpravy, doplnění a změny. </w:t>
      </w:r>
    </w:p>
    <w:p w:rsidR="000B3B82" w:rsidRDefault="000B3B82" w:rsidP="000B3B82">
      <w:pPr>
        <w:spacing w:after="120"/>
      </w:pPr>
      <w:r w:rsidRPr="00004641">
        <w:t xml:space="preserve">V rámci předběžného hodnocení </w:t>
      </w:r>
      <w:r>
        <w:t>byl</w:t>
      </w:r>
      <w:r w:rsidRPr="00004641">
        <w:t xml:space="preserve"> </w:t>
      </w:r>
      <w:r>
        <w:t>hodnotitelem pos</w:t>
      </w:r>
      <w:r w:rsidRPr="00004641">
        <w:t>uz</w:t>
      </w:r>
      <w:r>
        <w:t>ován zejména:</w:t>
      </w:r>
    </w:p>
    <w:p w:rsidR="000B3B82" w:rsidRPr="00DB3D83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DB3D83">
        <w:rPr>
          <w:rFonts w:ascii="Tahoma" w:hAnsi="Tahoma" w:cs="Tahoma"/>
          <w:sz w:val="20"/>
          <w:szCs w:val="20"/>
        </w:rPr>
        <w:t>systém přidělování a využití rozpočtových zdrojů programu za účelem optimálního nastavení programu a posouzení kvality programování,</w:t>
      </w:r>
    </w:p>
    <w:p w:rsidR="000B3B82" w:rsidRPr="00DB3D83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DB3D83">
        <w:rPr>
          <w:rFonts w:ascii="Tahoma" w:hAnsi="Tahoma" w:cs="Tahoma"/>
          <w:sz w:val="20"/>
          <w:szCs w:val="20"/>
        </w:rPr>
        <w:t xml:space="preserve">navržená strategie včetně zohlednění priorit Evropské unie, </w:t>
      </w:r>
    </w:p>
    <w:p w:rsidR="000B3B82" w:rsidRPr="00DB3D83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DB3D83">
        <w:rPr>
          <w:rFonts w:ascii="Tahoma" w:hAnsi="Tahoma" w:cs="Tahoma"/>
          <w:sz w:val="20"/>
          <w:szCs w:val="20"/>
        </w:rPr>
        <w:t>kvalita navržených postupů pro implementaci, monitorování, hodnocení a řízení programu,</w:t>
      </w:r>
    </w:p>
    <w:p w:rsidR="000B3B82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294380">
        <w:rPr>
          <w:rFonts w:ascii="Tahoma" w:hAnsi="Tahoma" w:cs="Tahoma"/>
          <w:sz w:val="20"/>
          <w:szCs w:val="20"/>
        </w:rPr>
        <w:t>synergické efekty jednotlivých opatření v rámci daného operačního programu a synergické efekty s dalšími programy pro programovací období 2014 – 2020 a případné překryvy mezi těmito programy</w:t>
      </w:r>
      <w:r>
        <w:rPr>
          <w:rFonts w:ascii="Tahoma" w:hAnsi="Tahoma" w:cs="Tahoma"/>
          <w:sz w:val="20"/>
          <w:szCs w:val="20"/>
        </w:rPr>
        <w:t>,</w:t>
      </w:r>
      <w:r w:rsidRPr="00294380">
        <w:rPr>
          <w:rFonts w:ascii="Tahoma" w:hAnsi="Tahoma" w:cs="Tahoma"/>
          <w:sz w:val="20"/>
          <w:szCs w:val="20"/>
        </w:rPr>
        <w:t xml:space="preserve"> </w:t>
      </w:r>
    </w:p>
    <w:p w:rsidR="000B3B82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294380">
        <w:rPr>
          <w:rFonts w:ascii="Tahoma" w:hAnsi="Tahoma" w:cs="Tahoma"/>
          <w:sz w:val="20"/>
          <w:szCs w:val="20"/>
        </w:rPr>
        <w:t>návrh indikátorové soustavy</w:t>
      </w:r>
      <w:r>
        <w:rPr>
          <w:rFonts w:ascii="Tahoma" w:hAnsi="Tahoma" w:cs="Tahoma"/>
          <w:sz w:val="20"/>
          <w:szCs w:val="20"/>
        </w:rPr>
        <w:t xml:space="preserve"> a také</w:t>
      </w:r>
    </w:p>
    <w:p w:rsidR="000B3B82" w:rsidRPr="00294380" w:rsidRDefault="000B3B82" w:rsidP="000B3B82">
      <w:pPr>
        <w:pStyle w:val="Odstavecseseznamem"/>
        <w:numPr>
          <w:ilvl w:val="0"/>
          <w:numId w:val="33"/>
        </w:numPr>
        <w:spacing w:after="120"/>
        <w:rPr>
          <w:rFonts w:ascii="Tahoma" w:hAnsi="Tahoma" w:cs="Tahoma"/>
          <w:sz w:val="20"/>
          <w:szCs w:val="20"/>
        </w:rPr>
      </w:pPr>
      <w:r w:rsidRPr="00294380">
        <w:rPr>
          <w:rFonts w:ascii="Tahoma" w:hAnsi="Tahoma" w:cs="Tahoma"/>
          <w:sz w:val="20"/>
          <w:szCs w:val="20"/>
        </w:rPr>
        <w:t>návrh</w:t>
      </w:r>
      <w:r>
        <w:rPr>
          <w:rFonts w:ascii="Tahoma" w:hAnsi="Tahoma" w:cs="Tahoma"/>
          <w:sz w:val="20"/>
          <w:szCs w:val="20"/>
        </w:rPr>
        <w:t>y</w:t>
      </w:r>
      <w:r w:rsidRPr="00294380">
        <w:rPr>
          <w:rFonts w:ascii="Tahoma" w:hAnsi="Tahoma" w:cs="Tahoma"/>
          <w:sz w:val="20"/>
          <w:szCs w:val="20"/>
        </w:rPr>
        <w:t xml:space="preserve"> očekávaných výsledků a milníků včetně jejich věcného nastavení a hodnot.</w:t>
      </w:r>
    </w:p>
    <w:p w:rsidR="000B3B82" w:rsidRDefault="000B3B82" w:rsidP="000B3B82">
      <w:pPr>
        <w:spacing w:after="120"/>
      </w:pPr>
    </w:p>
    <w:p w:rsidR="000B3B82" w:rsidRDefault="000B3B82" w:rsidP="000B3B82">
      <w:pPr>
        <w:spacing w:after="120"/>
      </w:pPr>
      <w:r w:rsidRPr="00004641">
        <w:t xml:space="preserve">Na základě </w:t>
      </w:r>
      <w:r>
        <w:t>provedeného rozboru textu</w:t>
      </w:r>
      <w:r w:rsidRPr="00056A5F">
        <w:t xml:space="preserve"> </w:t>
      </w:r>
      <w:r>
        <w:t>předmětné pracovní</w:t>
      </w:r>
      <w:r w:rsidRPr="00056A5F">
        <w:t xml:space="preserve"> verze OP PIK</w:t>
      </w:r>
      <w:r>
        <w:t xml:space="preserve"> (</w:t>
      </w:r>
      <w:proofErr w:type="spellStart"/>
      <w:r>
        <w:t>ver</w:t>
      </w:r>
      <w:proofErr w:type="spellEnd"/>
      <w:r>
        <w:t>. 7-2)</w:t>
      </w:r>
      <w:r w:rsidRPr="00056A5F">
        <w:t xml:space="preserve"> a s ohledem na evaluační okruhy dospěl hodnotitel k </w:t>
      </w:r>
      <w:r w:rsidRPr="00056A5F">
        <w:rPr>
          <w:b/>
        </w:rPr>
        <w:t>následujícím zjištěním a závěrům</w:t>
      </w:r>
      <w:r w:rsidRPr="00056A5F">
        <w:t xml:space="preserve"> ve vazbě na hlavní prvky předběžného hodnocení programu dle čl. 55 Obecného nařízení</w:t>
      </w:r>
      <w:r w:rsidRPr="00694648">
        <w:t>:</w:t>
      </w:r>
    </w:p>
    <w:tbl>
      <w:tblPr>
        <w:tblStyle w:val="Mkatabulky"/>
        <w:tblW w:w="0" w:type="auto"/>
        <w:tblLook w:val="04A0"/>
      </w:tblPr>
      <w:tblGrid>
        <w:gridCol w:w="9210"/>
      </w:tblGrid>
      <w:tr w:rsidR="000B3B82" w:rsidTr="002D380B">
        <w:tc>
          <w:tcPr>
            <w:tcW w:w="9210" w:type="dxa"/>
          </w:tcPr>
          <w:p w:rsidR="000B3B82" w:rsidRPr="00CC69F2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CC69F2">
              <w:rPr>
                <w:rFonts w:eastAsia="Calibri" w:cs="Times New Roman"/>
                <w:i/>
              </w:rPr>
              <w:t>Příspěvek programu ke strategii Evropské unie pro inteligentní a udržitelný růst podporující začlenění s ohledem na zvolené tematické cíle a priority a při zohlednění vnitrostátních a regionálních potřeb a potenciálu rozvoje a s přihlédnutím ke zkušenostem s implementací předchozích programovacích období</w:t>
            </w:r>
          </w:p>
          <w:p w:rsidR="000B3B82" w:rsidRPr="00CC69F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CC69F2">
              <w:rPr>
                <w:rFonts w:eastAsia="Calibri" w:cs="Times New Roman"/>
              </w:rPr>
              <w:t>Hodnotitel konstatuje, že strategie OP PIK je pojata tak, aby prostřednictvím specifických cílů reagovala na všechny relevantní problémy, potřeby rozvoje, priority financování a hlavní výsledky Dohody o partnerství, která je zastřešujícím dokumentem pro programy financované z ESIF v České republice v programov</w:t>
            </w:r>
            <w:r>
              <w:rPr>
                <w:rFonts w:eastAsia="Calibri" w:cs="Times New Roman"/>
              </w:rPr>
              <w:t>acím období 2014</w:t>
            </w:r>
            <w:r w:rsidRPr="00CC69F2">
              <w:rPr>
                <w:rFonts w:eastAsia="Calibri" w:cs="Times New Roman"/>
              </w:rPr>
              <w:t xml:space="preserve">-2020. Hodnotitel v této souvislosti zdůrazňuje potřebu zaměřit (koncentrovat) program na podporu klíčových aktivit, jejichž realizace bude nejvíce přispívat k naplňování relevantních evropských a národních cílů v rámci strategii Evropa 2020: </w:t>
            </w:r>
          </w:p>
          <w:p w:rsidR="000B3B82" w:rsidRPr="00CC69F2" w:rsidRDefault="000B3B82" w:rsidP="000B3B82">
            <w:pPr>
              <w:pStyle w:val="Odstavecseseznamem"/>
              <w:numPr>
                <w:ilvl w:val="0"/>
                <w:numId w:val="39"/>
              </w:numPr>
              <w:spacing w:after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C69F2">
              <w:rPr>
                <w:rFonts w:ascii="Tahoma" w:eastAsia="Calibri" w:hAnsi="Tahoma" w:cs="Tahoma"/>
                <w:sz w:val="20"/>
                <w:szCs w:val="20"/>
              </w:rPr>
              <w:t xml:space="preserve">posílení investic do </w:t>
            </w:r>
            <w:proofErr w:type="spellStart"/>
            <w:r w:rsidRPr="00CC69F2">
              <w:rPr>
                <w:rFonts w:ascii="Tahoma" w:eastAsia="Calibri" w:hAnsi="Tahoma" w:cs="Tahoma"/>
                <w:sz w:val="20"/>
                <w:szCs w:val="20"/>
              </w:rPr>
              <w:t>VVaI</w:t>
            </w:r>
            <w:proofErr w:type="spellEnd"/>
            <w:r w:rsidRPr="00CC69F2">
              <w:rPr>
                <w:rFonts w:ascii="Tahoma" w:eastAsia="Calibri" w:hAnsi="Tahoma" w:cs="Tahoma"/>
                <w:sz w:val="20"/>
                <w:szCs w:val="20"/>
              </w:rPr>
              <w:t>,</w:t>
            </w:r>
          </w:p>
          <w:p w:rsidR="000B3B82" w:rsidRPr="00CC69F2" w:rsidRDefault="000B3B82" w:rsidP="000B3B82">
            <w:pPr>
              <w:pStyle w:val="Odstavecseseznamem"/>
              <w:numPr>
                <w:ilvl w:val="0"/>
                <w:numId w:val="39"/>
              </w:numPr>
              <w:spacing w:after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C69F2">
              <w:rPr>
                <w:rFonts w:ascii="Tahoma" w:eastAsia="Calibri" w:hAnsi="Tahoma" w:cs="Tahoma"/>
                <w:sz w:val="20"/>
                <w:szCs w:val="20"/>
              </w:rPr>
              <w:t xml:space="preserve">další zvyšování energetické účinnosti v průmyslu a </w:t>
            </w:r>
            <w:r>
              <w:rPr>
                <w:rFonts w:ascii="Tahoma" w:eastAsia="Calibri" w:hAnsi="Tahoma" w:cs="Tahoma"/>
                <w:sz w:val="20"/>
                <w:szCs w:val="20"/>
              </w:rPr>
              <w:t>dosažení změn</w:t>
            </w:r>
            <w:r w:rsidRPr="00CC69F2">
              <w:rPr>
                <w:rFonts w:ascii="Tahoma" w:eastAsia="Calibri" w:hAnsi="Tahoma" w:cs="Tahoma"/>
                <w:sz w:val="20"/>
                <w:szCs w:val="20"/>
              </w:rPr>
              <w:t xml:space="preserve"> v energetickém mixu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ČR</w:t>
            </w:r>
            <w:r w:rsidRPr="00CC69F2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</w:p>
          <w:p w:rsidR="000B3B82" w:rsidRPr="00CC69F2" w:rsidRDefault="000B3B82" w:rsidP="000B3B82">
            <w:pPr>
              <w:pStyle w:val="Odstavecseseznamem"/>
              <w:numPr>
                <w:ilvl w:val="0"/>
                <w:numId w:val="39"/>
              </w:numPr>
              <w:spacing w:after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C69F2">
              <w:rPr>
                <w:rFonts w:ascii="Tahoma" w:eastAsia="Calibri" w:hAnsi="Tahoma" w:cs="Tahoma"/>
                <w:sz w:val="20"/>
                <w:szCs w:val="20"/>
              </w:rPr>
              <w:t>rozvoj digitální společnosti a také</w:t>
            </w:r>
          </w:p>
          <w:p w:rsidR="000B3B82" w:rsidRPr="00CC69F2" w:rsidRDefault="000B3B82" w:rsidP="000B3B82">
            <w:pPr>
              <w:pStyle w:val="Odstavecseseznamem"/>
              <w:numPr>
                <w:ilvl w:val="0"/>
                <w:numId w:val="39"/>
              </w:numPr>
              <w:spacing w:after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C69F2">
              <w:rPr>
                <w:rFonts w:ascii="Tahoma" w:eastAsia="Calibri" w:hAnsi="Tahoma" w:cs="Tahoma"/>
                <w:sz w:val="20"/>
                <w:szCs w:val="20"/>
              </w:rPr>
              <w:t xml:space="preserve">zvyšování zaměstnanosti prostřednictvím tvorby pracovních míst v podnikatelském sektoru.  </w:t>
            </w:r>
          </w:p>
          <w:p w:rsidR="000B3B82" w:rsidRPr="00CC69F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CC69F2">
              <w:rPr>
                <w:rFonts w:eastAsia="Calibri" w:cs="Times New Roman"/>
              </w:rPr>
              <w:t xml:space="preserve">Hodnotitel konstatuje, že strategie programu vhodným způsobem zohledňuje potřeby identifikované v hlavních sektorových strategiích ČR. Ve vztahu k regionálním potřebám se OP PIK opírá především o Strategii regionálního rozvoje ČR a Strategii inteligentní specializace ČR („RIS3“). </w:t>
            </w:r>
            <w:r>
              <w:rPr>
                <w:rFonts w:eastAsia="Calibri" w:cs="Times New Roman"/>
              </w:rPr>
              <w:t>D</w:t>
            </w:r>
            <w:r w:rsidRPr="00CC69F2">
              <w:rPr>
                <w:rFonts w:eastAsia="Calibri" w:cs="Times New Roman"/>
              </w:rPr>
              <w:t>le názoru hodnotitele</w:t>
            </w:r>
            <w:r>
              <w:rPr>
                <w:rFonts w:eastAsia="Calibri" w:cs="Times New Roman"/>
              </w:rPr>
              <w:t xml:space="preserve"> by</w:t>
            </w:r>
            <w:r w:rsidRPr="00CC69F2">
              <w:rPr>
                <w:rFonts w:eastAsia="Calibri" w:cs="Times New Roman"/>
              </w:rPr>
              <w:t xml:space="preserve"> bylo vhodné</w:t>
            </w:r>
            <w:r>
              <w:rPr>
                <w:rFonts w:eastAsia="Calibri" w:cs="Times New Roman"/>
              </w:rPr>
              <w:t xml:space="preserve"> v této souvislosti</w:t>
            </w:r>
            <w:r w:rsidRPr="00CC69F2">
              <w:rPr>
                <w:rFonts w:eastAsia="Calibri" w:cs="Times New Roman"/>
              </w:rPr>
              <w:t xml:space="preserve"> více zdůraznit, </w:t>
            </w:r>
            <w:r>
              <w:rPr>
                <w:rFonts w:eastAsia="Calibri" w:cs="Times New Roman"/>
              </w:rPr>
              <w:t>jaké jsou priority</w:t>
            </w:r>
            <w:r w:rsidRPr="00CC69F2">
              <w:rPr>
                <w:rFonts w:eastAsia="Calibri" w:cs="Times New Roman"/>
              </w:rPr>
              <w:t xml:space="preserve"> v územní dimenzi z </w:t>
            </w:r>
            <w:r>
              <w:rPr>
                <w:rFonts w:eastAsia="Calibri" w:cs="Times New Roman"/>
              </w:rPr>
              <w:t>pohledu</w:t>
            </w:r>
            <w:r w:rsidRPr="00CC69F2">
              <w:rPr>
                <w:rFonts w:eastAsia="Calibri" w:cs="Times New Roman"/>
              </w:rPr>
              <w:t xml:space="preserve"> OP PIK</w:t>
            </w:r>
            <w:r>
              <w:rPr>
                <w:rFonts w:eastAsia="Calibri" w:cs="Times New Roman"/>
              </w:rPr>
              <w:t>.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Vnitřní soudržnost navrhovaného programu a jeho vazba na další relevantní nástroje</w:t>
            </w:r>
          </w:p>
          <w:p w:rsidR="000B3B82" w:rsidRPr="00241405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>OP PIK lze považovat za vnitřně koherentní. Má poměrně jasný nosný spojující společný prvek definovaných problémů, kterým je konkurenceschopnost a udržitelnost české ekonomiky. Prioritní osy se zaměřují na hlavní příčiny problémů, které je možné řešit intervencemi fondů ESIF</w:t>
            </w:r>
            <w:r>
              <w:rPr>
                <w:rFonts w:eastAsia="Calibri" w:cs="Times New Roman"/>
              </w:rPr>
              <w:t>,</w:t>
            </w:r>
            <w:r w:rsidRPr="0014709B">
              <w:rPr>
                <w:rFonts w:eastAsia="Calibri" w:cs="Times New Roman"/>
              </w:rPr>
              <w:t xml:space="preserve"> a </w:t>
            </w:r>
            <w:r>
              <w:rPr>
                <w:rFonts w:eastAsia="Calibri" w:cs="Times New Roman"/>
              </w:rPr>
              <w:t>lze předpokládat, že přispějí k</w:t>
            </w:r>
            <w:r w:rsidRPr="0014709B">
              <w:rPr>
                <w:rFonts w:eastAsia="Calibri" w:cs="Times New Roman"/>
              </w:rPr>
              <w:t xml:space="preserve"> naplnění </w:t>
            </w:r>
            <w:r>
              <w:rPr>
                <w:rFonts w:eastAsia="Calibri" w:cs="Times New Roman"/>
              </w:rPr>
              <w:t>relevantních hlavních strategických cílů ČR pro programovací období 2014-2020.</w:t>
            </w:r>
            <w:r w:rsidRPr="0014709B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V</w:t>
            </w:r>
            <w:r w:rsidRPr="00E5294D">
              <w:rPr>
                <w:rFonts w:eastAsia="Calibri" w:cs="Times New Roman"/>
              </w:rPr>
              <w:t xml:space="preserve"> obecné rovině lze </w:t>
            </w:r>
            <w:r>
              <w:rPr>
                <w:rFonts w:eastAsia="Calibri" w:cs="Times New Roman"/>
              </w:rPr>
              <w:t xml:space="preserve">zároveň </w:t>
            </w:r>
            <w:r w:rsidRPr="00E5294D">
              <w:rPr>
                <w:rFonts w:eastAsia="Calibri" w:cs="Times New Roman"/>
              </w:rPr>
              <w:t>konstatovat, že specifické cíle programu</w:t>
            </w:r>
            <w:r>
              <w:rPr>
                <w:rFonts w:eastAsia="Calibri" w:cs="Times New Roman"/>
              </w:rPr>
              <w:t xml:space="preserve">, resp. </w:t>
            </w:r>
            <w:r w:rsidRPr="00241405">
              <w:rPr>
                <w:rFonts w:eastAsia="Calibri" w:cs="Times New Roman"/>
              </w:rPr>
              <w:t>podporované aktivity jsou koncipovány tak, aby byl respektován princip podpory fungujícího trhu.</w:t>
            </w:r>
          </w:p>
          <w:p w:rsidR="000B3B82" w:rsidRPr="008A65B9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8A65B9">
              <w:rPr>
                <w:rFonts w:eastAsia="Calibri" w:cs="Times New Roman"/>
              </w:rPr>
              <w:t>Hodnotitel eviduje rozdíly mezi jednotlivými specifickými cíli OP PIK, co se týká jejich konkrétnosti a tím i měřitelnosti. Za velmi konkrétně formulované lze považovat specifické cíle 2.1 a 3.1, které již přímo ve svém názvu obsahují měřitelný parametr (počet, podíl).</w:t>
            </w:r>
          </w:p>
          <w:p w:rsidR="000B3B82" w:rsidRPr="008A65B9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8A65B9">
              <w:rPr>
                <w:rFonts w:eastAsia="Calibri" w:cs="Times New Roman"/>
              </w:rPr>
              <w:t>Přijatelným způsobem jsou z pohledu konkrétnosti formulovány specifické cíle 1.1, 1.2, 2.2, 2.3, 3.2, 3.5, 3.6</w:t>
            </w:r>
            <w:r>
              <w:rPr>
                <w:rFonts w:eastAsia="Calibri" w:cs="Times New Roman"/>
              </w:rPr>
              <w:t xml:space="preserve">, </w:t>
            </w:r>
            <w:r w:rsidRPr="008A65B9">
              <w:rPr>
                <w:rFonts w:eastAsia="Calibri" w:cs="Times New Roman"/>
              </w:rPr>
              <w:t>4.1</w:t>
            </w:r>
            <w:r>
              <w:rPr>
                <w:rFonts w:eastAsia="Calibri" w:cs="Times New Roman"/>
              </w:rPr>
              <w:t>, 5,1 a 5.2</w:t>
            </w:r>
            <w:r w:rsidRPr="008A65B9">
              <w:rPr>
                <w:rFonts w:eastAsia="Calibri" w:cs="Times New Roman"/>
              </w:rPr>
              <w:t xml:space="preserve">. Za předpokladu použití vhodných ukazatelů lze tyto specifické cíle </w:t>
            </w:r>
            <w:r w:rsidRPr="008A65B9">
              <w:rPr>
                <w:rFonts w:eastAsia="Calibri" w:cs="Times New Roman"/>
              </w:rPr>
              <w:lastRenderedPageBreak/>
              <w:t>považovat za relativně dobře měřitelné.</w:t>
            </w:r>
          </w:p>
          <w:p w:rsidR="000B3B82" w:rsidRPr="00241405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8A65B9">
              <w:rPr>
                <w:rFonts w:eastAsia="Calibri" w:cs="Times New Roman"/>
              </w:rPr>
              <w:t>Za poněkud problematické z pohledu konkrétnosti považuje hodnotitel formulované specifické cíle 2.4, 3.3, 3.4</w:t>
            </w:r>
            <w:r>
              <w:rPr>
                <w:rFonts w:eastAsia="Calibri" w:cs="Times New Roman"/>
              </w:rPr>
              <w:t xml:space="preserve"> a</w:t>
            </w:r>
            <w:r w:rsidRPr="008A65B9">
              <w:rPr>
                <w:rFonts w:eastAsia="Calibri" w:cs="Times New Roman"/>
              </w:rPr>
              <w:t xml:space="preserve"> 4.2. U těchto specifických cílů doporučuje hodnotitel jejich zpřesnění.</w:t>
            </w:r>
            <w:r w:rsidRPr="00241405">
              <w:rPr>
                <w:rFonts w:eastAsia="Calibri" w:cs="Times New Roman"/>
              </w:rPr>
              <w:t xml:space="preserve"> 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241405">
              <w:rPr>
                <w:rFonts w:eastAsia="Calibri" w:cs="Times New Roman"/>
              </w:rPr>
              <w:t xml:space="preserve">Co se týká dosažitelnosti specifických cílů OP PIK, je zřejmé, že nebude zajištěna výhradně prostřednictvím intervencí OP PIK. Nezbytným předpokladem je spolupůsobení dalších </w:t>
            </w:r>
            <w:r>
              <w:rPr>
                <w:rFonts w:eastAsia="Calibri" w:cs="Times New Roman"/>
              </w:rPr>
              <w:t>faktorů/</w:t>
            </w:r>
            <w:r w:rsidRPr="00241405">
              <w:rPr>
                <w:rFonts w:eastAsia="Calibri" w:cs="Times New Roman"/>
              </w:rPr>
              <w:t xml:space="preserve">opatření finanční i nefinanční povahy nad rámec OP PIK. </w:t>
            </w:r>
            <w:r>
              <w:rPr>
                <w:rFonts w:eastAsia="Calibri" w:cs="Times New Roman"/>
              </w:rPr>
              <w:t>Identifikace</w:t>
            </w:r>
            <w:r w:rsidRPr="00241405">
              <w:rPr>
                <w:rFonts w:eastAsia="Calibri" w:cs="Times New Roman"/>
              </w:rPr>
              <w:t xml:space="preserve"> těchto dalších </w:t>
            </w:r>
            <w:r>
              <w:rPr>
                <w:rFonts w:eastAsia="Calibri" w:cs="Times New Roman"/>
              </w:rPr>
              <w:t xml:space="preserve">faktorů </w:t>
            </w:r>
            <w:r w:rsidRPr="00241405">
              <w:rPr>
                <w:rFonts w:eastAsia="Calibri" w:cs="Times New Roman"/>
              </w:rPr>
              <w:t xml:space="preserve">ovlivňujících dosažitelnost specifických cílů OP PIK </w:t>
            </w:r>
            <w:r w:rsidRPr="009E5BE4">
              <w:rPr>
                <w:rFonts w:eastAsia="Calibri" w:cs="Times New Roman"/>
              </w:rPr>
              <w:t>by m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>la být v programu d</w:t>
            </w:r>
            <w:r w:rsidRPr="005F1E32">
              <w:rPr>
                <w:rFonts w:eastAsia="Calibri" w:cs="Times New Roman"/>
              </w:rPr>
              <w:t>opracována</w:t>
            </w:r>
            <w:r w:rsidRPr="00241405">
              <w:rPr>
                <w:rFonts w:eastAsia="Calibri" w:cs="Times New Roman"/>
              </w:rPr>
              <w:t>.</w:t>
            </w:r>
            <w:r>
              <w:rPr>
                <w:rFonts w:eastAsia="Calibri" w:cs="Times New Roman"/>
              </w:rPr>
              <w:t xml:space="preserve"> Tak bude zajištěna i úplnost intervenční logiky jednotlivých specifických cílů.</w:t>
            </w:r>
            <w:r w:rsidRPr="00E3482A">
              <w:rPr>
                <w:rFonts w:ascii="Arial Narrow" w:eastAsia="Times New Roman" w:hAnsi="Arial Narrow" w:cs="Times New Roman"/>
                <w:szCs w:val="20"/>
                <w:lang w:eastAsia="cs-CZ"/>
              </w:rPr>
              <w:t xml:space="preserve">      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ahoma"/>
                <w:szCs w:val="20"/>
              </w:rPr>
            </w:pPr>
            <w:r w:rsidRPr="0014709B">
              <w:rPr>
                <w:rFonts w:eastAsia="Calibri" w:cs="Times New Roman"/>
              </w:rPr>
              <w:t xml:space="preserve">Hodnotitel vnímá pozitivně, že oproti předchozí verzi programu byly v rámci jednotlivých specifických cílů </w:t>
            </w:r>
            <w:r>
              <w:rPr>
                <w:rFonts w:eastAsia="Calibri" w:cs="Times New Roman"/>
              </w:rPr>
              <w:t xml:space="preserve">dále </w:t>
            </w:r>
            <w:r w:rsidRPr="0014709B">
              <w:rPr>
                <w:rFonts w:eastAsia="Calibri" w:cs="Times New Roman"/>
              </w:rPr>
              <w:t xml:space="preserve">upřesněny </w:t>
            </w:r>
            <w:r>
              <w:rPr>
                <w:rFonts w:eastAsia="Calibri" w:cs="Times New Roman"/>
              </w:rPr>
              <w:t xml:space="preserve">indikativní výčty </w:t>
            </w:r>
            <w:r w:rsidRPr="0014709B">
              <w:rPr>
                <w:rFonts w:eastAsia="Calibri" w:cs="Times New Roman"/>
              </w:rPr>
              <w:t>podporovan</w:t>
            </w:r>
            <w:r>
              <w:rPr>
                <w:rFonts w:eastAsia="Calibri" w:cs="Times New Roman"/>
              </w:rPr>
              <w:t>ých</w:t>
            </w:r>
            <w:r w:rsidRPr="0014709B">
              <w:rPr>
                <w:rFonts w:eastAsia="Calibri" w:cs="Times New Roman"/>
              </w:rPr>
              <w:t xml:space="preserve"> aktivit, a to především popisem typových projektů. </w:t>
            </w:r>
            <w:r>
              <w:rPr>
                <w:rFonts w:eastAsia="Calibri" w:cs="Times New Roman"/>
              </w:rPr>
              <w:t>Jak již však bylo naznačeno výše, p</w:t>
            </w:r>
            <w:r w:rsidRPr="0014709B">
              <w:rPr>
                <w:rFonts w:eastAsia="Calibri" w:cs="Times New Roman"/>
              </w:rPr>
              <w:t xml:space="preserve">rogram stále obsahuje některé </w:t>
            </w:r>
            <w:r>
              <w:rPr>
                <w:rFonts w:eastAsia="Calibri" w:cs="Times New Roman"/>
              </w:rPr>
              <w:t xml:space="preserve">dílčí </w:t>
            </w:r>
            <w:r w:rsidRPr="0014709B">
              <w:rPr>
                <w:rFonts w:eastAsia="Calibri" w:cs="Times New Roman"/>
              </w:rPr>
              <w:t xml:space="preserve">nejasnosti v intervenční logice na úrovni specifických cílů, a </w:t>
            </w:r>
            <w:r w:rsidRPr="0014709B">
              <w:rPr>
                <w:rFonts w:eastAsia="Calibri" w:cs="Tahoma"/>
                <w:szCs w:val="20"/>
              </w:rPr>
              <w:t>hodnotitel proto doporučuje:</w:t>
            </w:r>
          </w:p>
          <w:p w:rsidR="000B3B82" w:rsidRPr="0014709B" w:rsidRDefault="000B3B82" w:rsidP="000B3B82">
            <w:pPr>
              <w:pStyle w:val="Odstavecseseznamem"/>
              <w:numPr>
                <w:ilvl w:val="0"/>
                <w:numId w:val="42"/>
              </w:numPr>
              <w:spacing w:after="120"/>
              <w:ind w:left="851" w:hanging="49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4709B">
              <w:rPr>
                <w:rFonts w:ascii="Tahoma" w:eastAsia="Calibri" w:hAnsi="Tahoma" w:cs="Tahoma"/>
                <w:sz w:val="20"/>
                <w:szCs w:val="20"/>
              </w:rPr>
              <w:t xml:space="preserve">provést v rámci jednotlivých specifických cílů revizi popsaných „Výsledků, kterých chce ČR dosáhnout s podporou Unie“ a odlišit skutečně dosažitelné (reálné) výsledky OP PIK od širších socioekonomických cílů a dalších potencionálních multiplikačních efektů; </w:t>
            </w:r>
          </w:p>
          <w:p w:rsidR="000B3B82" w:rsidRPr="0014709B" w:rsidRDefault="000B3B82" w:rsidP="000B3B82">
            <w:pPr>
              <w:pStyle w:val="Odstavecseseznamem"/>
              <w:numPr>
                <w:ilvl w:val="0"/>
                <w:numId w:val="42"/>
              </w:numPr>
              <w:spacing w:after="120"/>
              <w:ind w:left="851" w:hanging="49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4709B">
              <w:rPr>
                <w:rFonts w:ascii="Tahoma" w:eastAsia="Calibri" w:hAnsi="Tahoma" w:cs="Tahoma"/>
                <w:sz w:val="20"/>
                <w:szCs w:val="20"/>
              </w:rPr>
              <w:t xml:space="preserve">doplnit popis/vyjádření vazeb očekávaných výsledků specifických cílů OP PIK na hlavní výsledky </w:t>
            </w:r>
            <w:proofErr w:type="spellStart"/>
            <w:r w:rsidRPr="0014709B">
              <w:rPr>
                <w:rFonts w:ascii="Tahoma" w:eastAsia="Calibri" w:hAnsi="Tahoma" w:cs="Tahoma"/>
                <w:sz w:val="20"/>
                <w:szCs w:val="20"/>
              </w:rPr>
              <w:t>DoP</w:t>
            </w:r>
            <w:proofErr w:type="spellEnd"/>
            <w:r w:rsidRPr="0014709B"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0B3B82" w:rsidRPr="0014709B" w:rsidRDefault="000B3B82" w:rsidP="000B3B82">
            <w:pPr>
              <w:pStyle w:val="Odstavecseseznamem"/>
              <w:numPr>
                <w:ilvl w:val="0"/>
                <w:numId w:val="42"/>
              </w:numPr>
              <w:spacing w:after="120"/>
              <w:ind w:left="851" w:hanging="49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4709B">
              <w:rPr>
                <w:rFonts w:ascii="Tahoma" w:eastAsia="Calibri" w:hAnsi="Tahoma" w:cs="Tahoma"/>
                <w:sz w:val="20"/>
                <w:szCs w:val="20"/>
              </w:rPr>
              <w:t xml:space="preserve">popsat, </w:t>
            </w:r>
            <w:r>
              <w:rPr>
                <w:rFonts w:ascii="Tahoma" w:eastAsia="Calibri" w:hAnsi="Tahoma" w:cs="Tahoma"/>
                <w:sz w:val="20"/>
                <w:szCs w:val="20"/>
              </w:rPr>
              <w:t>jaké další faktory/opatření nad rámec OP PIK jsou nezbytné pro dosažení specifických cílů ve smyslu žádoucích změn.</w:t>
            </w:r>
            <w:r w:rsidRPr="0014709B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 xml:space="preserve">V platnosti zůstává </w:t>
            </w:r>
            <w:r>
              <w:rPr>
                <w:rFonts w:eastAsia="Calibri" w:cs="Times New Roman"/>
              </w:rPr>
              <w:t xml:space="preserve">rovněž </w:t>
            </w:r>
            <w:r w:rsidRPr="0014709B">
              <w:rPr>
                <w:rFonts w:eastAsia="Calibri" w:cs="Times New Roman"/>
              </w:rPr>
              <w:t xml:space="preserve">předchozí doporučení hodnotitele </w:t>
            </w:r>
            <w:r>
              <w:rPr>
                <w:rFonts w:eastAsia="Calibri" w:cs="Times New Roman"/>
              </w:rPr>
              <w:t>více pop</w:t>
            </w:r>
            <w:r w:rsidRPr="0014709B">
              <w:rPr>
                <w:rFonts w:eastAsia="Calibri" w:cs="Times New Roman"/>
              </w:rPr>
              <w:t>s</w:t>
            </w:r>
            <w:r>
              <w:rPr>
                <w:rFonts w:eastAsia="Calibri" w:cs="Times New Roman"/>
              </w:rPr>
              <w:t>at</w:t>
            </w:r>
            <w:r w:rsidRPr="0014709B">
              <w:rPr>
                <w:rFonts w:eastAsia="Calibri" w:cs="Times New Roman"/>
              </w:rPr>
              <w:t xml:space="preserve"> synergi</w:t>
            </w:r>
            <w:r>
              <w:rPr>
                <w:rFonts w:eastAsia="Calibri" w:cs="Times New Roman"/>
              </w:rPr>
              <w:t>e</w:t>
            </w:r>
            <w:r w:rsidRPr="0014709B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uvnitř OP PIK, tj. </w:t>
            </w:r>
            <w:r w:rsidRPr="0014709B">
              <w:rPr>
                <w:rFonts w:eastAsia="Calibri" w:cs="Times New Roman"/>
              </w:rPr>
              <w:t>mezi prioritními osami a specifickými cíli</w:t>
            </w:r>
            <w:r>
              <w:rPr>
                <w:rFonts w:eastAsia="Calibri" w:cs="Times New Roman"/>
              </w:rPr>
              <w:t xml:space="preserve"> programu</w:t>
            </w:r>
            <w:r w:rsidRPr="0014709B">
              <w:rPr>
                <w:rFonts w:eastAsia="Calibri" w:cs="Times New Roman"/>
              </w:rPr>
              <w:t>.</w:t>
            </w:r>
            <w:r>
              <w:rPr>
                <w:rFonts w:eastAsia="Calibri" w:cs="Times New Roman"/>
              </w:rPr>
              <w:t xml:space="preserve"> Dle názoru hodnotitele by měly být popsány synergie především u těch specifických cílů, které se váží ke stejné investiční prioritě (SC 1.1 a 1.2 a SC 2.3 a 2.4), ale i u těch, které se váží ke stejnému tematickému cíli. Jedním z příkladů jsou bezpochyby specifické cíle prioritní osy 3 (evidentní synergie mezi SC 3.1 a 3.3 a potažmo 3.6, mezi SC 3.2 a 3.5 apod.). 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 xml:space="preserve">Hodnotitel v této souvislosti identifikoval v textu programu </w:t>
            </w:r>
            <w:r>
              <w:rPr>
                <w:rFonts w:eastAsia="Calibri" w:cs="Times New Roman"/>
              </w:rPr>
              <w:t xml:space="preserve">také </w:t>
            </w:r>
            <w:r w:rsidRPr="0014709B">
              <w:rPr>
                <w:rFonts w:eastAsia="Calibri" w:cs="Times New Roman"/>
              </w:rPr>
              <w:t>někter</w:t>
            </w:r>
            <w:r>
              <w:rPr>
                <w:rFonts w:eastAsia="Calibri" w:cs="Times New Roman"/>
              </w:rPr>
              <w:t xml:space="preserve">á </w:t>
            </w:r>
            <w:r w:rsidRPr="0014709B">
              <w:rPr>
                <w:rFonts w:eastAsia="Calibri" w:cs="Times New Roman"/>
              </w:rPr>
              <w:t xml:space="preserve">témata, která by mohla dle jeho názoru indikovat potencionální překryv na úrovni specifických cílů, a doporučuje proto blíže popsat a vysvětlit hraniční oblasti. Jedním z těchto témat jsou </w:t>
            </w:r>
            <w:r w:rsidRPr="008A65B9">
              <w:rPr>
                <w:rFonts w:eastAsia="Calibri" w:cs="Times New Roman"/>
                <w:i/>
              </w:rPr>
              <w:t>služby pro podnikání</w:t>
            </w:r>
            <w:r w:rsidRPr="0014709B">
              <w:rPr>
                <w:rFonts w:eastAsia="Calibri" w:cs="Times New Roman"/>
              </w:rPr>
              <w:t>, které jsou v</w:t>
            </w:r>
            <w:r>
              <w:rPr>
                <w:rFonts w:eastAsia="Calibri" w:cs="Times New Roman"/>
              </w:rPr>
              <w:t xml:space="preserve"> </w:t>
            </w:r>
            <w:r w:rsidRPr="0014709B">
              <w:rPr>
                <w:rFonts w:eastAsia="Calibri" w:cs="Times New Roman"/>
              </w:rPr>
              <w:t>programu obsaženy ve třech specifických cílech (1.2, 2.1 a 2.2)</w:t>
            </w:r>
            <w:r>
              <w:rPr>
                <w:rFonts w:eastAsia="Calibri" w:cs="Times New Roman"/>
              </w:rPr>
              <w:t xml:space="preserve">, ovšem </w:t>
            </w:r>
            <w:r w:rsidRPr="0014709B">
              <w:rPr>
                <w:rFonts w:eastAsia="Calibri" w:cs="Times New Roman"/>
              </w:rPr>
              <w:t xml:space="preserve">komplementarity mezi jednotlivými specifickými cíli </w:t>
            </w:r>
            <w:r>
              <w:rPr>
                <w:rFonts w:eastAsia="Calibri" w:cs="Times New Roman"/>
              </w:rPr>
              <w:t xml:space="preserve">stále </w:t>
            </w:r>
            <w:r w:rsidRPr="0014709B">
              <w:rPr>
                <w:rFonts w:eastAsia="Calibri" w:cs="Times New Roman"/>
              </w:rPr>
              <w:t>nejsou</w:t>
            </w:r>
            <w:r>
              <w:rPr>
                <w:rFonts w:eastAsia="Calibri" w:cs="Times New Roman"/>
              </w:rPr>
              <w:t xml:space="preserve"> – i přes provedená dílčí doplnění textu programu - zcela</w:t>
            </w:r>
            <w:r w:rsidRPr="0014709B">
              <w:rPr>
                <w:rFonts w:eastAsia="Calibri" w:cs="Times New Roman"/>
              </w:rPr>
              <w:t xml:space="preserve"> jednoznačně </w:t>
            </w:r>
            <w:r>
              <w:rPr>
                <w:rFonts w:eastAsia="Calibri" w:cs="Times New Roman"/>
              </w:rPr>
              <w:t>vymezené</w:t>
            </w:r>
            <w:r w:rsidRPr="0014709B">
              <w:rPr>
                <w:rFonts w:eastAsia="Calibri" w:cs="Times New Roman"/>
              </w:rPr>
              <w:t>. Další</w:t>
            </w:r>
            <w:r>
              <w:rPr>
                <w:rFonts w:eastAsia="Calibri" w:cs="Times New Roman"/>
              </w:rPr>
              <w:t>m</w:t>
            </w:r>
            <w:r w:rsidRPr="0014709B">
              <w:rPr>
                <w:rFonts w:eastAsia="Calibri" w:cs="Times New Roman"/>
              </w:rPr>
              <w:t xml:space="preserve"> příkladem m</w:t>
            </w:r>
            <w:r>
              <w:rPr>
                <w:rFonts w:eastAsia="Calibri" w:cs="Times New Roman"/>
              </w:rPr>
              <w:t xml:space="preserve">ůže být </w:t>
            </w:r>
            <w:r w:rsidRPr="008A65B9">
              <w:rPr>
                <w:rFonts w:eastAsia="Calibri" w:cs="Times New Roman"/>
                <w:i/>
              </w:rPr>
              <w:t>infrastruktura pro podnikání</w:t>
            </w:r>
            <w:r>
              <w:rPr>
                <w:rFonts w:eastAsia="Calibri" w:cs="Times New Roman"/>
              </w:rPr>
              <w:t xml:space="preserve"> (</w:t>
            </w:r>
            <w:r w:rsidRPr="0014709B">
              <w:rPr>
                <w:rFonts w:eastAsia="Calibri" w:cs="Times New Roman"/>
              </w:rPr>
              <w:t xml:space="preserve">SC </w:t>
            </w:r>
            <w:r>
              <w:rPr>
                <w:rFonts w:eastAsia="Calibri" w:cs="Times New Roman"/>
              </w:rPr>
              <w:t xml:space="preserve">1.2, </w:t>
            </w:r>
            <w:r w:rsidRPr="0014709B">
              <w:rPr>
                <w:rFonts w:eastAsia="Calibri" w:cs="Times New Roman"/>
              </w:rPr>
              <w:t>2.1 a 2.3</w:t>
            </w:r>
            <w:r>
              <w:rPr>
                <w:rFonts w:eastAsia="Calibri" w:cs="Times New Roman"/>
              </w:rPr>
              <w:t>)</w:t>
            </w:r>
            <w:r w:rsidRPr="0014709B">
              <w:rPr>
                <w:rFonts w:eastAsia="Calibri" w:cs="Times New Roman"/>
              </w:rPr>
              <w:t>, kdy</w:t>
            </w:r>
            <w:r>
              <w:rPr>
                <w:rFonts w:eastAsia="Calibri" w:cs="Times New Roman"/>
              </w:rPr>
              <w:t xml:space="preserve"> například</w:t>
            </w:r>
            <w:r w:rsidRPr="0014709B">
              <w:rPr>
                <w:rFonts w:eastAsia="Calibri" w:cs="Times New Roman"/>
              </w:rPr>
              <w:t xml:space="preserve"> SC 2.1 uvádí v popisu podporovaných aktivit jako typové projekty takové, které jsou spojené s </w:t>
            </w:r>
            <w:r>
              <w:rPr>
                <w:rFonts w:eastAsia="Calibri" w:cs="Times New Roman"/>
              </w:rPr>
              <w:t>(</w:t>
            </w:r>
            <w:r w:rsidRPr="0014709B">
              <w:rPr>
                <w:rFonts w:eastAsia="Calibri" w:cs="Times New Roman"/>
              </w:rPr>
              <w:t>pořízením či</w:t>
            </w:r>
            <w:r>
              <w:rPr>
                <w:rFonts w:eastAsia="Calibri" w:cs="Times New Roman"/>
              </w:rPr>
              <w:t>)</w:t>
            </w:r>
            <w:r w:rsidRPr="0014709B">
              <w:rPr>
                <w:rFonts w:eastAsia="Calibri" w:cs="Times New Roman"/>
              </w:rPr>
              <w:t xml:space="preserve"> rekonstrukcí budov, přičemž SC 2.3 </w:t>
            </w:r>
            <w:r>
              <w:rPr>
                <w:rFonts w:eastAsia="Calibri" w:cs="Times New Roman"/>
              </w:rPr>
              <w:t xml:space="preserve">obdobným způsobem </w:t>
            </w:r>
            <w:r w:rsidRPr="0014709B">
              <w:rPr>
                <w:rFonts w:eastAsia="Calibri" w:cs="Times New Roman"/>
              </w:rPr>
              <w:t>podporuje modernizaci výrobních provozů a rekonstrukce zastaralé podnikatelské infrastruktury.</w:t>
            </w:r>
            <w:r w:rsidRPr="00E05225">
              <w:rPr>
                <w:rFonts w:eastAsia="Calibri" w:cs="Times New Roman"/>
              </w:rPr>
              <w:t xml:space="preserve"> Nejasná je rovněž hraniční oblast mezi SC 1.1 a SC 3.4. </w:t>
            </w:r>
            <w:r>
              <w:rPr>
                <w:rFonts w:eastAsia="Calibri" w:cs="Times New Roman"/>
              </w:rPr>
              <w:t xml:space="preserve">Hodnotitel proto doporučuje jednoznačně vymezit hraniční oblasti.  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Co se týká komplementarit</w:t>
            </w:r>
            <w:r w:rsidRPr="0014709B">
              <w:rPr>
                <w:rFonts w:eastAsia="Calibri" w:cs="Times New Roman"/>
              </w:rPr>
              <w:t xml:space="preserve"> OP PIK </w:t>
            </w:r>
            <w:r>
              <w:rPr>
                <w:rFonts w:eastAsia="Calibri" w:cs="Times New Roman"/>
              </w:rPr>
              <w:t>s </w:t>
            </w:r>
            <w:r w:rsidRPr="0014709B">
              <w:rPr>
                <w:rFonts w:eastAsia="Calibri" w:cs="Times New Roman"/>
              </w:rPr>
              <w:t>další</w:t>
            </w:r>
            <w:r>
              <w:rPr>
                <w:rFonts w:eastAsia="Calibri" w:cs="Times New Roman"/>
              </w:rPr>
              <w:t xml:space="preserve">mi </w:t>
            </w:r>
            <w:r w:rsidRPr="0014709B">
              <w:rPr>
                <w:rFonts w:eastAsia="Calibri" w:cs="Times New Roman"/>
              </w:rPr>
              <w:t>nástroj</w:t>
            </w:r>
            <w:r>
              <w:rPr>
                <w:rFonts w:eastAsia="Calibri" w:cs="Times New Roman"/>
              </w:rPr>
              <w:t>i (jiné operační programy, národní dotační zdroje, komunitární programy aj.)</w:t>
            </w:r>
            <w:r w:rsidRPr="0014709B">
              <w:rPr>
                <w:rFonts w:eastAsia="Calibri" w:cs="Times New Roman"/>
              </w:rPr>
              <w:t xml:space="preserve">, hodnotitel se domnívá, že </w:t>
            </w:r>
            <w:r>
              <w:rPr>
                <w:rFonts w:eastAsia="Calibri" w:cs="Times New Roman"/>
              </w:rPr>
              <w:t xml:space="preserve">tomuto </w:t>
            </w:r>
            <w:r w:rsidRPr="0014709B">
              <w:rPr>
                <w:rFonts w:eastAsia="Calibri" w:cs="Times New Roman"/>
              </w:rPr>
              <w:t>tématu je věnována dostatečná pozornost a postupně se daří – v souladu s Akčním plánem hraničních oblastí v programov</w:t>
            </w:r>
            <w:r>
              <w:rPr>
                <w:rFonts w:eastAsia="Calibri" w:cs="Times New Roman"/>
              </w:rPr>
              <w:t>acím</w:t>
            </w:r>
            <w:r w:rsidRPr="0014709B">
              <w:rPr>
                <w:rFonts w:eastAsia="Calibri" w:cs="Times New Roman"/>
              </w:rPr>
              <w:t xml:space="preserve"> období 2014–2020 –</w:t>
            </w:r>
            <w:r>
              <w:rPr>
                <w:rFonts w:eastAsia="Calibri" w:cs="Times New Roman"/>
              </w:rPr>
              <w:t xml:space="preserve"> příslušné</w:t>
            </w:r>
            <w:r w:rsidRPr="0014709B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hraniční oblasti</w:t>
            </w:r>
            <w:r w:rsidRPr="0014709B">
              <w:rPr>
                <w:rFonts w:eastAsia="Calibri" w:cs="Times New Roman"/>
              </w:rPr>
              <w:t xml:space="preserve"> řešit.</w:t>
            </w:r>
            <w:r w:rsidRPr="00D777DF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Hodnotitel dává ke zvážení, zda ke stávajícím synergiím a komplementaritám popsaným v nepovinné příloze č. 4 nedoplnit i nástin synergií a komplementarit v oblasti </w:t>
            </w:r>
            <w:r w:rsidRPr="00A45720">
              <w:rPr>
                <w:rFonts w:eastAsia="Calibri" w:cs="Times New Roman"/>
              </w:rPr>
              <w:t>integrovan</w:t>
            </w:r>
            <w:r>
              <w:rPr>
                <w:rFonts w:eastAsia="Calibri" w:cs="Times New Roman"/>
              </w:rPr>
              <w:t xml:space="preserve">ých </w:t>
            </w:r>
            <w:r w:rsidRPr="00A45720">
              <w:rPr>
                <w:rFonts w:eastAsia="Calibri" w:cs="Times New Roman"/>
              </w:rPr>
              <w:t>přístup</w:t>
            </w:r>
            <w:r>
              <w:rPr>
                <w:rFonts w:eastAsia="Calibri" w:cs="Times New Roman"/>
              </w:rPr>
              <w:t>ů</w:t>
            </w:r>
            <w:r w:rsidRPr="00A45720">
              <w:rPr>
                <w:rFonts w:eastAsia="Calibri" w:cs="Times New Roman"/>
              </w:rPr>
              <w:t xml:space="preserve"> k územnímu rozvoji</w:t>
            </w:r>
            <w:r>
              <w:rPr>
                <w:rFonts w:eastAsia="Calibri" w:cs="Times New Roman"/>
              </w:rPr>
              <w:t>.</w:t>
            </w:r>
          </w:p>
          <w:p w:rsidR="000B3B82" w:rsidRPr="007212A3" w:rsidRDefault="000B3B82" w:rsidP="002D380B">
            <w:pPr>
              <w:spacing w:after="120"/>
              <w:ind w:left="360"/>
              <w:rPr>
                <w:rFonts w:eastAsia="Calibri" w:cs="Times New Roman"/>
                <w:highlight w:val="yellow"/>
              </w:rPr>
            </w:pP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lastRenderedPageBreak/>
              <w:t>Soulad mezi přidělováním rozpočtových prostředků a cíli programu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41716E">
              <w:rPr>
                <w:rFonts w:eastAsia="Calibri" w:cs="Times New Roman"/>
              </w:rPr>
              <w:t xml:space="preserve">Hodnotitel se domnívá, že největší podíly z finanční alokace OP PIK jsou správně přiděleny těm prioritním osám a investičním prioritám, prostřednictvím kterých by měl OP PIK nejvíce přispívat k naplňování vybraných hlavních cílů strategie Evropa 2020 a potažmo Národního programu reforem ČR, tj. především: posílit investice do </w:t>
            </w:r>
            <w:proofErr w:type="spellStart"/>
            <w:r w:rsidRPr="0041716E">
              <w:rPr>
                <w:rFonts w:eastAsia="Calibri" w:cs="Times New Roman"/>
              </w:rPr>
              <w:t>VVaI</w:t>
            </w:r>
            <w:proofErr w:type="spellEnd"/>
            <w:r w:rsidRPr="0041716E">
              <w:rPr>
                <w:rFonts w:eastAsia="Calibri" w:cs="Times New Roman"/>
              </w:rPr>
              <w:t xml:space="preserve">, dále zvyšovat energetickou účinnost </w:t>
            </w:r>
            <w:r>
              <w:rPr>
                <w:rFonts w:eastAsia="Calibri" w:cs="Times New Roman"/>
              </w:rPr>
              <w:t>v podnikatelském sektoru, zajistit d</w:t>
            </w:r>
            <w:r w:rsidRPr="0041716E">
              <w:rPr>
                <w:rFonts w:eastAsia="Calibri" w:cs="Times New Roman"/>
              </w:rPr>
              <w:t xml:space="preserve">o roku 2020 připojení k internetu umožňující </w:t>
            </w:r>
            <w:r>
              <w:rPr>
                <w:rFonts w:eastAsia="Calibri" w:cs="Times New Roman"/>
              </w:rPr>
              <w:t xml:space="preserve">požadované </w:t>
            </w:r>
            <w:r w:rsidRPr="0041716E">
              <w:rPr>
                <w:rFonts w:eastAsia="Calibri" w:cs="Times New Roman"/>
              </w:rPr>
              <w:t xml:space="preserve">přenosové rychlosti a </w:t>
            </w:r>
            <w:r>
              <w:rPr>
                <w:rFonts w:eastAsia="Calibri" w:cs="Times New Roman"/>
              </w:rPr>
              <w:t xml:space="preserve">v neposlední řadě </w:t>
            </w:r>
            <w:r w:rsidRPr="0041716E">
              <w:rPr>
                <w:rFonts w:eastAsia="Calibri" w:cs="Times New Roman"/>
              </w:rPr>
              <w:t xml:space="preserve">také </w:t>
            </w:r>
            <w:r>
              <w:rPr>
                <w:rFonts w:eastAsia="Calibri" w:cs="Times New Roman"/>
              </w:rPr>
              <w:t xml:space="preserve">přispívat ke </w:t>
            </w:r>
            <w:r w:rsidRPr="0041716E">
              <w:rPr>
                <w:rFonts w:eastAsia="Calibri" w:cs="Times New Roman"/>
              </w:rPr>
              <w:t>zvyšov</w:t>
            </w:r>
            <w:r>
              <w:rPr>
                <w:rFonts w:eastAsia="Calibri" w:cs="Times New Roman"/>
              </w:rPr>
              <w:t xml:space="preserve">ání </w:t>
            </w:r>
            <w:r w:rsidRPr="0041716E">
              <w:rPr>
                <w:rFonts w:eastAsia="Calibri" w:cs="Times New Roman"/>
              </w:rPr>
              <w:t>zaměstnanost</w:t>
            </w:r>
            <w:r>
              <w:rPr>
                <w:rFonts w:eastAsia="Calibri" w:cs="Times New Roman"/>
              </w:rPr>
              <w:t>i, a to</w:t>
            </w:r>
            <w:r w:rsidRPr="0041716E">
              <w:rPr>
                <w:rFonts w:eastAsia="Calibri" w:cs="Times New Roman"/>
              </w:rPr>
              <w:t xml:space="preserve"> tvorbou nových pracovních míst</w:t>
            </w:r>
            <w:r>
              <w:rPr>
                <w:rFonts w:eastAsia="Calibri" w:cs="Times New Roman"/>
              </w:rPr>
              <w:t xml:space="preserve"> v podnikatelském sektoru</w:t>
            </w:r>
            <w:r w:rsidRPr="0041716E">
              <w:rPr>
                <w:rFonts w:eastAsia="Calibri" w:cs="Times New Roman"/>
              </w:rPr>
              <w:t>.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 xml:space="preserve">Soulad vybraných tematických cílů, priorit a odpovídajících cílů programů se Společným </w:t>
            </w:r>
            <w:r w:rsidRPr="00694648">
              <w:rPr>
                <w:rFonts w:eastAsia="Calibri" w:cs="Times New Roman"/>
                <w:i/>
              </w:rPr>
              <w:lastRenderedPageBreak/>
              <w:t>strategickým rámcem, Dohodou o partnerství a relevantními doporučeními Rady EU pro jednotlivé země přijatými v souladu čl. 121 odst. 2 Smlouvy o fungování EU a v případě potřeby na národní úrovni s národním programem reforem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41716E">
              <w:rPr>
                <w:rFonts w:eastAsia="Calibri" w:cs="Times New Roman"/>
              </w:rPr>
              <w:t>Lze konstatovat, že vybrané tematické cíle, investiční priority a odpovídající specifické cíle OP PIK jsou v souladu s</w:t>
            </w:r>
            <w:r>
              <w:rPr>
                <w:rFonts w:eastAsia="Calibri" w:cs="Times New Roman"/>
              </w:rPr>
              <w:t>e Společným strategickým rámcem.</w:t>
            </w:r>
          </w:p>
          <w:p w:rsidR="000B3B82" w:rsidRPr="0041716E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Co se týká souladu s Dohodou</w:t>
            </w:r>
            <w:r w:rsidRPr="0041716E">
              <w:rPr>
                <w:rFonts w:eastAsia="Calibri" w:cs="Times New Roman"/>
              </w:rPr>
              <w:t xml:space="preserve"> o partnerství</w:t>
            </w:r>
            <w:r>
              <w:rPr>
                <w:rFonts w:eastAsia="Calibri" w:cs="Times New Roman"/>
              </w:rPr>
              <w:t>, zde h</w:t>
            </w:r>
            <w:r w:rsidRPr="0041716E">
              <w:rPr>
                <w:rFonts w:eastAsia="Calibri" w:cs="Times New Roman"/>
              </w:rPr>
              <w:t>odnotitel identifikoval některé</w:t>
            </w:r>
            <w:r>
              <w:rPr>
                <w:rFonts w:eastAsia="Calibri" w:cs="Times New Roman"/>
              </w:rPr>
              <w:t xml:space="preserve"> </w:t>
            </w:r>
            <w:r w:rsidRPr="0041716E">
              <w:rPr>
                <w:rFonts w:eastAsia="Calibri" w:cs="Times New Roman"/>
              </w:rPr>
              <w:t>nejasnosti ve vazbách specifický</w:t>
            </w:r>
            <w:r>
              <w:rPr>
                <w:rFonts w:eastAsia="Calibri" w:cs="Times New Roman"/>
              </w:rPr>
              <w:t>ch</w:t>
            </w:r>
            <w:r w:rsidRPr="0041716E">
              <w:rPr>
                <w:rFonts w:eastAsia="Calibri" w:cs="Times New Roman"/>
              </w:rPr>
              <w:t xml:space="preserve"> cíl</w:t>
            </w:r>
            <w:r>
              <w:rPr>
                <w:rFonts w:eastAsia="Calibri" w:cs="Times New Roman"/>
              </w:rPr>
              <w:t>ů</w:t>
            </w:r>
            <w:r w:rsidRPr="0041716E">
              <w:rPr>
                <w:rFonts w:eastAsia="Calibri" w:cs="Times New Roman"/>
              </w:rPr>
              <w:t xml:space="preserve"> OP PIK </w:t>
            </w:r>
            <w:r>
              <w:rPr>
                <w:rFonts w:eastAsia="Calibri" w:cs="Times New Roman"/>
              </w:rPr>
              <w:t xml:space="preserve">(zejm. SC 2.4 a 3.4) </w:t>
            </w:r>
            <w:r w:rsidRPr="0041716E">
              <w:rPr>
                <w:rFonts w:eastAsia="Calibri" w:cs="Times New Roman"/>
              </w:rPr>
              <w:t xml:space="preserve">na hlavní výsledky </w:t>
            </w:r>
            <w:proofErr w:type="spellStart"/>
            <w:r w:rsidRPr="0041716E">
              <w:rPr>
                <w:rFonts w:eastAsia="Calibri" w:cs="Times New Roman"/>
              </w:rPr>
              <w:t>DoP.</w:t>
            </w:r>
            <w:proofErr w:type="spellEnd"/>
            <w:r w:rsidRPr="0041716E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Tato úzká místa by proto měla být ještě dořešena.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41716E">
              <w:rPr>
                <w:rFonts w:eastAsia="Calibri" w:cs="Times New Roman"/>
              </w:rPr>
              <w:t xml:space="preserve">Je možno konstatovat, že cíle programu jsou v souladu s relevantními doporučeními Rady EU pro ČR. Reagují především na doporučení věnovat zvýšenou pozornost výdajům na posílení růstu, zejména pak v oblasti výzkumu, inovací, energetické účinnosti a také zlepšování přístupu MSP k finančním zdrojům. 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lastRenderedPageBreak/>
              <w:t>Relevan</w:t>
            </w:r>
            <w:r>
              <w:rPr>
                <w:rFonts w:eastAsia="Calibri" w:cs="Times New Roman"/>
                <w:i/>
              </w:rPr>
              <w:t>ce a srozumitelnost navržených ukazatelů</w:t>
            </w:r>
            <w:r w:rsidRPr="00694648">
              <w:rPr>
                <w:rFonts w:eastAsia="Calibri" w:cs="Times New Roman"/>
                <w:i/>
              </w:rPr>
              <w:t xml:space="preserve"> programu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641817">
              <w:rPr>
                <w:rFonts w:eastAsia="Calibri" w:cs="Times New Roman"/>
              </w:rPr>
              <w:t xml:space="preserve">V indikátorové soustavě programu jsou pro jednotlivé prioritní osy a jejich investiční priority a specifické cíle navrženy víceméně </w:t>
            </w:r>
            <w:r w:rsidRPr="00212D8E">
              <w:rPr>
                <w:rFonts w:eastAsia="Calibri" w:cs="Times New Roman"/>
              </w:rPr>
              <w:t xml:space="preserve">relevantní </w:t>
            </w:r>
            <w:r>
              <w:rPr>
                <w:rFonts w:eastAsia="Calibri" w:cs="Times New Roman"/>
              </w:rPr>
              <w:t>ukazatele</w:t>
            </w:r>
            <w:r w:rsidRPr="00212D8E">
              <w:rPr>
                <w:rFonts w:eastAsia="Calibri" w:cs="Times New Roman"/>
              </w:rPr>
              <w:t xml:space="preserve"> výstupu,</w:t>
            </w:r>
            <w:r w:rsidRPr="00641817">
              <w:rPr>
                <w:rFonts w:eastAsia="Calibri" w:cs="Times New Roman"/>
              </w:rPr>
              <w:t xml:space="preserve"> které by měly umožnit efektivní sledování pokroku při realizaci hlavních podporovaných aktivit a zhodnocení, zda aktivity vedou k očekávaným výsledkům.</w:t>
            </w:r>
          </w:p>
          <w:p w:rsidR="000B3B82" w:rsidRPr="00B71183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V operačním</w:t>
            </w:r>
            <w:r w:rsidRPr="00E129F2">
              <w:rPr>
                <w:rFonts w:eastAsia="Calibri" w:cs="Times New Roman"/>
              </w:rPr>
              <w:t xml:space="preserve"> programu </w:t>
            </w:r>
            <w:r>
              <w:rPr>
                <w:rFonts w:eastAsia="Calibri" w:cs="Times New Roman"/>
              </w:rPr>
              <w:t xml:space="preserve">jsou </w:t>
            </w:r>
            <w:r w:rsidRPr="00E129F2">
              <w:rPr>
                <w:rFonts w:eastAsia="Calibri" w:cs="Times New Roman"/>
              </w:rPr>
              <w:t xml:space="preserve">pro jednotlivé prioritní osy a jejich investiční priority a specifické cíle navrženy </w:t>
            </w:r>
            <w:r>
              <w:rPr>
                <w:rFonts w:eastAsia="Calibri" w:cs="Times New Roman"/>
              </w:rPr>
              <w:t xml:space="preserve">dle názoru hodnotitele </w:t>
            </w:r>
            <w:r w:rsidRPr="00E129F2">
              <w:rPr>
                <w:rFonts w:eastAsia="Calibri" w:cs="Times New Roman"/>
              </w:rPr>
              <w:t>relevantní ukazatele výsledku, které umožňují získat důkazy o očekávané změně/plnění cíle v dané prioritě</w:t>
            </w:r>
            <w:r>
              <w:rPr>
                <w:rFonts w:eastAsia="Calibri" w:cs="Times New Roman"/>
              </w:rPr>
              <w:t>. Dílčí výhrady má hodnotitel k logice vazby mezi některými formulovanými specifickými cíli a zvolenými ukazateli výsledků.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Příspěvek očekávaných výstupů k výsledkům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Hodnotitel vnímá pozitivně, že t</w:t>
            </w:r>
            <w:r w:rsidRPr="005901B2">
              <w:rPr>
                <w:rFonts w:eastAsia="Calibri" w:cs="Times New Roman"/>
              </w:rPr>
              <w:t>ext programu byl u jednotlivých specifických cílů doplněn/rozšířen o výčet typů podporovaných aktivit (formou typových projektů)</w:t>
            </w:r>
            <w:r>
              <w:rPr>
                <w:rFonts w:eastAsia="Calibri" w:cs="Times New Roman"/>
              </w:rPr>
              <w:t>; hodnotitel doporučuje zpracovateli, aby v další fázi přípravy operačního programu ještě více precizoval</w:t>
            </w:r>
            <w:r w:rsidRPr="005901B2">
              <w:rPr>
                <w:rFonts w:eastAsia="Calibri" w:cs="Times New Roman"/>
              </w:rPr>
              <w:t xml:space="preserve"> popis</w:t>
            </w:r>
            <w:r>
              <w:rPr>
                <w:rFonts w:eastAsia="Calibri" w:cs="Times New Roman"/>
              </w:rPr>
              <w:t>y</w:t>
            </w:r>
            <w:r w:rsidRPr="005901B2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vazeb mezi výstupy a výsledky</w:t>
            </w:r>
            <w:r w:rsidRPr="005901B2">
              <w:rPr>
                <w:rFonts w:eastAsia="Calibri" w:cs="Times New Roman"/>
              </w:rPr>
              <w:t xml:space="preserve"> specifických cílů.</w:t>
            </w:r>
          </w:p>
          <w:p w:rsidR="000B3B82" w:rsidRDefault="000B3B82" w:rsidP="002D380B">
            <w:pPr>
              <w:spacing w:after="120"/>
              <w:ind w:left="360"/>
              <w:rPr>
                <w:rFonts w:cs="Tahoma"/>
                <w:szCs w:val="20"/>
              </w:rPr>
            </w:pPr>
            <w:r>
              <w:rPr>
                <w:rFonts w:eastAsia="Calibri" w:cs="Times New Roman"/>
              </w:rPr>
              <w:t>U jednotlivých specifických cílů OP PIK by také měly být popsány další faktory/opatření pro dosažení požadovaných změn ve smyslu dosažení specifických cílů</w:t>
            </w:r>
            <w:r>
              <w:rPr>
                <w:rFonts w:cs="Tahoma"/>
                <w:szCs w:val="20"/>
              </w:rPr>
              <w:t xml:space="preserve"> (viz také bod </w:t>
            </w:r>
            <w:r w:rsidRPr="0031650C">
              <w:rPr>
                <w:rFonts w:cs="Tahoma"/>
                <w:i/>
                <w:szCs w:val="20"/>
              </w:rPr>
              <w:t>b)</w:t>
            </w:r>
            <w:r>
              <w:rPr>
                <w:rFonts w:cs="Tahoma"/>
                <w:szCs w:val="20"/>
              </w:rPr>
              <w:t xml:space="preserve"> výše)</w:t>
            </w:r>
            <w:r w:rsidRPr="005901B2">
              <w:rPr>
                <w:rFonts w:cs="Tahoma"/>
                <w:szCs w:val="20"/>
              </w:rPr>
              <w:t xml:space="preserve">. 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Identifikace hlavních cílových skupin, cílových území i typů příjemců v rámci specifických cílů je dle názoru hodnotitele provedena správně, s dílčími výhradami. Tématem k dořešení z pohledu </w:t>
            </w:r>
            <w:r w:rsidRPr="009E5BE4">
              <w:rPr>
                <w:rFonts w:eastAsia="Calibri" w:cs="Times New Roman"/>
              </w:rPr>
              <w:t>cílového území programu (programové oblasti) z</w:t>
            </w:r>
            <w:r w:rsidRPr="009E5BE4">
              <w:rPr>
                <w:rFonts w:eastAsia="Calibri" w:cs="Times New Roman" w:hint="eastAsia"/>
              </w:rPr>
              <w:t>ů</w:t>
            </w:r>
            <w:r w:rsidRPr="009E5BE4">
              <w:rPr>
                <w:rFonts w:eastAsia="Calibri" w:cs="Times New Roman"/>
              </w:rPr>
              <w:t>stává zapojení hl. m. Prahy ve vazb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 xml:space="preserve"> na aplikaci </w:t>
            </w:r>
            <w:r w:rsidRPr="009E5BE4">
              <w:rPr>
                <w:rFonts w:eastAsia="Calibri" w:cs="Times New Roman" w:hint="eastAsia"/>
              </w:rPr>
              <w:t>č</w:t>
            </w:r>
            <w:r w:rsidRPr="009E5BE4">
              <w:rPr>
                <w:rFonts w:eastAsia="Calibri" w:cs="Times New Roman"/>
              </w:rPr>
              <w:t>l. 70 Obecného na</w:t>
            </w:r>
            <w:r w:rsidRPr="009E5BE4">
              <w:rPr>
                <w:rFonts w:eastAsia="Calibri" w:cs="Times New Roman" w:hint="eastAsia"/>
              </w:rPr>
              <w:t>ří</w:t>
            </w:r>
            <w:r w:rsidRPr="009E5BE4">
              <w:rPr>
                <w:rFonts w:eastAsia="Calibri" w:cs="Times New Roman"/>
              </w:rPr>
              <w:t>zení.</w:t>
            </w:r>
            <w:r>
              <w:rPr>
                <w:rFonts w:eastAsia="Calibri" w:cs="Times New Roman"/>
              </w:rPr>
              <w:t xml:space="preserve">  </w:t>
            </w:r>
          </w:p>
          <w:p w:rsidR="000B3B82" w:rsidRPr="006E30C7" w:rsidRDefault="000B3B82" w:rsidP="002D380B">
            <w:pPr>
              <w:spacing w:after="120"/>
              <w:ind w:left="360"/>
              <w:rPr>
                <w:rFonts w:eastAsia="Calibri" w:cs="Times New Roman"/>
                <w:b/>
                <w:highlight w:val="yellow"/>
              </w:rPr>
            </w:pPr>
            <w:r>
              <w:t xml:space="preserve">Územní dimenze je v operačním programu řešena částečně, s odvoláním na </w:t>
            </w:r>
            <w:r w:rsidRPr="009D4F3A">
              <w:t>Národní dokument k územní dimenzi</w:t>
            </w:r>
            <w:r>
              <w:t xml:space="preserve">. </w:t>
            </w:r>
            <w:r w:rsidRPr="009D4F3A">
              <w:t>Dle názoru hodnotitele by byl</w:t>
            </w:r>
            <w:r>
              <w:t xml:space="preserve">a </w:t>
            </w:r>
            <w:r w:rsidRPr="009D4F3A">
              <w:t xml:space="preserve">žádoucí </w:t>
            </w:r>
            <w:r>
              <w:t xml:space="preserve">výrazná územní koncentrace OP PIK, a to dle charakteru jednotlivých specifických cílů a plánovaných opatření.   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 xml:space="preserve">Zda jsou kvantifikované cílové hodnoty ukazatelů reálné s ohledem na plánovanou výši podpory z ESI fondů </w:t>
            </w:r>
          </w:p>
          <w:p w:rsidR="000B3B82" w:rsidRPr="00B71183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Dle názoru hodnotitele jsou c</w:t>
            </w:r>
            <w:r w:rsidRPr="009D776E">
              <w:rPr>
                <w:rFonts w:eastAsia="Calibri" w:cs="Times New Roman"/>
              </w:rPr>
              <w:t xml:space="preserve">ílové hodnoty </w:t>
            </w:r>
            <w:r>
              <w:rPr>
                <w:rFonts w:eastAsia="Calibri" w:cs="Times New Roman"/>
              </w:rPr>
              <w:t>ukazatelů</w:t>
            </w:r>
            <w:r w:rsidRPr="009D776E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kvantifikovány reálně</w:t>
            </w:r>
            <w:r w:rsidRPr="009D776E">
              <w:rPr>
                <w:rFonts w:eastAsia="Calibri" w:cs="Times New Roman"/>
              </w:rPr>
              <w:t xml:space="preserve">, ovšem nelze je zatím považovat za </w:t>
            </w:r>
            <w:r>
              <w:rPr>
                <w:rFonts w:eastAsia="Calibri" w:cs="Times New Roman"/>
              </w:rPr>
              <w:t xml:space="preserve">zcela </w:t>
            </w:r>
            <w:r w:rsidRPr="009D776E">
              <w:rPr>
                <w:rFonts w:eastAsia="Calibri" w:cs="Times New Roman"/>
              </w:rPr>
              <w:t>definitivn</w:t>
            </w:r>
            <w:r w:rsidRPr="005F1E32">
              <w:rPr>
                <w:rFonts w:eastAsia="Calibri" w:cs="Times New Roman"/>
              </w:rPr>
              <w:t>í</w:t>
            </w:r>
            <w:r w:rsidRPr="009E5BE4">
              <w:rPr>
                <w:rFonts w:eastAsia="Calibri" w:cs="Times New Roman"/>
              </w:rPr>
              <w:t>, a dá se proto p</w:t>
            </w:r>
            <w:r w:rsidRPr="009E5BE4">
              <w:rPr>
                <w:rFonts w:eastAsia="Calibri" w:cs="Times New Roman" w:hint="eastAsia"/>
              </w:rPr>
              <w:t>ř</w:t>
            </w:r>
            <w:r w:rsidRPr="009E5BE4">
              <w:rPr>
                <w:rFonts w:eastAsia="Calibri" w:cs="Times New Roman"/>
              </w:rPr>
              <w:t>edpokládat, že v dalším pr</w:t>
            </w:r>
            <w:r w:rsidRPr="009E5BE4">
              <w:rPr>
                <w:rFonts w:eastAsia="Calibri" w:cs="Times New Roman" w:hint="eastAsia"/>
              </w:rPr>
              <w:t>ů</w:t>
            </w:r>
            <w:r w:rsidRPr="009E5BE4">
              <w:rPr>
                <w:rFonts w:eastAsia="Calibri" w:cs="Times New Roman"/>
              </w:rPr>
              <w:t>b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>hu p</w:t>
            </w:r>
            <w:r w:rsidRPr="009E5BE4">
              <w:rPr>
                <w:rFonts w:eastAsia="Calibri" w:cs="Times New Roman" w:hint="eastAsia"/>
              </w:rPr>
              <w:t>ří</w:t>
            </w:r>
            <w:r w:rsidRPr="009E5BE4">
              <w:rPr>
                <w:rFonts w:eastAsia="Calibri" w:cs="Times New Roman"/>
              </w:rPr>
              <w:t>prav i následné implementace programu budou dále zp</w:t>
            </w:r>
            <w:r w:rsidRPr="009E5BE4">
              <w:rPr>
                <w:rFonts w:eastAsia="Calibri" w:cs="Times New Roman" w:hint="eastAsia"/>
              </w:rPr>
              <w:t>ř</w:t>
            </w:r>
            <w:r w:rsidRPr="009E5BE4">
              <w:rPr>
                <w:rFonts w:eastAsia="Calibri" w:cs="Times New Roman"/>
              </w:rPr>
              <w:t>es</w:t>
            </w:r>
            <w:r w:rsidRPr="009E5BE4">
              <w:rPr>
                <w:rFonts w:eastAsia="Calibri" w:cs="Times New Roman" w:hint="eastAsia"/>
              </w:rPr>
              <w:t>ň</w:t>
            </w:r>
            <w:r w:rsidRPr="009E5BE4">
              <w:rPr>
                <w:rFonts w:eastAsia="Calibri" w:cs="Times New Roman"/>
              </w:rPr>
              <w:t>ovány, pravd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>podobn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 xml:space="preserve"> ve vazb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 xml:space="preserve"> na stanovení zp</w:t>
            </w:r>
            <w:r w:rsidRPr="009E5BE4">
              <w:rPr>
                <w:rFonts w:eastAsia="Calibri" w:cs="Times New Roman" w:hint="eastAsia"/>
              </w:rPr>
              <w:t>ů</w:t>
            </w:r>
            <w:r w:rsidRPr="009E5BE4">
              <w:rPr>
                <w:rFonts w:eastAsia="Calibri" w:cs="Times New Roman"/>
              </w:rPr>
              <w:t>sobu národního spolufinancování, a dále ve vazb</w:t>
            </w:r>
            <w:r w:rsidRPr="009E5BE4">
              <w:rPr>
                <w:rFonts w:eastAsia="Calibri" w:cs="Times New Roman" w:hint="eastAsia"/>
              </w:rPr>
              <w:t>ě</w:t>
            </w:r>
            <w:r w:rsidRPr="009E5BE4">
              <w:rPr>
                <w:rFonts w:eastAsia="Calibri" w:cs="Times New Roman"/>
              </w:rPr>
              <w:t xml:space="preserve"> na výsledky p</w:t>
            </w:r>
            <w:r w:rsidRPr="009E5BE4">
              <w:rPr>
                <w:rFonts w:eastAsia="Calibri" w:cs="Times New Roman" w:hint="eastAsia"/>
              </w:rPr>
              <w:t>ř</w:t>
            </w:r>
            <w:r w:rsidRPr="009E5BE4">
              <w:rPr>
                <w:rFonts w:eastAsia="Calibri" w:cs="Times New Roman"/>
              </w:rPr>
              <w:t>edb</w:t>
            </w:r>
            <w:r w:rsidRPr="009E5BE4">
              <w:rPr>
                <w:rFonts w:eastAsia="Calibri" w:cs="Times New Roman" w:hint="eastAsia"/>
              </w:rPr>
              <w:t>ěž</w:t>
            </w:r>
            <w:r w:rsidRPr="009E5BE4">
              <w:rPr>
                <w:rFonts w:eastAsia="Calibri" w:cs="Times New Roman"/>
              </w:rPr>
              <w:t>né posouzení finan</w:t>
            </w:r>
            <w:r w:rsidRPr="009E5BE4">
              <w:rPr>
                <w:rFonts w:eastAsia="Calibri" w:cs="Times New Roman" w:hint="eastAsia"/>
              </w:rPr>
              <w:t>č</w:t>
            </w:r>
            <w:r w:rsidRPr="009E5BE4">
              <w:rPr>
                <w:rFonts w:eastAsia="Calibri" w:cs="Times New Roman"/>
              </w:rPr>
              <w:t>ních nástroj</w:t>
            </w:r>
            <w:r w:rsidRPr="009E5BE4">
              <w:rPr>
                <w:rFonts w:eastAsia="Calibri" w:cs="Times New Roman" w:hint="eastAsia"/>
              </w:rPr>
              <w:t>ů</w:t>
            </w:r>
            <w:r w:rsidRPr="009E5BE4">
              <w:rPr>
                <w:rFonts w:eastAsia="Calibri" w:cs="Times New Roman"/>
              </w:rPr>
              <w:t xml:space="preserve"> dle </w:t>
            </w:r>
            <w:r w:rsidRPr="009E5BE4">
              <w:rPr>
                <w:rFonts w:eastAsia="Calibri" w:cs="Times New Roman" w:hint="eastAsia"/>
              </w:rPr>
              <w:t>č</w:t>
            </w:r>
            <w:r w:rsidRPr="009E5BE4">
              <w:rPr>
                <w:rFonts w:eastAsia="Calibri" w:cs="Times New Roman"/>
              </w:rPr>
              <w:t>l. 37 Obecného na</w:t>
            </w:r>
            <w:r w:rsidRPr="009E5BE4">
              <w:rPr>
                <w:rFonts w:eastAsia="Calibri" w:cs="Times New Roman" w:hint="eastAsia"/>
              </w:rPr>
              <w:t>ří</w:t>
            </w:r>
            <w:r w:rsidRPr="009E5BE4">
              <w:rPr>
                <w:rFonts w:eastAsia="Calibri" w:cs="Times New Roman"/>
              </w:rPr>
              <w:t>zení.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Odůvodnění navrhované formy podpory</w:t>
            </w:r>
          </w:p>
          <w:p w:rsidR="000B3B82" w:rsidRPr="00A57F4C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Hodnotitel se domnívá, že formy podpory jsou v jednotlivých prioritních osách OP PIK navrženy správě a jsou v souladu s principem podpory fungujícího trhu.</w:t>
            </w:r>
            <w:r w:rsidRPr="00A57F4C">
              <w:rPr>
                <w:rFonts w:eastAsia="Calibri" w:cs="Times New Roman"/>
              </w:rPr>
              <w:t xml:space="preserve"> 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A57F4C">
              <w:rPr>
                <w:rFonts w:eastAsia="Calibri" w:cs="Times New Roman"/>
              </w:rPr>
              <w:t xml:space="preserve">Hodnotitel předpokládá, že formy </w:t>
            </w:r>
            <w:r>
              <w:rPr>
                <w:rFonts w:eastAsia="Calibri" w:cs="Times New Roman"/>
              </w:rPr>
              <w:t>podpory budou</w:t>
            </w:r>
            <w:r w:rsidRPr="00A57F4C">
              <w:rPr>
                <w:rFonts w:eastAsia="Calibri" w:cs="Times New Roman"/>
              </w:rPr>
              <w:t xml:space="preserve"> dále upřesňovány a zdůvodňovány, a to zejména v návaznosti na výsledky ex ante analýzy finančních nástrojů, na kterou se zpracovatel v textu programu odvolává.</w:t>
            </w:r>
          </w:p>
          <w:p w:rsidR="000B3B82" w:rsidRPr="00A57F4C" w:rsidRDefault="000B3B82" w:rsidP="002D380B">
            <w:pPr>
              <w:spacing w:after="120"/>
              <w:ind w:left="360"/>
              <w:rPr>
                <w:rFonts w:eastAsia="Calibri" w:cs="Times New Roman"/>
                <w:highlight w:val="yellow"/>
              </w:rPr>
            </w:pPr>
            <w:r>
              <w:rPr>
                <w:rFonts w:eastAsia="Calibri" w:cs="Times New Roman"/>
              </w:rPr>
              <w:t xml:space="preserve">Hodnotitel obecně doporučuje maximálně realistický přístup ve vztahu k finančním nástrojům a </w:t>
            </w:r>
            <w:r>
              <w:rPr>
                <w:rFonts w:eastAsia="Calibri" w:cs="Times New Roman"/>
              </w:rPr>
              <w:lastRenderedPageBreak/>
              <w:t>jejich využití v </w:t>
            </w:r>
            <w:proofErr w:type="gramStart"/>
            <w:r>
              <w:rPr>
                <w:rFonts w:eastAsia="Calibri" w:cs="Times New Roman"/>
              </w:rPr>
              <w:t>OP</w:t>
            </w:r>
            <w:proofErr w:type="gramEnd"/>
            <w:r>
              <w:rPr>
                <w:rFonts w:eastAsia="Calibri" w:cs="Times New Roman"/>
              </w:rPr>
              <w:t xml:space="preserve"> PIK. Zejména je nutné pečlivě analyzovat a ověřovat reálnou absorpční kapacitu pro tyto formy podpory. </w:t>
            </w:r>
            <w:r w:rsidRPr="00A57F4C">
              <w:rPr>
                <w:rFonts w:eastAsia="Calibri" w:cs="Times New Roman"/>
              </w:rPr>
              <w:t xml:space="preserve"> 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lastRenderedPageBreak/>
              <w:t>Přiměřenost lidských zdrojů a správní (administrativní) kapacity pro řízení programu</w:t>
            </w:r>
          </w:p>
          <w:p w:rsidR="000B3B82" w:rsidRDefault="000B3B82" w:rsidP="002D380B">
            <w:pPr>
              <w:spacing w:after="120"/>
              <w:ind w:left="36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>
              <w:rPr>
                <w:rFonts w:eastAsia="Calibri" w:cs="Times New Roman"/>
              </w:rPr>
              <w:t>L</w:t>
            </w:r>
            <w:r w:rsidRPr="00897B17">
              <w:rPr>
                <w:rFonts w:eastAsia="Calibri" w:cs="Times New Roman"/>
              </w:rPr>
              <w:t>idsk</w:t>
            </w:r>
            <w:r>
              <w:rPr>
                <w:rFonts w:eastAsia="Calibri" w:cs="Times New Roman"/>
              </w:rPr>
              <w:t>é</w:t>
            </w:r>
            <w:r w:rsidRPr="00897B17">
              <w:rPr>
                <w:rFonts w:eastAsia="Calibri" w:cs="Times New Roman"/>
              </w:rPr>
              <w:t xml:space="preserve"> zdroj</w:t>
            </w:r>
            <w:r>
              <w:rPr>
                <w:rFonts w:eastAsia="Calibri" w:cs="Times New Roman"/>
              </w:rPr>
              <w:t>e</w:t>
            </w:r>
            <w:r w:rsidRPr="00897B17">
              <w:rPr>
                <w:rFonts w:eastAsia="Calibri" w:cs="Times New Roman"/>
              </w:rPr>
              <w:t xml:space="preserve"> a </w:t>
            </w:r>
            <w:r>
              <w:rPr>
                <w:rFonts w:eastAsia="Calibri" w:cs="Times New Roman"/>
              </w:rPr>
              <w:t>správní (</w:t>
            </w:r>
            <w:r w:rsidRPr="00897B17">
              <w:rPr>
                <w:rFonts w:eastAsia="Calibri" w:cs="Times New Roman"/>
              </w:rPr>
              <w:t>administrativní</w:t>
            </w:r>
            <w:r>
              <w:rPr>
                <w:rFonts w:eastAsia="Calibri" w:cs="Times New Roman"/>
              </w:rPr>
              <w:t>) kapacita</w:t>
            </w:r>
            <w:r w:rsidRPr="00897B17">
              <w:rPr>
                <w:rFonts w:eastAsia="Calibri" w:cs="Times New Roman"/>
              </w:rPr>
              <w:t xml:space="preserve"> pro řízení programu nejsou v textu programu </w:t>
            </w:r>
            <w:r>
              <w:rPr>
                <w:rFonts w:eastAsia="Calibri" w:cs="Times New Roman"/>
              </w:rPr>
              <w:t xml:space="preserve">explicitně </w:t>
            </w:r>
            <w:r w:rsidRPr="00897B17">
              <w:rPr>
                <w:rFonts w:eastAsia="Calibri" w:cs="Times New Roman"/>
              </w:rPr>
              <w:t>uvedeny</w:t>
            </w:r>
            <w:r>
              <w:rPr>
                <w:rFonts w:eastAsia="Calibri" w:cs="Times New Roman"/>
              </w:rPr>
              <w:t xml:space="preserve"> a popsány</w:t>
            </w:r>
            <w:r w:rsidRPr="00897B17">
              <w:rPr>
                <w:rFonts w:eastAsia="Calibri" w:cs="Times New Roman"/>
              </w:rPr>
              <w:t xml:space="preserve"> vzhledem k tomu, že dle „Vzoru pro operační programy v rámci cíle Investice pro růst a zaměstnanost“, který tvoří přílohu prováděcího nařízení Komise (EU) č. 288/2014 ze dne 25. února 2014, není toto téma součástí </w:t>
            </w:r>
            <w:r>
              <w:rPr>
                <w:rFonts w:eastAsia="Calibri" w:cs="Times New Roman"/>
              </w:rPr>
              <w:t xml:space="preserve">struktury </w:t>
            </w:r>
            <w:r w:rsidRPr="00897B17">
              <w:rPr>
                <w:rFonts w:eastAsia="Calibri" w:cs="Times New Roman"/>
              </w:rPr>
              <w:t>operačního programu.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96438F">
              <w:rPr>
                <w:rFonts w:eastAsia="Calibri" w:cs="Times New Roman"/>
              </w:rPr>
              <w:t xml:space="preserve">Hodnotitel </w:t>
            </w:r>
            <w:r>
              <w:rPr>
                <w:rFonts w:eastAsia="Calibri" w:cs="Times New Roman"/>
              </w:rPr>
              <w:t>přesto</w:t>
            </w:r>
            <w:r w:rsidRPr="0096438F">
              <w:rPr>
                <w:rFonts w:eastAsia="Calibri" w:cs="Times New Roman"/>
              </w:rPr>
              <w:t xml:space="preserve"> doporučuje </w:t>
            </w:r>
            <w:r>
              <w:rPr>
                <w:rFonts w:eastAsia="Calibri" w:cs="Times New Roman"/>
              </w:rPr>
              <w:t xml:space="preserve">řídícímu orgánu provést důkladnou </w:t>
            </w:r>
            <w:r w:rsidRPr="0096438F">
              <w:rPr>
                <w:rFonts w:eastAsia="Calibri" w:cs="Times New Roman"/>
              </w:rPr>
              <w:t>analýzu administrativní kapacity pro OP PIK, která by</w:t>
            </w:r>
            <w:r>
              <w:rPr>
                <w:rFonts w:eastAsia="Calibri" w:cs="Times New Roman"/>
              </w:rPr>
              <w:t xml:space="preserve">: i. </w:t>
            </w:r>
            <w:r w:rsidRPr="0096438F">
              <w:rPr>
                <w:rFonts w:eastAsia="Calibri" w:cs="Times New Roman"/>
              </w:rPr>
              <w:t>navrhla optimální model kapacitního zabezpečení implementační struktury OP PIK,</w:t>
            </w:r>
            <w:r>
              <w:rPr>
                <w:rFonts w:eastAsia="Calibri" w:cs="Times New Roman"/>
              </w:rPr>
              <w:t xml:space="preserve"> </w:t>
            </w:r>
            <w:proofErr w:type="spellStart"/>
            <w:r>
              <w:rPr>
                <w:rFonts w:eastAsia="Calibri" w:cs="Times New Roman"/>
              </w:rPr>
              <w:t>ii</w:t>
            </w:r>
            <w:proofErr w:type="spellEnd"/>
            <w:r>
              <w:rPr>
                <w:rFonts w:eastAsia="Calibri" w:cs="Times New Roman"/>
              </w:rPr>
              <w:t xml:space="preserve">. </w:t>
            </w:r>
            <w:r w:rsidRPr="0096438F">
              <w:rPr>
                <w:rFonts w:eastAsia="Calibri" w:cs="Times New Roman"/>
              </w:rPr>
              <w:t xml:space="preserve">prověřila stávající personální kapacity </w:t>
            </w:r>
            <w:r>
              <w:rPr>
                <w:rFonts w:eastAsia="Calibri" w:cs="Times New Roman"/>
              </w:rPr>
              <w:t>ŘO a zvažovaných zprostředkujících subjektů (</w:t>
            </w:r>
            <w:proofErr w:type="spellStart"/>
            <w:r w:rsidRPr="0096438F">
              <w:rPr>
                <w:rFonts w:eastAsia="Calibri" w:cs="Times New Roman"/>
              </w:rPr>
              <w:t>CzechInvest</w:t>
            </w:r>
            <w:proofErr w:type="spellEnd"/>
            <w:r>
              <w:rPr>
                <w:rFonts w:eastAsia="Calibri" w:cs="Times New Roman"/>
              </w:rPr>
              <w:t xml:space="preserve"> a T</w:t>
            </w:r>
            <w:r w:rsidRPr="0096438F">
              <w:rPr>
                <w:rFonts w:eastAsia="Calibri" w:cs="Times New Roman"/>
              </w:rPr>
              <w:t>A ČR),</w:t>
            </w:r>
            <w:r>
              <w:rPr>
                <w:rFonts w:eastAsia="Calibri" w:cs="Times New Roman"/>
              </w:rPr>
              <w:t xml:space="preserve"> </w:t>
            </w:r>
            <w:proofErr w:type="spellStart"/>
            <w:r>
              <w:rPr>
                <w:rFonts w:eastAsia="Calibri" w:cs="Times New Roman"/>
              </w:rPr>
              <w:t>iii</w:t>
            </w:r>
            <w:proofErr w:type="spellEnd"/>
            <w:r>
              <w:rPr>
                <w:rFonts w:eastAsia="Calibri" w:cs="Times New Roman"/>
              </w:rPr>
              <w:t xml:space="preserve">. </w:t>
            </w:r>
            <w:r w:rsidRPr="0096438F">
              <w:rPr>
                <w:rFonts w:eastAsia="Calibri" w:cs="Times New Roman"/>
              </w:rPr>
              <w:t xml:space="preserve">následně provedla srovnání aktuálního stavu s „optimální“ variantou, identifikovala riziková místa implementace programu a </w:t>
            </w:r>
            <w:proofErr w:type="spellStart"/>
            <w:r>
              <w:rPr>
                <w:rFonts w:eastAsia="Calibri" w:cs="Times New Roman"/>
              </w:rPr>
              <w:t>iv</w:t>
            </w:r>
            <w:proofErr w:type="spellEnd"/>
            <w:r>
              <w:rPr>
                <w:rFonts w:eastAsia="Calibri" w:cs="Times New Roman"/>
              </w:rPr>
              <w:t xml:space="preserve">. </w:t>
            </w:r>
            <w:r w:rsidRPr="0096438F">
              <w:rPr>
                <w:rFonts w:eastAsia="Calibri" w:cs="Times New Roman"/>
              </w:rPr>
              <w:t>navrhla příslušná opatření.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902079">
              <w:rPr>
                <w:rFonts w:eastAsia="Calibri" w:cs="Times New Roman"/>
              </w:rPr>
              <w:t>Hodnotitel spatřuje - na základě dosavadního průběhu a zkušeností s implementací OPPI i se strukturálními fondy v ČR v programov</w:t>
            </w:r>
            <w:r>
              <w:rPr>
                <w:rFonts w:eastAsia="Calibri" w:cs="Times New Roman"/>
              </w:rPr>
              <w:t>acím</w:t>
            </w:r>
            <w:r w:rsidRPr="00902079">
              <w:rPr>
                <w:rFonts w:eastAsia="Calibri" w:cs="Times New Roman"/>
              </w:rPr>
              <w:t xml:space="preserve"> období 2007</w:t>
            </w:r>
            <w:r>
              <w:rPr>
                <w:rFonts w:eastAsia="Calibri" w:cs="Times New Roman"/>
              </w:rPr>
              <w:t xml:space="preserve"> </w:t>
            </w:r>
            <w:r w:rsidRPr="00902079">
              <w:rPr>
                <w:rFonts w:eastAsia="Calibri" w:cs="Times New Roman"/>
              </w:rPr>
              <w:t>-</w:t>
            </w:r>
            <w:r>
              <w:rPr>
                <w:rFonts w:eastAsia="Calibri" w:cs="Times New Roman"/>
              </w:rPr>
              <w:t xml:space="preserve"> </w:t>
            </w:r>
            <w:r w:rsidRPr="00902079">
              <w:rPr>
                <w:rFonts w:eastAsia="Calibri" w:cs="Times New Roman"/>
              </w:rPr>
              <w:t>2013 obecně</w:t>
            </w:r>
            <w:r>
              <w:rPr>
                <w:rFonts w:eastAsia="Calibri" w:cs="Times New Roman"/>
              </w:rPr>
              <w:t>,</w:t>
            </w:r>
            <w:r w:rsidRPr="00902079">
              <w:rPr>
                <w:rFonts w:eastAsia="Calibri" w:cs="Times New Roman"/>
              </w:rPr>
              <w:t xml:space="preserve"> a také s ohledem na nová pravidla a požadavky nového programov</w:t>
            </w:r>
            <w:r>
              <w:rPr>
                <w:rFonts w:eastAsia="Calibri" w:cs="Times New Roman"/>
              </w:rPr>
              <w:t>acího</w:t>
            </w:r>
            <w:r w:rsidRPr="00902079">
              <w:rPr>
                <w:rFonts w:eastAsia="Calibri" w:cs="Times New Roman"/>
              </w:rPr>
              <w:t xml:space="preserve"> období</w:t>
            </w:r>
            <w:r>
              <w:rPr>
                <w:rFonts w:eastAsia="Calibri" w:cs="Times New Roman"/>
              </w:rPr>
              <w:t xml:space="preserve"> 2014 - 2020</w:t>
            </w:r>
            <w:r w:rsidRPr="00902079">
              <w:rPr>
                <w:rFonts w:eastAsia="Calibri" w:cs="Times New Roman"/>
              </w:rPr>
              <w:t xml:space="preserve"> – následující významná rizika pro implementac</w:t>
            </w:r>
            <w:r>
              <w:rPr>
                <w:rFonts w:eastAsia="Calibri" w:cs="Times New Roman"/>
              </w:rPr>
              <w:t>i</w:t>
            </w:r>
            <w:r w:rsidRPr="00902079">
              <w:rPr>
                <w:rFonts w:eastAsia="Calibri" w:cs="Times New Roman"/>
              </w:rPr>
              <w:t xml:space="preserve"> nového </w:t>
            </w:r>
            <w:r>
              <w:rPr>
                <w:rFonts w:eastAsia="Calibri" w:cs="Times New Roman"/>
              </w:rPr>
              <w:t>OP PIK, na která je potřeba reagovat a přijmout vhodná a účinná opatření</w:t>
            </w:r>
            <w:r w:rsidRPr="00902079">
              <w:rPr>
                <w:rFonts w:eastAsia="Calibri" w:cs="Times New Roman"/>
              </w:rPr>
              <w:t>: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Opožděné spuštění nového jednotného monitorovacího systému, jeho uživatelská „</w:t>
            </w:r>
            <w:proofErr w:type="spellStart"/>
            <w:r w:rsidRPr="004E4E23">
              <w:rPr>
                <w:rFonts w:ascii="Tahoma" w:hAnsi="Tahoma" w:cs="Tahoma"/>
                <w:sz w:val="20"/>
                <w:szCs w:val="20"/>
              </w:rPr>
              <w:t>nevstřícnost</w:t>
            </w:r>
            <w:proofErr w:type="spellEnd"/>
            <w:r w:rsidRPr="004E4E23">
              <w:rPr>
                <w:rFonts w:ascii="Tahoma" w:hAnsi="Tahoma" w:cs="Tahoma"/>
                <w:sz w:val="20"/>
                <w:szCs w:val="20"/>
              </w:rPr>
              <w:t>“, problémy se stabilitou a funkčností (např. neaktuální a nepřesná data, nemožnost generovat požadované sestavy důležité pro administraci programu, komplikovaný a chybový přenos dat s navazujícími informačními systémy apod.)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Sjednocování metodického prostředí napříč všemi programy ESIF, které nemusí odpovídat potřebám OP PIK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Nedostatečná administrativní kapacita na straně orgánů zodpovědných za řízení programu, a to jak z kvantitativního, tak i kvalitativního hlediska (odbornost, erudice pracovníků)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4E4E2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Nedostatečná připravenost administrativních kapacit programu na nové programové období - zejména nutnost seznámit se s novou legislativou a s aplikací nových pravidel, přechod na nový jednotný monitorovací systém MS2014+ apod.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Neopodstatněné změny stávající, relativně stabilní implementační struktury programu (např. zařazováním nových subjektů do implementační struktury)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Častá fluktuace pracovníků implementační struktury způsobená jednak nedostatečnou motivací, ale také vnějšími (např. politickými) zásahy do personálního složení útvarů zajišťujících výkon agendy ESIF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Nesystémové vyhlašování výzev v programu způsobující nárazové „přetížení“ implementační struktury programu a tím prodlužování procesů administrace a hodnocení projektů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Časté změny v řídící (implementační) dokumentaci k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4E4E23">
              <w:rPr>
                <w:rFonts w:ascii="Tahoma" w:hAnsi="Tahoma" w:cs="Tahoma"/>
                <w:sz w:val="20"/>
                <w:szCs w:val="20"/>
              </w:rPr>
              <w:t>programu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Nedostatečně nastavené kontrolní mechanismy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4E4E2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Komplikovaná a nevhodně nastavená pravidla pro výběr dodavatelů (včetně ZVZ)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E65272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Neinformovanost žadatelů a příjemců o všech povinnostech v souvislosti s realizací projektů a obtížná vymahatelnost jejich plnění ze strany ŘO/ZS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F21883" w:rsidRDefault="000B3B82" w:rsidP="000B3B82">
            <w:pPr>
              <w:pStyle w:val="Odstavecseseznamem"/>
              <w:numPr>
                <w:ilvl w:val="0"/>
                <w:numId w:val="44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E23">
              <w:rPr>
                <w:rFonts w:ascii="Tahoma" w:hAnsi="Tahoma" w:cs="Tahoma"/>
                <w:sz w:val="20"/>
                <w:szCs w:val="20"/>
              </w:rPr>
              <w:t>Nejasné, příp. i protichůdné závěry kontrol finančních úřadů a dalších kontrolních institucí a nevhodně nastavený, nepřehledný systém sankcí za porušení povinností příjemce podpory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Vhodnost postupů pro monitorování programu a shromažďování údajů nezbytných k provádění hodnocení</w:t>
            </w:r>
          </w:p>
          <w:p w:rsidR="000B3B82" w:rsidRPr="00897B17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</w:t>
            </w:r>
            <w:r w:rsidRPr="00897B17">
              <w:rPr>
                <w:rFonts w:eastAsia="Calibri" w:cs="Times New Roman"/>
              </w:rPr>
              <w:t>ostup</w:t>
            </w:r>
            <w:r>
              <w:rPr>
                <w:rFonts w:eastAsia="Calibri" w:cs="Times New Roman"/>
              </w:rPr>
              <w:t>y</w:t>
            </w:r>
            <w:r w:rsidRPr="00897B17">
              <w:rPr>
                <w:rFonts w:eastAsia="Calibri" w:cs="Times New Roman"/>
              </w:rPr>
              <w:t xml:space="preserve"> monitorování programu a shromažďování dat nezbytných k provádění evaluací k posouzení účinnosti, účelnosti a dopadu operačního programu </w:t>
            </w:r>
            <w:r>
              <w:rPr>
                <w:rFonts w:eastAsia="Calibri" w:cs="Times New Roman"/>
              </w:rPr>
              <w:t xml:space="preserve">nejsou v textu OP PIK explicitně popsány </w:t>
            </w:r>
            <w:r w:rsidRPr="00897B17">
              <w:rPr>
                <w:rFonts w:eastAsia="Calibri" w:cs="Times New Roman"/>
              </w:rPr>
              <w:t xml:space="preserve">vzhledem k tomu, že dle </w:t>
            </w:r>
            <w:r w:rsidRPr="002208A9">
              <w:rPr>
                <w:rFonts w:eastAsia="Calibri" w:cs="Times New Roman"/>
                <w:i/>
              </w:rPr>
              <w:t>„Vzoru pro operační programy v rámci cíle Investice pro růst a zaměstnanost“</w:t>
            </w:r>
            <w:r w:rsidRPr="00897B17">
              <w:rPr>
                <w:rFonts w:eastAsia="Calibri" w:cs="Times New Roman"/>
              </w:rPr>
              <w:t xml:space="preserve">, který tvoří přílohu prováděcího nařízení Komise (EU) č. 288/2014 ze dne 25. února 2014, není toto téma součástí </w:t>
            </w:r>
            <w:r>
              <w:rPr>
                <w:rFonts w:eastAsia="Calibri" w:cs="Times New Roman"/>
              </w:rPr>
              <w:t xml:space="preserve">struktury </w:t>
            </w:r>
            <w:r w:rsidRPr="00897B17">
              <w:rPr>
                <w:rFonts w:eastAsia="Calibri" w:cs="Times New Roman"/>
              </w:rPr>
              <w:t>operačního programu.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897B17">
              <w:rPr>
                <w:rFonts w:eastAsia="Calibri" w:cs="Times New Roman"/>
              </w:rPr>
              <w:t>Postupy monitorování programu a shromažďování dat nezbytných k provádění evaluací jsou</w:t>
            </w:r>
            <w:r>
              <w:rPr>
                <w:rFonts w:eastAsia="Calibri" w:cs="Times New Roman"/>
              </w:rPr>
              <w:t xml:space="preserve"> nicméně </w:t>
            </w:r>
            <w:r w:rsidRPr="00897B17">
              <w:rPr>
                <w:rFonts w:eastAsia="Calibri" w:cs="Times New Roman"/>
              </w:rPr>
              <w:t>částečně naznačen</w:t>
            </w:r>
            <w:r>
              <w:rPr>
                <w:rFonts w:eastAsia="Calibri" w:cs="Times New Roman"/>
              </w:rPr>
              <w:t>é</w:t>
            </w:r>
            <w:r w:rsidRPr="00897B17">
              <w:rPr>
                <w:rFonts w:eastAsia="Calibri" w:cs="Times New Roman"/>
              </w:rPr>
              <w:t xml:space="preserve"> v oddíle 10, v části textu: “2. Efektivní a uživatelsky přívětivý informační systém“</w:t>
            </w:r>
            <w:r>
              <w:rPr>
                <w:rFonts w:eastAsia="Calibri" w:cs="Times New Roman"/>
              </w:rPr>
              <w:t xml:space="preserve"> a z</w:t>
            </w:r>
            <w:r w:rsidRPr="00897B17">
              <w:rPr>
                <w:rFonts w:eastAsia="Calibri" w:cs="Times New Roman"/>
              </w:rPr>
              <w:t>ákladní principy monitorování a vyhodnocování OP PIK jsou</w:t>
            </w:r>
            <w:r>
              <w:rPr>
                <w:rFonts w:eastAsia="Calibri" w:cs="Times New Roman"/>
              </w:rPr>
              <w:t xml:space="preserve"> také</w:t>
            </w:r>
            <w:r w:rsidRPr="00897B17">
              <w:rPr>
                <w:rFonts w:eastAsia="Calibri" w:cs="Times New Roman"/>
              </w:rPr>
              <w:t xml:space="preserve"> dostatečně popsány v nepovinné příloze č. 3 </w:t>
            </w:r>
            <w:r>
              <w:rPr>
                <w:rFonts w:eastAsia="Calibri" w:cs="Times New Roman"/>
              </w:rPr>
              <w:t xml:space="preserve">k OP PIK </w:t>
            </w:r>
            <w:r w:rsidRPr="00897B17">
              <w:rPr>
                <w:rFonts w:eastAsia="Calibri" w:cs="Times New Roman"/>
              </w:rPr>
              <w:t xml:space="preserve">s tím, že podrobná pravidla a postupy pro </w:t>
            </w:r>
            <w:r w:rsidRPr="00897B17">
              <w:rPr>
                <w:rFonts w:eastAsia="Calibri" w:cs="Times New Roman"/>
              </w:rPr>
              <w:lastRenderedPageBreak/>
              <w:t>monitorování operačního programu budou rozpracována v řídící dokumentaci k </w:t>
            </w:r>
            <w:proofErr w:type="gramStart"/>
            <w:r w:rsidRPr="00897B17">
              <w:rPr>
                <w:rFonts w:eastAsia="Calibri" w:cs="Times New Roman"/>
              </w:rPr>
              <w:t>OP</w:t>
            </w:r>
            <w:proofErr w:type="gramEnd"/>
            <w:r w:rsidRPr="00897B17">
              <w:rPr>
                <w:rFonts w:eastAsia="Calibri" w:cs="Times New Roman"/>
              </w:rPr>
              <w:t xml:space="preserve"> PIK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lastRenderedPageBreak/>
              <w:t>Vhodnost zvolených milníků pro výkonnostní rámec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9D776E">
              <w:rPr>
                <w:rFonts w:eastAsia="Calibri" w:cs="Times New Roman"/>
              </w:rPr>
              <w:t>Dle názoru hodnotitele jsou pro prioritní osy OP PIK stanoveny takové ukazatele, které splňují metodické požadavky na milníky pro výkonnostní rámec</w:t>
            </w:r>
            <w:r>
              <w:rPr>
                <w:rFonts w:eastAsia="Calibri" w:cs="Times New Roman"/>
              </w:rPr>
              <w:t>.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9D776E">
              <w:rPr>
                <w:rFonts w:eastAsia="Calibri" w:cs="Times New Roman"/>
              </w:rPr>
              <w:t>Cílové hodnoty milníků lze považovat za realistické, nicméně i s ohledem na skutečnosti popsané v</w:t>
            </w:r>
            <w:r>
              <w:rPr>
                <w:rFonts w:eastAsia="Calibri" w:cs="Times New Roman"/>
              </w:rPr>
              <w:t xml:space="preserve"> bodě </w:t>
            </w:r>
            <w:r w:rsidRPr="0031650C">
              <w:rPr>
                <w:rFonts w:eastAsia="Calibri" w:cs="Times New Roman"/>
                <w:i/>
              </w:rPr>
              <w:t>g)</w:t>
            </w:r>
            <w:r w:rsidRPr="009D776E">
              <w:rPr>
                <w:rFonts w:eastAsia="Calibri" w:cs="Times New Roman"/>
              </w:rPr>
              <w:t xml:space="preserve"> budou zřejmě dále zpřesňovány.  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Přiměřenost/dostatečnost plánovaných opatření ve vztahu k rovným příležitostem a prevenci diskriminace, zejména co se týká zajištění přístupu osobám se zdravotním postižením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 xml:space="preserve">S ohledem na charakter programu je možné považovat navrhovaná opatření na podporu principu rovných příležitostí a nediskriminace za dostačující. 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Hodnotitel doporučuje </w:t>
            </w:r>
            <w:r w:rsidRPr="0014709B">
              <w:rPr>
                <w:rFonts w:eastAsia="Calibri" w:cs="Times New Roman"/>
              </w:rPr>
              <w:t>uvést</w:t>
            </w:r>
            <w:r>
              <w:rPr>
                <w:rFonts w:eastAsia="Calibri" w:cs="Times New Roman"/>
              </w:rPr>
              <w:t xml:space="preserve"> také</w:t>
            </w:r>
            <w:r w:rsidRPr="0014709B">
              <w:rPr>
                <w:rFonts w:eastAsia="Calibri" w:cs="Times New Roman"/>
              </w:rPr>
              <w:t xml:space="preserve"> dosavadní zkušenosti </w:t>
            </w:r>
            <w:r>
              <w:rPr>
                <w:rFonts w:eastAsia="Calibri" w:cs="Times New Roman"/>
              </w:rPr>
              <w:t>s</w:t>
            </w:r>
            <w:r w:rsidRPr="0014709B">
              <w:rPr>
                <w:rFonts w:eastAsia="Calibri" w:cs="Times New Roman"/>
              </w:rPr>
              <w:t xml:space="preserve"> uplatňování</w:t>
            </w:r>
            <w:r>
              <w:rPr>
                <w:rFonts w:eastAsia="Calibri" w:cs="Times New Roman"/>
              </w:rPr>
              <w:t>m</w:t>
            </w:r>
            <w:r w:rsidRPr="0014709B">
              <w:rPr>
                <w:rFonts w:eastAsia="Calibri" w:cs="Times New Roman"/>
              </w:rPr>
              <w:t xml:space="preserve"> tohoto principu v OPPI </w:t>
            </w:r>
            <w:r>
              <w:rPr>
                <w:rFonts w:eastAsia="Calibri" w:cs="Times New Roman"/>
              </w:rPr>
              <w:t xml:space="preserve">2007–2013 </w:t>
            </w:r>
            <w:r w:rsidRPr="0014709B">
              <w:rPr>
                <w:rFonts w:eastAsia="Calibri" w:cs="Times New Roman"/>
              </w:rPr>
              <w:t>a v návaznosti na to případné posuny v </w:t>
            </w:r>
            <w:proofErr w:type="gramStart"/>
            <w:r w:rsidRPr="0014709B">
              <w:rPr>
                <w:rFonts w:eastAsia="Calibri" w:cs="Times New Roman"/>
              </w:rPr>
              <w:t>OP</w:t>
            </w:r>
            <w:proofErr w:type="gramEnd"/>
            <w:r w:rsidRPr="0014709B">
              <w:rPr>
                <w:rFonts w:eastAsia="Calibri" w:cs="Times New Roman"/>
              </w:rPr>
              <w:t xml:space="preserve"> PIK.</w:t>
            </w:r>
            <w:r w:rsidRPr="00D777DF">
              <w:rPr>
                <w:rFonts w:eastAsia="Calibri" w:cs="Times New Roman"/>
              </w:rPr>
              <w:t xml:space="preserve"> </w:t>
            </w:r>
          </w:p>
        </w:tc>
      </w:tr>
      <w:tr w:rsidR="000B3B82" w:rsidTr="002D380B">
        <w:tc>
          <w:tcPr>
            <w:tcW w:w="9210" w:type="dxa"/>
          </w:tcPr>
          <w:p w:rsidR="000B3B82" w:rsidRPr="00694648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94648">
              <w:rPr>
                <w:rFonts w:eastAsia="Calibri" w:cs="Times New Roman"/>
                <w:i/>
              </w:rPr>
              <w:t>Přiměřenost/dostatečnost plánovaných</w:t>
            </w:r>
            <w:r>
              <w:rPr>
                <w:rFonts w:eastAsia="Calibri" w:cs="Times New Roman"/>
                <w:i/>
              </w:rPr>
              <w:t xml:space="preserve"> opatření</w:t>
            </w:r>
            <w:r w:rsidRPr="00694648">
              <w:rPr>
                <w:rFonts w:eastAsia="Calibri" w:cs="Times New Roman"/>
                <w:i/>
              </w:rPr>
              <w:t xml:space="preserve"> k podpoře trvale udržitelného rozvoje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 xml:space="preserve">S ohledem na charakter programu je možné považovat navrhovaná opatření na podporu principů udržitelného rozvoje za dostačující. Program bude svými aktivitami přispívat zejména k naplňování cílů udržitelného rozvoje v oblasti ekonomické prosperity (inovace, podpora podnikání, tvorba pracovních míst) a ochrany životního prostředí (OZE, snižování energetické náročnosti, zavádění nových nízkouhlíkových technologií, </w:t>
            </w:r>
            <w:proofErr w:type="spellStart"/>
            <w:r w:rsidRPr="0014709B">
              <w:rPr>
                <w:rFonts w:eastAsia="Calibri" w:cs="Times New Roman"/>
              </w:rPr>
              <w:t>eko</w:t>
            </w:r>
            <w:proofErr w:type="spellEnd"/>
            <w:r w:rsidRPr="0014709B">
              <w:rPr>
                <w:rFonts w:eastAsia="Calibri" w:cs="Times New Roman"/>
              </w:rPr>
              <w:t xml:space="preserve">-inovace apod.). </w:t>
            </w:r>
          </w:p>
          <w:p w:rsidR="000B3B82" w:rsidRPr="0014709B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 xml:space="preserve">Opět by bylo </w:t>
            </w:r>
            <w:r>
              <w:rPr>
                <w:rFonts w:eastAsia="Calibri" w:cs="Times New Roman"/>
              </w:rPr>
              <w:t>možné</w:t>
            </w:r>
            <w:r w:rsidRPr="0014709B">
              <w:rPr>
                <w:rFonts w:eastAsia="Calibri" w:cs="Times New Roman"/>
              </w:rPr>
              <w:t xml:space="preserve"> uvést dosavadní zkušenosti </w:t>
            </w:r>
            <w:r>
              <w:rPr>
                <w:rFonts w:eastAsia="Calibri" w:cs="Times New Roman"/>
              </w:rPr>
              <w:t xml:space="preserve">s </w:t>
            </w:r>
            <w:r w:rsidRPr="0014709B">
              <w:rPr>
                <w:rFonts w:eastAsia="Calibri" w:cs="Times New Roman"/>
              </w:rPr>
              <w:t>uplatňování</w:t>
            </w:r>
            <w:r>
              <w:rPr>
                <w:rFonts w:eastAsia="Calibri" w:cs="Times New Roman"/>
              </w:rPr>
              <w:t>m</w:t>
            </w:r>
            <w:r w:rsidRPr="0014709B">
              <w:rPr>
                <w:rFonts w:eastAsia="Calibri" w:cs="Times New Roman"/>
              </w:rPr>
              <w:t xml:space="preserve"> těchto principů v</w:t>
            </w:r>
            <w:r>
              <w:rPr>
                <w:rFonts w:eastAsia="Calibri" w:cs="Times New Roman"/>
              </w:rPr>
              <w:t> </w:t>
            </w:r>
            <w:r w:rsidRPr="0014709B">
              <w:rPr>
                <w:rFonts w:eastAsia="Calibri" w:cs="Times New Roman"/>
              </w:rPr>
              <w:t>OPPI 2007-2013 a v</w:t>
            </w:r>
            <w:r>
              <w:rPr>
                <w:rFonts w:eastAsia="Calibri" w:cs="Times New Roman"/>
              </w:rPr>
              <w:t> </w:t>
            </w:r>
            <w:r w:rsidRPr="0014709B">
              <w:rPr>
                <w:rFonts w:eastAsia="Calibri" w:cs="Times New Roman"/>
              </w:rPr>
              <w:t>návaznosti na to případné posuny v</w:t>
            </w:r>
            <w:r>
              <w:rPr>
                <w:rFonts w:eastAsia="Calibri" w:cs="Times New Roman"/>
              </w:rPr>
              <w:t> </w:t>
            </w:r>
            <w:r w:rsidRPr="0014709B">
              <w:rPr>
                <w:rFonts w:eastAsia="Calibri" w:cs="Times New Roman"/>
              </w:rPr>
              <w:t>pojetí v</w:t>
            </w:r>
            <w:r>
              <w:rPr>
                <w:rFonts w:eastAsia="Calibri" w:cs="Times New Roman"/>
              </w:rPr>
              <w:t> </w:t>
            </w:r>
            <w:proofErr w:type="gramStart"/>
            <w:r w:rsidRPr="0014709B">
              <w:rPr>
                <w:rFonts w:eastAsia="Calibri" w:cs="Times New Roman"/>
              </w:rPr>
              <w:t>OP</w:t>
            </w:r>
            <w:proofErr w:type="gramEnd"/>
            <w:r w:rsidRPr="0014709B">
              <w:rPr>
                <w:rFonts w:eastAsia="Calibri" w:cs="Times New Roman"/>
              </w:rPr>
              <w:t xml:space="preserve"> PIK.</w:t>
            </w:r>
          </w:p>
          <w:p w:rsidR="000B3B82" w:rsidRPr="001B5C6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 w:rsidRPr="0014709B">
              <w:rPr>
                <w:rFonts w:eastAsia="Calibri" w:cs="Times New Roman"/>
              </w:rPr>
              <w:t>Posouzení a vyhodnocení potenciálních vlivů OP PIK na životní prostředí a veřejné zdraví je předmětem samostatného procesu SEA.</w:t>
            </w:r>
          </w:p>
        </w:tc>
      </w:tr>
      <w:tr w:rsidR="000B3B82" w:rsidTr="002D380B">
        <w:tc>
          <w:tcPr>
            <w:tcW w:w="9210" w:type="dxa"/>
          </w:tcPr>
          <w:p w:rsidR="000B3B82" w:rsidRPr="006D2522" w:rsidRDefault="000B3B82" w:rsidP="000B3B82">
            <w:pPr>
              <w:numPr>
                <w:ilvl w:val="0"/>
                <w:numId w:val="38"/>
              </w:numPr>
              <w:spacing w:after="120"/>
              <w:rPr>
                <w:rFonts w:eastAsia="Calibri" w:cs="Times New Roman"/>
                <w:i/>
              </w:rPr>
            </w:pPr>
            <w:r w:rsidRPr="006D2522">
              <w:rPr>
                <w:rFonts w:eastAsia="Calibri" w:cs="Times New Roman"/>
                <w:i/>
              </w:rPr>
              <w:t xml:space="preserve">Opatření ke snižování administrativní zátěže příjemců 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Dle názoru hodnotitele jsou o</w:t>
            </w:r>
            <w:r w:rsidRPr="00897B17">
              <w:rPr>
                <w:rFonts w:eastAsia="Calibri" w:cs="Times New Roman"/>
              </w:rPr>
              <w:t>patření ke snižování administrativní zátěže příjemců</w:t>
            </w:r>
            <w:r>
              <w:rPr>
                <w:rFonts w:eastAsia="Calibri" w:cs="Times New Roman"/>
              </w:rPr>
              <w:t xml:space="preserve"> popsána v textu operačního programu dostatečným způsobem.</w:t>
            </w:r>
          </w:p>
          <w:p w:rsidR="000B3B82" w:rsidRDefault="000B3B82" w:rsidP="002D380B">
            <w:pPr>
              <w:spacing w:after="120"/>
              <w:ind w:left="3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Zásadní</w:t>
            </w:r>
            <w:r w:rsidRPr="0014709B">
              <w:rPr>
                <w:rFonts w:eastAsia="Calibri" w:cs="Times New Roman"/>
              </w:rPr>
              <w:t xml:space="preserve"> předpoklad</w:t>
            </w:r>
            <w:r>
              <w:rPr>
                <w:rFonts w:eastAsia="Calibri" w:cs="Times New Roman"/>
              </w:rPr>
              <w:t>y</w:t>
            </w:r>
            <w:r w:rsidRPr="0014709B">
              <w:rPr>
                <w:rFonts w:eastAsia="Calibri" w:cs="Times New Roman"/>
              </w:rPr>
              <w:t xml:space="preserve"> pro splnění cíle minimalizovat administrativní zátěž pro příjemce </w:t>
            </w:r>
            <w:r>
              <w:rPr>
                <w:rFonts w:eastAsia="Calibri" w:cs="Times New Roman"/>
              </w:rPr>
              <w:t>jsou</w:t>
            </w:r>
            <w:r w:rsidRPr="0014709B">
              <w:rPr>
                <w:rFonts w:eastAsia="Calibri" w:cs="Times New Roman"/>
              </w:rPr>
              <w:t xml:space="preserve"> dle názoru hodnotitele</w:t>
            </w:r>
            <w:r>
              <w:rPr>
                <w:rFonts w:eastAsia="Calibri" w:cs="Times New Roman"/>
              </w:rPr>
              <w:t xml:space="preserve"> následující:</w:t>
            </w:r>
          </w:p>
          <w:p w:rsidR="000B3B82" w:rsidRPr="00BD4610" w:rsidRDefault="000B3B82" w:rsidP="000B3B82">
            <w:pPr>
              <w:pStyle w:val="Odstavecseseznamem"/>
              <w:numPr>
                <w:ilvl w:val="0"/>
                <w:numId w:val="43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BD4610">
              <w:rPr>
                <w:rFonts w:ascii="Tahoma" w:hAnsi="Tahoma" w:cs="Tahoma"/>
                <w:sz w:val="20"/>
                <w:szCs w:val="20"/>
              </w:rPr>
              <w:t>lně funkční a optimálně nastavený monitorovací systém, který bude propojený s dalšími informačními systémy ve veřejné správě. Stávající monitorovací systém používaný ŘO OPPI (ISOP</w:t>
            </w:r>
            <w:r>
              <w:rPr>
                <w:rFonts w:ascii="Tahoma" w:hAnsi="Tahoma" w:cs="Tahoma"/>
                <w:sz w:val="20"/>
                <w:szCs w:val="20"/>
              </w:rPr>
              <w:t>7-13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) tento předpoklad již splňuje. Ovšem je zatím nejasné, jak budou požadované funkcionality zajištěny v novém jednotném monitorovacím systému MS2014+ a kdy vůbec bude této systém plně provozuschopný. Vzhledem k tomu, že se </w:t>
            </w:r>
            <w:r>
              <w:rPr>
                <w:rFonts w:ascii="Tahoma" w:hAnsi="Tahoma" w:cs="Tahoma"/>
                <w:sz w:val="20"/>
                <w:szCs w:val="20"/>
              </w:rPr>
              <w:t xml:space="preserve">ČR 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aktuálně nachází již v prvním roce nového programovacího období, je současný stav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poněkud 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alarmující. 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BD4610">
              <w:rPr>
                <w:rFonts w:ascii="Tahoma" w:hAnsi="Tahoma" w:cs="Tahoma"/>
                <w:sz w:val="20"/>
                <w:szCs w:val="20"/>
              </w:rPr>
              <w:t>oporučení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hodnotitele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této souvislosti je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 xml:space="preserve">seriozně zvážit možnost </w:t>
            </w:r>
            <w:r w:rsidRPr="00BD4610">
              <w:rPr>
                <w:rFonts w:ascii="Tahoma" w:hAnsi="Tahoma" w:cs="Tahoma"/>
                <w:sz w:val="20"/>
                <w:szCs w:val="20"/>
              </w:rPr>
              <w:t>zachov</w:t>
            </w:r>
            <w:r>
              <w:rPr>
                <w:rFonts w:ascii="Tahoma" w:hAnsi="Tahoma" w:cs="Tahoma"/>
                <w:sz w:val="20"/>
                <w:szCs w:val="20"/>
              </w:rPr>
              <w:t xml:space="preserve">ání </w:t>
            </w:r>
            <w:r w:rsidRPr="00BD4610">
              <w:rPr>
                <w:rFonts w:ascii="Tahoma" w:hAnsi="Tahoma" w:cs="Tahoma"/>
                <w:sz w:val="20"/>
                <w:szCs w:val="20"/>
              </w:rPr>
              <w:t>stávající</w:t>
            </w:r>
            <w:r>
              <w:rPr>
                <w:rFonts w:ascii="Tahoma" w:hAnsi="Tahoma" w:cs="Tahoma"/>
                <w:sz w:val="20"/>
                <w:szCs w:val="20"/>
              </w:rPr>
              <w:t>ho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informační</w:t>
            </w:r>
            <w:r>
              <w:rPr>
                <w:rFonts w:ascii="Tahoma" w:hAnsi="Tahoma" w:cs="Tahoma"/>
                <w:sz w:val="20"/>
                <w:szCs w:val="20"/>
              </w:rPr>
              <w:t>ho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systém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ISOP včetně uživatelské aplikace </w:t>
            </w:r>
            <w:proofErr w:type="spellStart"/>
            <w:r w:rsidRPr="00BD4610">
              <w:rPr>
                <w:rFonts w:ascii="Tahoma" w:hAnsi="Tahoma" w:cs="Tahoma"/>
                <w:sz w:val="20"/>
                <w:szCs w:val="20"/>
              </w:rPr>
              <w:t>eAccount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pro potřeby OP PIK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s tím, že by samozřejmě bylo vytvoř</w:t>
            </w:r>
            <w:r>
              <w:rPr>
                <w:rFonts w:ascii="Tahoma" w:hAnsi="Tahoma" w:cs="Tahoma"/>
                <w:sz w:val="20"/>
                <w:szCs w:val="20"/>
              </w:rPr>
              <w:t>eno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příslušné rozhraní pro komunikaci s novým MS2014+. Tímto opatřením by zároveň bylo eliminováno riziko zvýšené administrativní zátěže pro příjemce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v 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OP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PIK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, kteří by nebyli nuceni se seznamovat se zcela novým </w:t>
            </w:r>
            <w:r>
              <w:rPr>
                <w:rFonts w:ascii="Tahoma" w:hAnsi="Tahoma" w:cs="Tahoma"/>
                <w:sz w:val="20"/>
                <w:szCs w:val="20"/>
              </w:rPr>
              <w:t>uživatelským</w:t>
            </w:r>
            <w:r w:rsidRPr="00BD4610">
              <w:rPr>
                <w:rFonts w:ascii="Tahoma" w:hAnsi="Tahoma" w:cs="Tahoma"/>
                <w:sz w:val="20"/>
                <w:szCs w:val="20"/>
              </w:rPr>
              <w:t xml:space="preserve"> prostředím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mohli by i nadále efektivně využívat své zkušenosti s aplikací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eAccount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která je mezi příjemci i pracovníky implementační struktury obecně hodnocena velmi pozitivně.</w:t>
            </w:r>
          </w:p>
          <w:p w:rsidR="000B3B82" w:rsidRPr="00BD4610" w:rsidRDefault="000B3B82" w:rsidP="000B3B82">
            <w:pPr>
              <w:pStyle w:val="Odstavecseseznamem"/>
              <w:numPr>
                <w:ilvl w:val="0"/>
                <w:numId w:val="43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BD4610">
              <w:rPr>
                <w:rFonts w:ascii="Tahoma" w:hAnsi="Tahoma" w:cs="Tahoma"/>
                <w:sz w:val="20"/>
                <w:szCs w:val="20"/>
              </w:rPr>
              <w:t>ýrazné zjednodušení administrativních pravidel pro příjemce, zejména pravidel pro výběr dodavatelů. Dle signálů z podnikatelského prostředí, které hodnotitel zaznamenává, se již samotné snížení intenzity veřejné podpory výrazně negativně promítá do zájmu potencionálních žadatelů. Další zhoršení/ztížení podmínek pro realizaci projektů způsobené složitou administrativou by pak mohlo mít již zcela zásadní negativní dopad na absorpční kapacitu programu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BD4610" w:rsidRDefault="000B3B82" w:rsidP="000B3B82">
            <w:pPr>
              <w:pStyle w:val="Odstavecseseznamem"/>
              <w:numPr>
                <w:ilvl w:val="0"/>
                <w:numId w:val="43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Dostatečná </w:t>
            </w:r>
            <w:r w:rsidRPr="00BD1C90">
              <w:rPr>
                <w:rFonts w:ascii="Tahoma" w:hAnsi="Tahoma" w:cs="Tahoma"/>
                <w:sz w:val="20"/>
                <w:szCs w:val="20"/>
              </w:rPr>
              <w:t>informovanost žadatelů a příjemců o všech povinnostech v souvislosti s realizací projektů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B3B82" w:rsidRPr="00842D86" w:rsidRDefault="000B3B82" w:rsidP="000B3B82">
            <w:pPr>
              <w:pStyle w:val="Odstavecseseznamem"/>
              <w:numPr>
                <w:ilvl w:val="0"/>
                <w:numId w:val="43"/>
              </w:numPr>
              <w:spacing w:after="12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Sjednocení přístupů</w:t>
            </w:r>
            <w:r w:rsidRPr="00902079">
              <w:rPr>
                <w:rFonts w:ascii="Tahoma" w:hAnsi="Tahoma" w:cs="Tahoma"/>
                <w:sz w:val="20"/>
                <w:szCs w:val="20"/>
              </w:rPr>
              <w:t xml:space="preserve"> finančních úřadů a dalších kontrolních institucí </w:t>
            </w:r>
            <w:r>
              <w:rPr>
                <w:rFonts w:ascii="Tahoma" w:hAnsi="Tahoma" w:cs="Tahoma"/>
                <w:sz w:val="20"/>
                <w:szCs w:val="20"/>
              </w:rPr>
              <w:t xml:space="preserve">ke kontrolám projektů a </w:t>
            </w:r>
            <w:r w:rsidRPr="00902079">
              <w:rPr>
                <w:rFonts w:ascii="Tahoma" w:hAnsi="Tahoma" w:cs="Tahoma"/>
                <w:sz w:val="20"/>
                <w:szCs w:val="20"/>
              </w:rPr>
              <w:t>vhodn</w:t>
            </w:r>
            <w:r>
              <w:rPr>
                <w:rFonts w:ascii="Tahoma" w:hAnsi="Tahoma" w:cs="Tahoma"/>
                <w:sz w:val="20"/>
                <w:szCs w:val="20"/>
              </w:rPr>
              <w:t>ě</w:t>
            </w:r>
            <w:r w:rsidRPr="00902079">
              <w:rPr>
                <w:rFonts w:ascii="Tahoma" w:hAnsi="Tahoma" w:cs="Tahoma"/>
                <w:sz w:val="20"/>
                <w:szCs w:val="20"/>
              </w:rPr>
              <w:t xml:space="preserve"> nastavený, přehledný systém sankcí za porušení povinností příjemce podpory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0B3B82" w:rsidRPr="00004641" w:rsidRDefault="000B3B82" w:rsidP="000B3B82">
      <w:pPr>
        <w:spacing w:after="120"/>
      </w:pPr>
    </w:p>
    <w:p w:rsidR="000B3B82" w:rsidRPr="0072711D" w:rsidRDefault="000B3B82" w:rsidP="000B3B82">
      <w:pPr>
        <w:spacing w:after="120"/>
        <w:rPr>
          <w:rFonts w:eastAsia="Calibri" w:cs="Times New Roman"/>
        </w:rPr>
      </w:pPr>
      <w:r w:rsidRPr="0072711D">
        <w:rPr>
          <w:rFonts w:eastAsia="Calibri" w:cs="Times New Roman"/>
        </w:rPr>
        <w:t xml:space="preserve">Hodnotitel konstatuje, že </w:t>
      </w:r>
      <w:r>
        <w:t>předmětná pracovní</w:t>
      </w:r>
      <w:r w:rsidRPr="0072711D">
        <w:t xml:space="preserve"> verze OP PIK </w:t>
      </w:r>
      <w:r w:rsidRPr="0072711D">
        <w:rPr>
          <w:rFonts w:eastAsia="Calibri" w:cs="Times New Roman"/>
        </w:rPr>
        <w:t xml:space="preserve">představuje relativně vyrovnaný dokument, který lze považovat za vhodný podklad pro řešení </w:t>
      </w:r>
      <w:r w:rsidRPr="0072711D">
        <w:t xml:space="preserve">vybraných </w:t>
      </w:r>
      <w:r w:rsidRPr="0072711D">
        <w:rPr>
          <w:rFonts w:eastAsia="Calibri" w:cs="Times New Roman"/>
        </w:rPr>
        <w:t xml:space="preserve">problémových oblastí </w:t>
      </w:r>
      <w:proofErr w:type="spellStart"/>
      <w:r w:rsidRPr="0072711D">
        <w:t>DoP</w:t>
      </w:r>
      <w:proofErr w:type="spellEnd"/>
      <w:r w:rsidRPr="0072711D">
        <w:t xml:space="preserve">, zejména </w:t>
      </w:r>
      <w:r w:rsidRPr="0072711D">
        <w:rPr>
          <w:i/>
        </w:rPr>
        <w:t xml:space="preserve">Výzkumný a inovační systém, Konkurenceschopné podniky, ICT infrastruktura </w:t>
      </w:r>
      <w:r w:rsidRPr="0072711D">
        <w:t>a</w:t>
      </w:r>
      <w:r w:rsidRPr="0072711D">
        <w:rPr>
          <w:i/>
        </w:rPr>
        <w:t xml:space="preserve"> Energetická infrastruktura</w:t>
      </w:r>
      <w:r w:rsidRPr="0072711D">
        <w:t xml:space="preserve">.  </w:t>
      </w:r>
      <w:r w:rsidRPr="0072711D">
        <w:rPr>
          <w:rFonts w:eastAsia="Calibri" w:cs="Times New Roman"/>
        </w:rPr>
        <w:t xml:space="preserve"> </w:t>
      </w:r>
    </w:p>
    <w:p w:rsidR="000B3B82" w:rsidRPr="0072711D" w:rsidRDefault="000B3B82" w:rsidP="000B3B82">
      <w:pPr>
        <w:spacing w:after="120"/>
        <w:rPr>
          <w:rFonts w:eastAsia="Calibri" w:cs="Times New Roman"/>
        </w:rPr>
      </w:pPr>
      <w:r w:rsidRPr="0072711D">
        <w:rPr>
          <w:rFonts w:eastAsia="Calibri" w:cs="Times New Roman"/>
        </w:rPr>
        <w:t xml:space="preserve">V průběhu ex-ante hodnocení došlo v programu k některým důležitým změnám, které posunuly program do uceleného a z velké části utříděného programu, který lze </w:t>
      </w:r>
      <w:r w:rsidRPr="009E5BE4">
        <w:rPr>
          <w:rFonts w:eastAsia="Calibri" w:cs="Times New Roman"/>
        </w:rPr>
        <w:t xml:space="preserve">v této verzi </w:t>
      </w:r>
      <w:r w:rsidRPr="0072711D">
        <w:rPr>
          <w:rFonts w:eastAsia="Calibri" w:cs="Times New Roman"/>
        </w:rPr>
        <w:t xml:space="preserve">označit za dokument, který by z národní úrovně mohl napomoci k růstu konkurenceschopné ekonomiky založené na znalostech a inovacích a méně náročné na zdroje. </w:t>
      </w:r>
    </w:p>
    <w:p w:rsidR="000B3B82" w:rsidRPr="0072711D" w:rsidRDefault="000B3B82" w:rsidP="000B3B82">
      <w:pPr>
        <w:spacing w:after="120"/>
        <w:rPr>
          <w:rFonts w:eastAsia="Calibri" w:cs="Times New Roman"/>
        </w:rPr>
      </w:pPr>
      <w:r w:rsidRPr="0072711D">
        <w:rPr>
          <w:rFonts w:eastAsia="Calibri" w:cs="Times New Roman"/>
        </w:rPr>
        <w:t>Přestože celý program doznal podstatných pozitivních změn, v </w:t>
      </w:r>
      <w:r w:rsidRPr="005F1E32">
        <w:rPr>
          <w:rFonts w:eastAsia="Calibri" w:cs="Times New Roman"/>
        </w:rPr>
        <w:t>program</w:t>
      </w:r>
      <w:r w:rsidRPr="009E5BE4">
        <w:rPr>
          <w:rFonts w:eastAsia="Calibri" w:cs="Times New Roman"/>
        </w:rPr>
        <w:t>u podle hodnotitele p</w:t>
      </w:r>
      <w:r w:rsidRPr="009E5BE4">
        <w:rPr>
          <w:rFonts w:eastAsia="Calibri" w:cs="Times New Roman" w:hint="eastAsia"/>
        </w:rPr>
        <w:t>ř</w:t>
      </w:r>
      <w:r w:rsidRPr="009E5BE4">
        <w:rPr>
          <w:rFonts w:eastAsia="Calibri" w:cs="Times New Roman"/>
        </w:rPr>
        <w:t>etrvávají ješt</w:t>
      </w:r>
      <w:r w:rsidRPr="009E5BE4">
        <w:rPr>
          <w:rFonts w:eastAsia="Calibri" w:cs="Times New Roman" w:hint="eastAsia"/>
        </w:rPr>
        <w:t>ě</w:t>
      </w:r>
      <w:r w:rsidRPr="009E5BE4">
        <w:rPr>
          <w:rFonts w:eastAsia="Calibri" w:cs="Times New Roman"/>
        </w:rPr>
        <w:t xml:space="preserve"> n</w:t>
      </w:r>
      <w:r w:rsidRPr="009E5BE4">
        <w:rPr>
          <w:rFonts w:eastAsia="Calibri" w:cs="Times New Roman" w:hint="eastAsia"/>
        </w:rPr>
        <w:t>ě</w:t>
      </w:r>
      <w:r w:rsidRPr="009E5BE4">
        <w:rPr>
          <w:rFonts w:eastAsia="Calibri" w:cs="Times New Roman"/>
        </w:rPr>
        <w:t>která témata, která by m</w:t>
      </w:r>
      <w:r w:rsidRPr="009E5BE4">
        <w:rPr>
          <w:rFonts w:eastAsia="Calibri" w:cs="Times New Roman" w:hint="eastAsia"/>
        </w:rPr>
        <w:t>ě</w:t>
      </w:r>
      <w:r w:rsidRPr="009E5BE4">
        <w:rPr>
          <w:rFonts w:eastAsia="Calibri" w:cs="Times New Roman"/>
        </w:rPr>
        <w:t>la být v dalších fázích tvorby programu ješt</w:t>
      </w:r>
      <w:r w:rsidRPr="009E5BE4">
        <w:rPr>
          <w:rFonts w:eastAsia="Calibri" w:cs="Times New Roman" w:hint="eastAsia"/>
        </w:rPr>
        <w:t>ě</w:t>
      </w:r>
      <w:r w:rsidRPr="009E5BE4">
        <w:rPr>
          <w:rFonts w:eastAsia="Calibri" w:cs="Times New Roman"/>
        </w:rPr>
        <w:t xml:space="preserve"> </w:t>
      </w:r>
      <w:r w:rsidRPr="009E5BE4">
        <w:rPr>
          <w:rFonts w:eastAsia="Calibri" w:cs="Times New Roman" w:hint="eastAsia"/>
        </w:rPr>
        <w:t>ř</w:t>
      </w:r>
      <w:r w:rsidRPr="009E5BE4">
        <w:rPr>
          <w:rFonts w:eastAsia="Calibri" w:cs="Times New Roman"/>
        </w:rPr>
        <w:t xml:space="preserve">ešena. </w:t>
      </w:r>
      <w:r w:rsidRPr="0072711D">
        <w:rPr>
          <w:rFonts w:eastAsia="Calibri" w:cs="Times New Roman"/>
        </w:rPr>
        <w:t xml:space="preserve">Hodnotitel proto </w:t>
      </w:r>
      <w:r w:rsidRPr="0072711D">
        <w:rPr>
          <w:rFonts w:eastAsia="Calibri" w:cs="Times New Roman"/>
          <w:u w:val="single"/>
        </w:rPr>
        <w:t>doporučuje</w:t>
      </w:r>
      <w:r w:rsidRPr="0072711D">
        <w:rPr>
          <w:rFonts w:eastAsia="Calibri" w:cs="Times New Roman"/>
        </w:rPr>
        <w:t xml:space="preserve"> zejména následující:</w:t>
      </w:r>
    </w:p>
    <w:p w:rsidR="000B3B82" w:rsidRPr="00E65272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>Z</w:t>
      </w:r>
      <w:r w:rsidRPr="00E65272">
        <w:rPr>
          <w:rFonts w:eastAsia="Calibri" w:cs="Times New Roman"/>
        </w:rPr>
        <w:t xml:space="preserve">vážit </w:t>
      </w:r>
      <w:r>
        <w:rPr>
          <w:rFonts w:eastAsia="Calibri" w:cs="Times New Roman"/>
        </w:rPr>
        <w:t>případnou další</w:t>
      </w:r>
      <w:r w:rsidRPr="00E65272">
        <w:rPr>
          <w:rFonts w:eastAsia="Calibri" w:cs="Times New Roman"/>
        </w:rPr>
        <w:t xml:space="preserve"> koncentraci OP PIK</w:t>
      </w:r>
      <w:r>
        <w:rPr>
          <w:rFonts w:eastAsia="Calibri" w:cs="Times New Roman"/>
        </w:rPr>
        <w:t xml:space="preserve"> na podporu klíčových aktivit pro řešení hlavních problémů a potřeb, na řešení specifických územních potřeb a také v návaznosti na výsledky vyjednávání </w:t>
      </w:r>
      <w:proofErr w:type="spellStart"/>
      <w:r>
        <w:rPr>
          <w:rFonts w:eastAsia="Calibri" w:cs="Times New Roman"/>
        </w:rPr>
        <w:t>DoP.</w:t>
      </w:r>
      <w:proofErr w:type="spellEnd"/>
      <w:r>
        <w:rPr>
          <w:rFonts w:eastAsia="Calibri" w:cs="Times New Roman"/>
        </w:rPr>
        <w:t xml:space="preserve"> </w:t>
      </w:r>
      <w:r w:rsidRPr="00E65272">
        <w:rPr>
          <w:rFonts w:eastAsia="Calibri" w:cs="Times New Roman"/>
        </w:rPr>
        <w:t xml:space="preserve"> </w:t>
      </w:r>
    </w:p>
    <w:p w:rsidR="000B3B82" w:rsidRPr="00026F54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 xml:space="preserve">Doplnit </w:t>
      </w:r>
      <w:r w:rsidRPr="00026F54">
        <w:rPr>
          <w:rFonts w:eastAsia="Calibri" w:cs="Times New Roman"/>
        </w:rPr>
        <w:t>pop</w:t>
      </w:r>
      <w:r>
        <w:rPr>
          <w:rFonts w:eastAsia="Calibri" w:cs="Times New Roman"/>
        </w:rPr>
        <w:t>i</w:t>
      </w:r>
      <w:r w:rsidRPr="00026F54">
        <w:rPr>
          <w:rFonts w:eastAsia="Calibri" w:cs="Times New Roman"/>
        </w:rPr>
        <w:t>s výsledk</w:t>
      </w:r>
      <w:r>
        <w:rPr>
          <w:rFonts w:eastAsia="Calibri" w:cs="Times New Roman"/>
        </w:rPr>
        <w:t>ů</w:t>
      </w:r>
      <w:r w:rsidRPr="00026F54">
        <w:rPr>
          <w:rFonts w:eastAsia="Calibri" w:cs="Times New Roman"/>
        </w:rPr>
        <w:t xml:space="preserve"> a zkušenost</w:t>
      </w:r>
      <w:r>
        <w:rPr>
          <w:rFonts w:eastAsia="Calibri" w:cs="Times New Roman"/>
        </w:rPr>
        <w:t>í</w:t>
      </w:r>
      <w:r w:rsidRPr="00026F54">
        <w:rPr>
          <w:rFonts w:eastAsia="Calibri" w:cs="Times New Roman"/>
        </w:rPr>
        <w:t xml:space="preserve"> z programov</w:t>
      </w:r>
      <w:r>
        <w:rPr>
          <w:rFonts w:eastAsia="Calibri" w:cs="Times New Roman"/>
        </w:rPr>
        <w:t>acího</w:t>
      </w:r>
      <w:r w:rsidRPr="00026F54">
        <w:rPr>
          <w:rFonts w:eastAsia="Calibri" w:cs="Times New Roman"/>
        </w:rPr>
        <w:t xml:space="preserve"> období 2007</w:t>
      </w:r>
      <w:r>
        <w:rPr>
          <w:rFonts w:eastAsia="Calibri" w:cs="Times New Roman"/>
        </w:rPr>
        <w:t xml:space="preserve"> </w:t>
      </w:r>
      <w:r w:rsidRPr="00026F54">
        <w:rPr>
          <w:rFonts w:eastAsia="Calibri" w:cs="Times New Roman"/>
        </w:rPr>
        <w:t>–</w:t>
      </w:r>
      <w:r>
        <w:rPr>
          <w:rFonts w:eastAsia="Calibri" w:cs="Times New Roman"/>
        </w:rPr>
        <w:t xml:space="preserve"> </w:t>
      </w:r>
      <w:r w:rsidRPr="00026F54">
        <w:rPr>
          <w:rFonts w:eastAsia="Calibri" w:cs="Times New Roman"/>
        </w:rPr>
        <w:t>2013 a v návaznosti na ně zdůraznit „posuny“ OP PIK vůči OPPI</w:t>
      </w:r>
      <w:r>
        <w:rPr>
          <w:rFonts w:eastAsia="Calibri" w:cs="Times New Roman"/>
        </w:rPr>
        <w:t>. Toto téma je plánováno k rozpracování v rámci nepovinné přílohy č. 2 k </w:t>
      </w:r>
      <w:proofErr w:type="gramStart"/>
      <w:r>
        <w:rPr>
          <w:rFonts w:eastAsia="Calibri" w:cs="Times New Roman"/>
        </w:rPr>
        <w:t>OP</w:t>
      </w:r>
      <w:proofErr w:type="gramEnd"/>
      <w:r>
        <w:rPr>
          <w:rFonts w:eastAsia="Calibri" w:cs="Times New Roman"/>
        </w:rPr>
        <w:t xml:space="preserve"> PIK, nicméně v hodnocené verzi OP PIK zatím vlastní text přílohy chyběl</w:t>
      </w:r>
      <w:r w:rsidRPr="00026F54">
        <w:rPr>
          <w:rFonts w:eastAsia="Calibri" w:cs="Times New Roman"/>
        </w:rPr>
        <w:t xml:space="preserve">. </w:t>
      </w:r>
    </w:p>
    <w:p w:rsidR="000B3B82" w:rsidRPr="00026F54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 xml:space="preserve">U jednotlivých specifických cílů OP PIK identifikovat </w:t>
      </w:r>
      <w:r w:rsidRPr="00026F54">
        <w:rPr>
          <w:rFonts w:eastAsia="Calibri" w:cs="Times New Roman"/>
        </w:rPr>
        <w:t>další faktor</w:t>
      </w:r>
      <w:r>
        <w:rPr>
          <w:rFonts w:eastAsia="Calibri" w:cs="Times New Roman"/>
        </w:rPr>
        <w:t>y/opatření</w:t>
      </w:r>
      <w:r w:rsidRPr="00026F54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mimo operační program </w:t>
      </w:r>
      <w:bookmarkStart w:id="13" w:name="_GoBack"/>
      <w:bookmarkEnd w:id="13"/>
      <w:r w:rsidRPr="00026F54">
        <w:rPr>
          <w:rFonts w:eastAsia="Calibri" w:cs="Times New Roman"/>
        </w:rPr>
        <w:t>ovlivňující</w:t>
      </w:r>
      <w:r>
        <w:rPr>
          <w:rFonts w:eastAsia="Calibri" w:cs="Times New Roman"/>
        </w:rPr>
        <w:t xml:space="preserve"> a podmiňující jejich </w:t>
      </w:r>
      <w:r w:rsidRPr="00026F54">
        <w:rPr>
          <w:rFonts w:eastAsia="Calibri" w:cs="Times New Roman"/>
        </w:rPr>
        <w:t xml:space="preserve">dosažitelnost.      </w:t>
      </w:r>
    </w:p>
    <w:p w:rsidR="000B3B82" w:rsidRPr="00487A9D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>Na rámec již identifikovaných d</w:t>
      </w:r>
      <w:r w:rsidRPr="00487A9D">
        <w:rPr>
          <w:rFonts w:eastAsia="Calibri" w:cs="Times New Roman"/>
        </w:rPr>
        <w:t>oplnit popisy dalších žádoucích komplementarit a synergií mezi prioritními osami a specifickými cíli OP PIK.</w:t>
      </w:r>
    </w:p>
    <w:p w:rsidR="000B3B82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 w:rsidRPr="00026F54">
        <w:rPr>
          <w:rFonts w:eastAsia="Calibri" w:cs="Times New Roman"/>
        </w:rPr>
        <w:t>Zpřesnit intervenční logiku programu ve smyslu</w:t>
      </w:r>
      <w:r>
        <w:rPr>
          <w:rFonts w:eastAsia="Calibri" w:cs="Times New Roman"/>
        </w:rPr>
        <w:t xml:space="preserve"> provést </w:t>
      </w:r>
      <w:r w:rsidRPr="00026F54">
        <w:rPr>
          <w:rFonts w:eastAsia="Calibri" w:cs="Times New Roman"/>
        </w:rPr>
        <w:t>reviz</w:t>
      </w:r>
      <w:r>
        <w:rPr>
          <w:rFonts w:eastAsia="Calibri" w:cs="Times New Roman"/>
        </w:rPr>
        <w:t>i</w:t>
      </w:r>
      <w:r w:rsidRPr="00026F54">
        <w:rPr>
          <w:rFonts w:eastAsia="Calibri" w:cs="Times New Roman"/>
        </w:rPr>
        <w:t xml:space="preserve"> popsaných </w:t>
      </w:r>
      <w:r>
        <w:rPr>
          <w:rFonts w:eastAsia="Calibri" w:cs="Times New Roman"/>
        </w:rPr>
        <w:t>„V</w:t>
      </w:r>
      <w:r w:rsidRPr="00026F54">
        <w:rPr>
          <w:rFonts w:eastAsia="Calibri" w:cs="Times New Roman"/>
        </w:rPr>
        <w:t>ýsledků, kterých chce ČR dosáhnout s podporou Unie</w:t>
      </w:r>
      <w:r>
        <w:rPr>
          <w:rFonts w:eastAsia="Calibri" w:cs="Times New Roman"/>
        </w:rPr>
        <w:t>“</w:t>
      </w:r>
      <w:r w:rsidRPr="00026F54">
        <w:rPr>
          <w:rFonts w:eastAsia="Calibri" w:cs="Times New Roman"/>
        </w:rPr>
        <w:t xml:space="preserve"> a odlišit skutečně dosažitelné (reálné) výsledky od širších socioekonomických cílů a dalších potenci</w:t>
      </w:r>
      <w:r>
        <w:rPr>
          <w:rFonts w:eastAsia="Calibri" w:cs="Times New Roman"/>
        </w:rPr>
        <w:t>onálních multiplikačních efektů.</w:t>
      </w:r>
    </w:p>
    <w:p w:rsidR="000B3B82" w:rsidRPr="00026F54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>V navazující řídící dokumentaci k </w:t>
      </w:r>
      <w:proofErr w:type="gramStart"/>
      <w:r>
        <w:rPr>
          <w:rFonts w:eastAsia="Calibri" w:cs="Times New Roman"/>
        </w:rPr>
        <w:t>OP</w:t>
      </w:r>
      <w:proofErr w:type="gramEnd"/>
      <w:r>
        <w:rPr>
          <w:rFonts w:eastAsia="Calibri" w:cs="Times New Roman"/>
        </w:rPr>
        <w:t xml:space="preserve"> PIK detailně popsat </w:t>
      </w:r>
      <w:r w:rsidRPr="00026F54">
        <w:rPr>
          <w:rFonts w:eastAsia="Calibri" w:cs="Times New Roman"/>
        </w:rPr>
        <w:t>postupy monitorování programu a shromažďování dat nezbytných k provádění evaluací k posouzení účinnosti, účelnosti a dopadu operačního programu.</w:t>
      </w:r>
    </w:p>
    <w:p w:rsidR="00151046" w:rsidRPr="00026F54" w:rsidRDefault="000B3B82" w:rsidP="000B3B82">
      <w:pPr>
        <w:numPr>
          <w:ilvl w:val="0"/>
          <w:numId w:val="32"/>
        </w:numPr>
        <w:spacing w:after="120"/>
        <w:rPr>
          <w:rFonts w:eastAsia="Calibri" w:cs="Times New Roman"/>
        </w:rPr>
      </w:pPr>
      <w:r>
        <w:rPr>
          <w:rFonts w:eastAsia="Calibri" w:cs="Times New Roman"/>
        </w:rPr>
        <w:t>Provést důkladnou analýzu</w:t>
      </w:r>
      <w:r w:rsidRPr="00026F54">
        <w:rPr>
          <w:rFonts w:eastAsia="Calibri" w:cs="Times New Roman"/>
        </w:rPr>
        <w:t xml:space="preserve"> administrativní kapacity pro řízení programu</w:t>
      </w:r>
      <w:r>
        <w:rPr>
          <w:rFonts w:eastAsia="Calibri" w:cs="Times New Roman"/>
        </w:rPr>
        <w:t xml:space="preserve"> a v návaznosti na výsledná zjištění přijmout potřebná opatření</w:t>
      </w:r>
      <w:r w:rsidRPr="00026F54">
        <w:rPr>
          <w:rFonts w:eastAsia="Calibri" w:cs="Times New Roman"/>
        </w:rPr>
        <w:t>.</w:t>
      </w:r>
    </w:p>
    <w:p w:rsidR="00C50268" w:rsidRDefault="00C50268" w:rsidP="00C50268">
      <w:pPr>
        <w:spacing w:after="120"/>
        <w:rPr>
          <w:highlight w:val="yellow"/>
        </w:rPr>
      </w:pPr>
      <w:r>
        <w:rPr>
          <w:rFonts w:eastAsia="Calibri" w:cs="Times New Roman"/>
        </w:rPr>
        <w:t xml:space="preserve"> </w:t>
      </w:r>
    </w:p>
    <w:p w:rsidR="00151046" w:rsidRDefault="00151046" w:rsidP="00151046">
      <w:pPr>
        <w:spacing w:after="120"/>
        <w:rPr>
          <w:highlight w:val="yellow"/>
        </w:rPr>
      </w:pPr>
      <w:r>
        <w:rPr>
          <w:rFonts w:eastAsia="Calibri" w:cs="Times New Roman"/>
        </w:rPr>
        <w:t xml:space="preserve"> </w:t>
      </w:r>
    </w:p>
    <w:p w:rsidR="00702961" w:rsidRDefault="00702961" w:rsidP="00151046">
      <w:pPr>
        <w:pStyle w:val="Odstavecseseznamem"/>
        <w:spacing w:after="120"/>
        <w:ind w:left="714"/>
        <w:rPr>
          <w:rFonts w:ascii="Tahoma" w:hAnsi="Tahoma" w:cs="Tahoma"/>
          <w:sz w:val="20"/>
          <w:szCs w:val="20"/>
        </w:rPr>
      </w:pPr>
    </w:p>
    <w:p w:rsidR="00704E86" w:rsidRDefault="00704E86" w:rsidP="00BB09C4">
      <w:pPr>
        <w:spacing w:after="120"/>
        <w:rPr>
          <w:highlight w:val="yellow"/>
        </w:rPr>
      </w:pPr>
    </w:p>
    <w:p w:rsidR="00704E86" w:rsidRDefault="00704E86" w:rsidP="00BB09C4">
      <w:pPr>
        <w:spacing w:after="120"/>
        <w:rPr>
          <w:highlight w:val="yellow"/>
        </w:rPr>
      </w:pPr>
    </w:p>
    <w:p w:rsidR="00704E86" w:rsidRDefault="00704E86" w:rsidP="00BB09C4">
      <w:pPr>
        <w:spacing w:after="120"/>
        <w:rPr>
          <w:highlight w:val="yellow"/>
        </w:rPr>
      </w:pPr>
    </w:p>
    <w:sectPr w:rsidR="00704E86" w:rsidSect="00161939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55141B" w15:done="0"/>
  <w15:commentEx w15:paraId="531632B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845" w:rsidRDefault="00484845" w:rsidP="0028641A">
      <w:r>
        <w:separator/>
      </w:r>
    </w:p>
  </w:endnote>
  <w:endnote w:type="continuationSeparator" w:id="0">
    <w:p w:rsidR="00484845" w:rsidRDefault="00484845" w:rsidP="00286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9890373"/>
      <w:docPartObj>
        <w:docPartGallery w:val="Page Numbers (Bottom of Page)"/>
        <w:docPartUnique/>
      </w:docPartObj>
    </w:sdtPr>
    <w:sdtContent>
      <w:p w:rsidR="00161939" w:rsidRPr="00161939" w:rsidRDefault="00B12008">
        <w:pPr>
          <w:pStyle w:val="Zpat"/>
          <w:jc w:val="center"/>
          <w:rPr>
            <w:sz w:val="18"/>
            <w:szCs w:val="18"/>
          </w:rPr>
        </w:pPr>
        <w:r w:rsidRPr="00161939">
          <w:rPr>
            <w:sz w:val="18"/>
            <w:szCs w:val="18"/>
          </w:rPr>
          <w:fldChar w:fldCharType="begin"/>
        </w:r>
        <w:r w:rsidR="00161939" w:rsidRPr="00161939">
          <w:rPr>
            <w:sz w:val="18"/>
            <w:szCs w:val="18"/>
          </w:rPr>
          <w:instrText xml:space="preserve"> PAGE   \* MERGEFORMAT </w:instrText>
        </w:r>
        <w:r w:rsidRPr="00161939">
          <w:rPr>
            <w:sz w:val="18"/>
            <w:szCs w:val="18"/>
          </w:rPr>
          <w:fldChar w:fldCharType="separate"/>
        </w:r>
        <w:r w:rsidR="00EB77DF">
          <w:rPr>
            <w:noProof/>
            <w:sz w:val="18"/>
            <w:szCs w:val="18"/>
          </w:rPr>
          <w:t>4</w:t>
        </w:r>
        <w:r w:rsidRPr="00161939">
          <w:rPr>
            <w:sz w:val="18"/>
            <w:szCs w:val="18"/>
          </w:rPr>
          <w:fldChar w:fldCharType="end"/>
        </w:r>
      </w:p>
    </w:sdtContent>
  </w:sdt>
  <w:p w:rsidR="00161939" w:rsidRDefault="001619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845" w:rsidRDefault="00484845" w:rsidP="0028641A">
      <w:r>
        <w:separator/>
      </w:r>
    </w:p>
  </w:footnote>
  <w:footnote w:type="continuationSeparator" w:id="0">
    <w:p w:rsidR="00484845" w:rsidRDefault="00484845" w:rsidP="00286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268" w:rsidRPr="006B1166" w:rsidRDefault="00C50268" w:rsidP="00C50268">
    <w:pPr>
      <w:pStyle w:val="Zhlav"/>
      <w:rPr>
        <w:b/>
        <w:sz w:val="16"/>
        <w:szCs w:val="16"/>
      </w:rPr>
    </w:pPr>
    <w:r w:rsidRPr="006B1166">
      <w:rPr>
        <w:b/>
        <w:sz w:val="16"/>
        <w:szCs w:val="16"/>
      </w:rPr>
      <w:t>Ex-ante hodnocení OP PIK 2014 – 2020</w:t>
    </w:r>
  </w:p>
  <w:p w:rsidR="00C50268" w:rsidRPr="00C50268" w:rsidRDefault="00C50268">
    <w:pPr>
      <w:pStyle w:val="Zhlav"/>
      <w:rPr>
        <w:sz w:val="16"/>
        <w:szCs w:val="16"/>
      </w:rPr>
    </w:pPr>
    <w:r>
      <w:rPr>
        <w:sz w:val="16"/>
        <w:szCs w:val="16"/>
      </w:rPr>
      <w:t>Shrnutí Závěrečné</w:t>
    </w:r>
    <w:r w:rsidRPr="006B1166">
      <w:rPr>
        <w:sz w:val="16"/>
        <w:szCs w:val="16"/>
      </w:rPr>
      <w:t xml:space="preserve"> zpráv</w:t>
    </w:r>
    <w:r>
      <w:rPr>
        <w:sz w:val="16"/>
        <w:szCs w:val="16"/>
      </w:rPr>
      <w:t>y (aktualizace)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2C" w:rsidRDefault="00C10E2C" w:rsidP="008E60B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4757420</wp:posOffset>
          </wp:positionH>
          <wp:positionV relativeFrom="paragraph">
            <wp:posOffset>-2540</wp:posOffset>
          </wp:positionV>
          <wp:extent cx="1293077" cy="438150"/>
          <wp:effectExtent l="19050" t="0" r="2323" b="0"/>
          <wp:wrapNone/>
          <wp:docPr id="1" name="obrázek 8" descr="Popis: Popis: Popis: Popis: Logo EU_ERDF_C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Popis: Popis: Popis: Popis: Logo EU_ERDF_CJ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077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635</wp:posOffset>
          </wp:positionH>
          <wp:positionV relativeFrom="paragraph">
            <wp:posOffset>71755</wp:posOffset>
          </wp:positionV>
          <wp:extent cx="1130300" cy="361315"/>
          <wp:effectExtent l="19050" t="0" r="0" b="0"/>
          <wp:wrapSquare wrapText="bothSides"/>
          <wp:docPr id="3" name="obrázek 1" descr="OPPI_barva_k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PI_barva_k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E60BC">
      <w:rPr>
        <w:noProof/>
        <w:lang w:eastAsia="cs-CZ"/>
      </w:rPr>
      <w:drawing>
        <wp:inline distT="0" distB="0" distL="0" distR="0">
          <wp:extent cx="889271" cy="435935"/>
          <wp:effectExtent l="19050" t="0" r="6079" b="0"/>
          <wp:docPr id="4" name="obrázek 1" descr="Popis: Ministerstvo průmyslu a ob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Ministerstvo průmyslu a obchodu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216" cy="439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13E"/>
    <w:multiLevelType w:val="hybridMultilevel"/>
    <w:tmpl w:val="5400EAB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B22709"/>
    <w:multiLevelType w:val="hybridMultilevel"/>
    <w:tmpl w:val="56B4D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96930"/>
    <w:multiLevelType w:val="hybridMultilevel"/>
    <w:tmpl w:val="6012F9AA"/>
    <w:lvl w:ilvl="0" w:tplc="B72A7E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8039F"/>
    <w:multiLevelType w:val="hybridMultilevel"/>
    <w:tmpl w:val="6012F9AA"/>
    <w:lvl w:ilvl="0" w:tplc="B72A7E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918FB"/>
    <w:multiLevelType w:val="hybridMultilevel"/>
    <w:tmpl w:val="4404C372"/>
    <w:lvl w:ilvl="0" w:tplc="3E06BB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D5D67"/>
    <w:multiLevelType w:val="hybridMultilevel"/>
    <w:tmpl w:val="051EA49C"/>
    <w:lvl w:ilvl="0" w:tplc="CBC034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6A70F8"/>
    <w:multiLevelType w:val="hybridMultilevel"/>
    <w:tmpl w:val="6576F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018F2"/>
    <w:multiLevelType w:val="hybridMultilevel"/>
    <w:tmpl w:val="6EBECBAE"/>
    <w:lvl w:ilvl="0" w:tplc="112AC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71463"/>
    <w:multiLevelType w:val="hybridMultilevel"/>
    <w:tmpl w:val="9168EB52"/>
    <w:lvl w:ilvl="0" w:tplc="60A894C6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1A5A26"/>
    <w:multiLevelType w:val="hybridMultilevel"/>
    <w:tmpl w:val="6012F9AA"/>
    <w:lvl w:ilvl="0" w:tplc="B72A7E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CA0143"/>
    <w:multiLevelType w:val="hybridMultilevel"/>
    <w:tmpl w:val="1E6A0E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78253C"/>
    <w:multiLevelType w:val="hybridMultilevel"/>
    <w:tmpl w:val="55343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B1BF5"/>
    <w:multiLevelType w:val="hybridMultilevel"/>
    <w:tmpl w:val="86BECC6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624C5C"/>
    <w:multiLevelType w:val="hybridMultilevel"/>
    <w:tmpl w:val="33825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7E6CBA"/>
    <w:multiLevelType w:val="hybridMultilevel"/>
    <w:tmpl w:val="B714F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4B70B1"/>
    <w:multiLevelType w:val="hybridMultilevel"/>
    <w:tmpl w:val="0F40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C3075"/>
    <w:multiLevelType w:val="hybridMultilevel"/>
    <w:tmpl w:val="7FB4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E144E1"/>
    <w:multiLevelType w:val="hybridMultilevel"/>
    <w:tmpl w:val="6D606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8143224"/>
    <w:multiLevelType w:val="hybridMultilevel"/>
    <w:tmpl w:val="A4FA7D8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B62C17"/>
    <w:multiLevelType w:val="hybridMultilevel"/>
    <w:tmpl w:val="416E9C68"/>
    <w:lvl w:ilvl="0" w:tplc="E4E48D22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7E2F97"/>
    <w:multiLevelType w:val="hybridMultilevel"/>
    <w:tmpl w:val="6012F9AA"/>
    <w:lvl w:ilvl="0" w:tplc="B72A7E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760372"/>
    <w:multiLevelType w:val="hybridMultilevel"/>
    <w:tmpl w:val="A9CEF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CC3B67"/>
    <w:multiLevelType w:val="hybridMultilevel"/>
    <w:tmpl w:val="2B20EB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E22AA1"/>
    <w:multiLevelType w:val="hybridMultilevel"/>
    <w:tmpl w:val="274CE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4652B"/>
    <w:multiLevelType w:val="hybridMultilevel"/>
    <w:tmpl w:val="D4D45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1D507A"/>
    <w:multiLevelType w:val="multilevel"/>
    <w:tmpl w:val="667E914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>
    <w:nsid w:val="4CC97349"/>
    <w:multiLevelType w:val="hybridMultilevel"/>
    <w:tmpl w:val="13CCD7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E32BD8"/>
    <w:multiLevelType w:val="hybridMultilevel"/>
    <w:tmpl w:val="5D724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744EA"/>
    <w:multiLevelType w:val="hybridMultilevel"/>
    <w:tmpl w:val="5F605A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5D27BA"/>
    <w:multiLevelType w:val="hybridMultilevel"/>
    <w:tmpl w:val="89B67D44"/>
    <w:lvl w:ilvl="0" w:tplc="04050017">
      <w:start w:val="1"/>
      <w:numFmt w:val="lowerLetter"/>
      <w:lvlText w:val="%1)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585F0BDA"/>
    <w:multiLevelType w:val="hybridMultilevel"/>
    <w:tmpl w:val="A6EAD5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FA427D"/>
    <w:multiLevelType w:val="multilevel"/>
    <w:tmpl w:val="B9687EC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NadpisNOK2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5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32">
    <w:nsid w:val="590C7231"/>
    <w:multiLevelType w:val="hybridMultilevel"/>
    <w:tmpl w:val="002CEC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CFC70D1"/>
    <w:multiLevelType w:val="hybridMultilevel"/>
    <w:tmpl w:val="1D9688D6"/>
    <w:lvl w:ilvl="0" w:tplc="E54ADF0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75DAB"/>
    <w:multiLevelType w:val="hybridMultilevel"/>
    <w:tmpl w:val="6A8CF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6021D"/>
    <w:multiLevelType w:val="hybridMultilevel"/>
    <w:tmpl w:val="91BEC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108CA"/>
    <w:multiLevelType w:val="hybridMultilevel"/>
    <w:tmpl w:val="A6B03F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175068"/>
    <w:multiLevelType w:val="hybridMultilevel"/>
    <w:tmpl w:val="FAB8ED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96CB3"/>
    <w:multiLevelType w:val="hybridMultilevel"/>
    <w:tmpl w:val="6012F9AA"/>
    <w:lvl w:ilvl="0" w:tplc="B72A7E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B37DF"/>
    <w:multiLevelType w:val="hybridMultilevel"/>
    <w:tmpl w:val="21ECD3A8"/>
    <w:lvl w:ilvl="0" w:tplc="68EA55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050E2"/>
    <w:multiLevelType w:val="hybridMultilevel"/>
    <w:tmpl w:val="552622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FD576D"/>
    <w:multiLevelType w:val="hybridMultilevel"/>
    <w:tmpl w:val="6D1E6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FB2DDF"/>
    <w:multiLevelType w:val="hybridMultilevel"/>
    <w:tmpl w:val="050C137E"/>
    <w:lvl w:ilvl="0" w:tplc="112AC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C2FF2"/>
    <w:multiLevelType w:val="hybridMultilevel"/>
    <w:tmpl w:val="42809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9626A"/>
    <w:multiLevelType w:val="hybridMultilevel"/>
    <w:tmpl w:val="21ECD3A8"/>
    <w:lvl w:ilvl="0" w:tplc="68EA55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D266B3"/>
    <w:multiLevelType w:val="hybridMultilevel"/>
    <w:tmpl w:val="21ECD3A8"/>
    <w:lvl w:ilvl="0" w:tplc="68EA55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25"/>
  </w:num>
  <w:num w:numId="4">
    <w:abstractNumId w:val="16"/>
  </w:num>
  <w:num w:numId="5">
    <w:abstractNumId w:val="26"/>
  </w:num>
  <w:num w:numId="6">
    <w:abstractNumId w:val="1"/>
  </w:num>
  <w:num w:numId="7">
    <w:abstractNumId w:val="41"/>
  </w:num>
  <w:num w:numId="8">
    <w:abstractNumId w:val="19"/>
  </w:num>
  <w:num w:numId="9">
    <w:abstractNumId w:val="14"/>
  </w:num>
  <w:num w:numId="10">
    <w:abstractNumId w:val="42"/>
  </w:num>
  <w:num w:numId="11">
    <w:abstractNumId w:val="31"/>
  </w:num>
  <w:num w:numId="12">
    <w:abstractNumId w:val="27"/>
  </w:num>
  <w:num w:numId="13">
    <w:abstractNumId w:val="8"/>
  </w:num>
  <w:num w:numId="14">
    <w:abstractNumId w:val="43"/>
  </w:num>
  <w:num w:numId="15">
    <w:abstractNumId w:val="39"/>
  </w:num>
  <w:num w:numId="16">
    <w:abstractNumId w:val="32"/>
  </w:num>
  <w:num w:numId="17">
    <w:abstractNumId w:val="6"/>
  </w:num>
  <w:num w:numId="18">
    <w:abstractNumId w:val="7"/>
  </w:num>
  <w:num w:numId="19">
    <w:abstractNumId w:val="40"/>
  </w:num>
  <w:num w:numId="20">
    <w:abstractNumId w:val="35"/>
  </w:num>
  <w:num w:numId="21">
    <w:abstractNumId w:val="24"/>
  </w:num>
  <w:num w:numId="22">
    <w:abstractNumId w:val="29"/>
  </w:num>
  <w:num w:numId="23">
    <w:abstractNumId w:val="33"/>
  </w:num>
  <w:num w:numId="24">
    <w:abstractNumId w:val="37"/>
  </w:num>
  <w:num w:numId="25">
    <w:abstractNumId w:val="20"/>
  </w:num>
  <w:num w:numId="26">
    <w:abstractNumId w:val="38"/>
  </w:num>
  <w:num w:numId="27">
    <w:abstractNumId w:val="2"/>
  </w:num>
  <w:num w:numId="28">
    <w:abstractNumId w:val="9"/>
  </w:num>
  <w:num w:numId="29">
    <w:abstractNumId w:val="3"/>
  </w:num>
  <w:num w:numId="30">
    <w:abstractNumId w:val="13"/>
  </w:num>
  <w:num w:numId="31">
    <w:abstractNumId w:val="5"/>
  </w:num>
  <w:num w:numId="32">
    <w:abstractNumId w:val="0"/>
  </w:num>
  <w:num w:numId="33">
    <w:abstractNumId w:val="15"/>
  </w:num>
  <w:num w:numId="34">
    <w:abstractNumId w:val="10"/>
  </w:num>
  <w:num w:numId="35">
    <w:abstractNumId w:val="28"/>
  </w:num>
  <w:num w:numId="36">
    <w:abstractNumId w:val="18"/>
  </w:num>
  <w:num w:numId="37">
    <w:abstractNumId w:val="22"/>
  </w:num>
  <w:num w:numId="38">
    <w:abstractNumId w:val="12"/>
  </w:num>
  <w:num w:numId="39">
    <w:abstractNumId w:val="17"/>
  </w:num>
  <w:num w:numId="40">
    <w:abstractNumId w:val="11"/>
  </w:num>
  <w:num w:numId="41">
    <w:abstractNumId w:val="36"/>
  </w:num>
  <w:num w:numId="42">
    <w:abstractNumId w:val="4"/>
  </w:num>
  <w:num w:numId="43">
    <w:abstractNumId w:val="44"/>
  </w:num>
  <w:num w:numId="44">
    <w:abstractNumId w:val="45"/>
  </w:num>
  <w:num w:numId="45">
    <w:abstractNumId w:val="21"/>
  </w:num>
  <w:num w:numId="46">
    <w:abstractNumId w:val="34"/>
  </w:num>
  <w:numIdMacAtCleanup w:val="3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el Borecky">
    <w15:presenceInfo w15:providerId="None" w15:userId="Karel Boreck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71C66"/>
    <w:rsid w:val="00001977"/>
    <w:rsid w:val="00001C37"/>
    <w:rsid w:val="00001F1D"/>
    <w:rsid w:val="00003A00"/>
    <w:rsid w:val="00003B82"/>
    <w:rsid w:val="00004641"/>
    <w:rsid w:val="00004AEE"/>
    <w:rsid w:val="00004CE3"/>
    <w:rsid w:val="00007189"/>
    <w:rsid w:val="00010002"/>
    <w:rsid w:val="00011FD3"/>
    <w:rsid w:val="00014BA0"/>
    <w:rsid w:val="00015AE3"/>
    <w:rsid w:val="00015B69"/>
    <w:rsid w:val="000166C4"/>
    <w:rsid w:val="00016E8B"/>
    <w:rsid w:val="0001741B"/>
    <w:rsid w:val="000201B0"/>
    <w:rsid w:val="00021784"/>
    <w:rsid w:val="00022E68"/>
    <w:rsid w:val="00023632"/>
    <w:rsid w:val="00026B1C"/>
    <w:rsid w:val="00027F80"/>
    <w:rsid w:val="00031325"/>
    <w:rsid w:val="00031459"/>
    <w:rsid w:val="00031637"/>
    <w:rsid w:val="000328AF"/>
    <w:rsid w:val="0003308F"/>
    <w:rsid w:val="00034BF2"/>
    <w:rsid w:val="00041D71"/>
    <w:rsid w:val="000426AB"/>
    <w:rsid w:val="00043F5A"/>
    <w:rsid w:val="000507B2"/>
    <w:rsid w:val="00050EE7"/>
    <w:rsid w:val="000525CF"/>
    <w:rsid w:val="000530D8"/>
    <w:rsid w:val="00053F9F"/>
    <w:rsid w:val="000540E0"/>
    <w:rsid w:val="00055222"/>
    <w:rsid w:val="000558A9"/>
    <w:rsid w:val="00060F2D"/>
    <w:rsid w:val="00061730"/>
    <w:rsid w:val="00065323"/>
    <w:rsid w:val="00065FC1"/>
    <w:rsid w:val="0006704A"/>
    <w:rsid w:val="000707AF"/>
    <w:rsid w:val="0007299A"/>
    <w:rsid w:val="00074006"/>
    <w:rsid w:val="000768FE"/>
    <w:rsid w:val="00076BC3"/>
    <w:rsid w:val="00076DEE"/>
    <w:rsid w:val="0007726E"/>
    <w:rsid w:val="0008082A"/>
    <w:rsid w:val="00080CD1"/>
    <w:rsid w:val="00080EB9"/>
    <w:rsid w:val="000818B5"/>
    <w:rsid w:val="00093792"/>
    <w:rsid w:val="000954DB"/>
    <w:rsid w:val="00095A33"/>
    <w:rsid w:val="00095C44"/>
    <w:rsid w:val="0009725C"/>
    <w:rsid w:val="00097366"/>
    <w:rsid w:val="00097848"/>
    <w:rsid w:val="000A04B3"/>
    <w:rsid w:val="000A0C29"/>
    <w:rsid w:val="000A2A73"/>
    <w:rsid w:val="000A45EB"/>
    <w:rsid w:val="000A59A5"/>
    <w:rsid w:val="000A5A6F"/>
    <w:rsid w:val="000A6179"/>
    <w:rsid w:val="000A6309"/>
    <w:rsid w:val="000B1279"/>
    <w:rsid w:val="000B1EEA"/>
    <w:rsid w:val="000B2812"/>
    <w:rsid w:val="000B30F7"/>
    <w:rsid w:val="000B3B82"/>
    <w:rsid w:val="000C0086"/>
    <w:rsid w:val="000C1443"/>
    <w:rsid w:val="000C1E97"/>
    <w:rsid w:val="000C1F96"/>
    <w:rsid w:val="000C5298"/>
    <w:rsid w:val="000C568A"/>
    <w:rsid w:val="000C5703"/>
    <w:rsid w:val="000C61A9"/>
    <w:rsid w:val="000D0F79"/>
    <w:rsid w:val="000D2BB4"/>
    <w:rsid w:val="000D45BF"/>
    <w:rsid w:val="000D47C8"/>
    <w:rsid w:val="000D4E5F"/>
    <w:rsid w:val="000D6BB4"/>
    <w:rsid w:val="000D6E54"/>
    <w:rsid w:val="000D736B"/>
    <w:rsid w:val="000E032D"/>
    <w:rsid w:val="000E0503"/>
    <w:rsid w:val="000E307E"/>
    <w:rsid w:val="000E3743"/>
    <w:rsid w:val="000E5C1C"/>
    <w:rsid w:val="000E6F72"/>
    <w:rsid w:val="000E7BC8"/>
    <w:rsid w:val="000F220F"/>
    <w:rsid w:val="000F4688"/>
    <w:rsid w:val="000F5B97"/>
    <w:rsid w:val="000F6660"/>
    <w:rsid w:val="000F718E"/>
    <w:rsid w:val="00100CF8"/>
    <w:rsid w:val="001074F7"/>
    <w:rsid w:val="001076C9"/>
    <w:rsid w:val="00107DE3"/>
    <w:rsid w:val="001104C9"/>
    <w:rsid w:val="00110750"/>
    <w:rsid w:val="0011085A"/>
    <w:rsid w:val="0011542D"/>
    <w:rsid w:val="00115CFE"/>
    <w:rsid w:val="0011602E"/>
    <w:rsid w:val="001166E2"/>
    <w:rsid w:val="001239C9"/>
    <w:rsid w:val="00127C4E"/>
    <w:rsid w:val="001303B8"/>
    <w:rsid w:val="00130BA0"/>
    <w:rsid w:val="00130CBF"/>
    <w:rsid w:val="001319F1"/>
    <w:rsid w:val="001327B5"/>
    <w:rsid w:val="00135B0E"/>
    <w:rsid w:val="00135CCD"/>
    <w:rsid w:val="00136422"/>
    <w:rsid w:val="001400D2"/>
    <w:rsid w:val="001410D7"/>
    <w:rsid w:val="001422E6"/>
    <w:rsid w:val="001454FE"/>
    <w:rsid w:val="00145627"/>
    <w:rsid w:val="001459AB"/>
    <w:rsid w:val="001464A2"/>
    <w:rsid w:val="001466C1"/>
    <w:rsid w:val="00151046"/>
    <w:rsid w:val="001512EC"/>
    <w:rsid w:val="0015225B"/>
    <w:rsid w:val="001531BF"/>
    <w:rsid w:val="00154D59"/>
    <w:rsid w:val="00161939"/>
    <w:rsid w:val="00164829"/>
    <w:rsid w:val="001650AF"/>
    <w:rsid w:val="00166AF8"/>
    <w:rsid w:val="001700EA"/>
    <w:rsid w:val="001724D5"/>
    <w:rsid w:val="00172C25"/>
    <w:rsid w:val="00173B20"/>
    <w:rsid w:val="0017403B"/>
    <w:rsid w:val="0017595E"/>
    <w:rsid w:val="0018009A"/>
    <w:rsid w:val="00180551"/>
    <w:rsid w:val="00180B0B"/>
    <w:rsid w:val="00180D42"/>
    <w:rsid w:val="00180EBA"/>
    <w:rsid w:val="00182087"/>
    <w:rsid w:val="00182F12"/>
    <w:rsid w:val="001907EB"/>
    <w:rsid w:val="00190B4B"/>
    <w:rsid w:val="001918B1"/>
    <w:rsid w:val="00191DAB"/>
    <w:rsid w:val="00192674"/>
    <w:rsid w:val="00193E9C"/>
    <w:rsid w:val="0019521F"/>
    <w:rsid w:val="0019586E"/>
    <w:rsid w:val="001A1D56"/>
    <w:rsid w:val="001A23C5"/>
    <w:rsid w:val="001A28B0"/>
    <w:rsid w:val="001A3CF8"/>
    <w:rsid w:val="001A48C9"/>
    <w:rsid w:val="001A4B4B"/>
    <w:rsid w:val="001A6122"/>
    <w:rsid w:val="001A7465"/>
    <w:rsid w:val="001B1D32"/>
    <w:rsid w:val="001B4FCD"/>
    <w:rsid w:val="001B50E3"/>
    <w:rsid w:val="001B5588"/>
    <w:rsid w:val="001B58A7"/>
    <w:rsid w:val="001B5C62"/>
    <w:rsid w:val="001B6555"/>
    <w:rsid w:val="001C00CA"/>
    <w:rsid w:val="001C21A0"/>
    <w:rsid w:val="001C24C9"/>
    <w:rsid w:val="001C27B0"/>
    <w:rsid w:val="001C3F42"/>
    <w:rsid w:val="001C5D7E"/>
    <w:rsid w:val="001D09DA"/>
    <w:rsid w:val="001D2761"/>
    <w:rsid w:val="001D30E4"/>
    <w:rsid w:val="001D4628"/>
    <w:rsid w:val="001D7BC6"/>
    <w:rsid w:val="001E0792"/>
    <w:rsid w:val="001E07C1"/>
    <w:rsid w:val="001E6510"/>
    <w:rsid w:val="001E65B9"/>
    <w:rsid w:val="001E7FBB"/>
    <w:rsid w:val="001F0563"/>
    <w:rsid w:val="001F1180"/>
    <w:rsid w:val="001F198E"/>
    <w:rsid w:val="001F3111"/>
    <w:rsid w:val="001F3D13"/>
    <w:rsid w:val="001F7397"/>
    <w:rsid w:val="00201625"/>
    <w:rsid w:val="00201A94"/>
    <w:rsid w:val="00201BCC"/>
    <w:rsid w:val="0020209E"/>
    <w:rsid w:val="002034E1"/>
    <w:rsid w:val="00204BE0"/>
    <w:rsid w:val="00205839"/>
    <w:rsid w:val="0020788F"/>
    <w:rsid w:val="002102BD"/>
    <w:rsid w:val="00214A8A"/>
    <w:rsid w:val="002157BB"/>
    <w:rsid w:val="00215E00"/>
    <w:rsid w:val="002226A7"/>
    <w:rsid w:val="002274DA"/>
    <w:rsid w:val="00227A79"/>
    <w:rsid w:val="0023076E"/>
    <w:rsid w:val="00230ECB"/>
    <w:rsid w:val="0023602D"/>
    <w:rsid w:val="00236113"/>
    <w:rsid w:val="00236989"/>
    <w:rsid w:val="00236CB7"/>
    <w:rsid w:val="00237108"/>
    <w:rsid w:val="002429F3"/>
    <w:rsid w:val="002474B3"/>
    <w:rsid w:val="00247BFE"/>
    <w:rsid w:val="00256FEE"/>
    <w:rsid w:val="00261C04"/>
    <w:rsid w:val="00262ECD"/>
    <w:rsid w:val="00263180"/>
    <w:rsid w:val="002720A6"/>
    <w:rsid w:val="002720E1"/>
    <w:rsid w:val="00272FBE"/>
    <w:rsid w:val="0027585C"/>
    <w:rsid w:val="00276405"/>
    <w:rsid w:val="00276678"/>
    <w:rsid w:val="00282D3C"/>
    <w:rsid w:val="0028521C"/>
    <w:rsid w:val="0028612D"/>
    <w:rsid w:val="0028641A"/>
    <w:rsid w:val="00291252"/>
    <w:rsid w:val="002916A7"/>
    <w:rsid w:val="002921DB"/>
    <w:rsid w:val="00292992"/>
    <w:rsid w:val="00294380"/>
    <w:rsid w:val="00294A10"/>
    <w:rsid w:val="00294FE7"/>
    <w:rsid w:val="002965B1"/>
    <w:rsid w:val="002A025C"/>
    <w:rsid w:val="002A07BA"/>
    <w:rsid w:val="002A4E11"/>
    <w:rsid w:val="002B03E6"/>
    <w:rsid w:val="002B0601"/>
    <w:rsid w:val="002B0777"/>
    <w:rsid w:val="002B0A7A"/>
    <w:rsid w:val="002B1C03"/>
    <w:rsid w:val="002B33ED"/>
    <w:rsid w:val="002B36AA"/>
    <w:rsid w:val="002B5435"/>
    <w:rsid w:val="002B5604"/>
    <w:rsid w:val="002B7960"/>
    <w:rsid w:val="002B7BB8"/>
    <w:rsid w:val="002C11EC"/>
    <w:rsid w:val="002C2A1A"/>
    <w:rsid w:val="002C3100"/>
    <w:rsid w:val="002C3C60"/>
    <w:rsid w:val="002C54E6"/>
    <w:rsid w:val="002C6BB2"/>
    <w:rsid w:val="002C780B"/>
    <w:rsid w:val="002D024C"/>
    <w:rsid w:val="002D41E1"/>
    <w:rsid w:val="002D665A"/>
    <w:rsid w:val="002D78BA"/>
    <w:rsid w:val="002E0984"/>
    <w:rsid w:val="002E28A4"/>
    <w:rsid w:val="002E2A72"/>
    <w:rsid w:val="002E2EAD"/>
    <w:rsid w:val="002E4DB8"/>
    <w:rsid w:val="002E755C"/>
    <w:rsid w:val="002F35CC"/>
    <w:rsid w:val="002F4CA3"/>
    <w:rsid w:val="002F4CF2"/>
    <w:rsid w:val="002F565F"/>
    <w:rsid w:val="003002D1"/>
    <w:rsid w:val="00300440"/>
    <w:rsid w:val="003019F6"/>
    <w:rsid w:val="00301F6A"/>
    <w:rsid w:val="003022CA"/>
    <w:rsid w:val="00302F88"/>
    <w:rsid w:val="0030340F"/>
    <w:rsid w:val="003038CB"/>
    <w:rsid w:val="00303B0C"/>
    <w:rsid w:val="0030433F"/>
    <w:rsid w:val="00305DEB"/>
    <w:rsid w:val="0031223E"/>
    <w:rsid w:val="00312414"/>
    <w:rsid w:val="0031702E"/>
    <w:rsid w:val="003219E8"/>
    <w:rsid w:val="00321A58"/>
    <w:rsid w:val="0032463A"/>
    <w:rsid w:val="00325049"/>
    <w:rsid w:val="00325DBD"/>
    <w:rsid w:val="0032733E"/>
    <w:rsid w:val="00332838"/>
    <w:rsid w:val="00333765"/>
    <w:rsid w:val="00333833"/>
    <w:rsid w:val="00333C25"/>
    <w:rsid w:val="0033554C"/>
    <w:rsid w:val="003357C6"/>
    <w:rsid w:val="00335B72"/>
    <w:rsid w:val="0033668C"/>
    <w:rsid w:val="003369CE"/>
    <w:rsid w:val="00336C90"/>
    <w:rsid w:val="00341004"/>
    <w:rsid w:val="003414EE"/>
    <w:rsid w:val="00341AAF"/>
    <w:rsid w:val="00345C0F"/>
    <w:rsid w:val="00350D3E"/>
    <w:rsid w:val="003513BE"/>
    <w:rsid w:val="00351C0D"/>
    <w:rsid w:val="00353D6E"/>
    <w:rsid w:val="00355A2C"/>
    <w:rsid w:val="0035798D"/>
    <w:rsid w:val="00360B3B"/>
    <w:rsid w:val="00361980"/>
    <w:rsid w:val="00362675"/>
    <w:rsid w:val="00373E62"/>
    <w:rsid w:val="00382091"/>
    <w:rsid w:val="003843BA"/>
    <w:rsid w:val="0038479D"/>
    <w:rsid w:val="003848BD"/>
    <w:rsid w:val="00384906"/>
    <w:rsid w:val="00384DCD"/>
    <w:rsid w:val="00391A76"/>
    <w:rsid w:val="003A2179"/>
    <w:rsid w:val="003A5EDC"/>
    <w:rsid w:val="003A6D88"/>
    <w:rsid w:val="003B02B0"/>
    <w:rsid w:val="003B233D"/>
    <w:rsid w:val="003B2724"/>
    <w:rsid w:val="003B35C1"/>
    <w:rsid w:val="003B4C91"/>
    <w:rsid w:val="003B4D93"/>
    <w:rsid w:val="003B615D"/>
    <w:rsid w:val="003B76D5"/>
    <w:rsid w:val="003C0935"/>
    <w:rsid w:val="003C1198"/>
    <w:rsid w:val="003C11E0"/>
    <w:rsid w:val="003C4646"/>
    <w:rsid w:val="003C5AA9"/>
    <w:rsid w:val="003C7B7C"/>
    <w:rsid w:val="003D085A"/>
    <w:rsid w:val="003D12DA"/>
    <w:rsid w:val="003D167E"/>
    <w:rsid w:val="003D40E2"/>
    <w:rsid w:val="003E1AAD"/>
    <w:rsid w:val="003E3A42"/>
    <w:rsid w:val="003E5007"/>
    <w:rsid w:val="003E7A55"/>
    <w:rsid w:val="003F1777"/>
    <w:rsid w:val="003F19FC"/>
    <w:rsid w:val="003F1B12"/>
    <w:rsid w:val="003F26D7"/>
    <w:rsid w:val="003F36C2"/>
    <w:rsid w:val="003F38FB"/>
    <w:rsid w:val="003F42E2"/>
    <w:rsid w:val="003F5F93"/>
    <w:rsid w:val="00401A1E"/>
    <w:rsid w:val="00401C51"/>
    <w:rsid w:val="00406E5B"/>
    <w:rsid w:val="004071F3"/>
    <w:rsid w:val="00407A43"/>
    <w:rsid w:val="00412EDE"/>
    <w:rsid w:val="00413669"/>
    <w:rsid w:val="004151C3"/>
    <w:rsid w:val="00416833"/>
    <w:rsid w:val="00417C99"/>
    <w:rsid w:val="00421ED1"/>
    <w:rsid w:val="0042394C"/>
    <w:rsid w:val="0042407B"/>
    <w:rsid w:val="00424AF6"/>
    <w:rsid w:val="00430182"/>
    <w:rsid w:val="00432FF2"/>
    <w:rsid w:val="004373D8"/>
    <w:rsid w:val="00437DC3"/>
    <w:rsid w:val="00441D9A"/>
    <w:rsid w:val="00442A0B"/>
    <w:rsid w:val="00444744"/>
    <w:rsid w:val="0044499C"/>
    <w:rsid w:val="004471AC"/>
    <w:rsid w:val="0045077E"/>
    <w:rsid w:val="00451A24"/>
    <w:rsid w:val="00452530"/>
    <w:rsid w:val="00453203"/>
    <w:rsid w:val="00453D3D"/>
    <w:rsid w:val="00453D54"/>
    <w:rsid w:val="0045497B"/>
    <w:rsid w:val="00455699"/>
    <w:rsid w:val="004564ED"/>
    <w:rsid w:val="0046208A"/>
    <w:rsid w:val="00462F31"/>
    <w:rsid w:val="00464FE9"/>
    <w:rsid w:val="004669DE"/>
    <w:rsid w:val="004718CF"/>
    <w:rsid w:val="00471AC7"/>
    <w:rsid w:val="004733A7"/>
    <w:rsid w:val="00474771"/>
    <w:rsid w:val="0047519B"/>
    <w:rsid w:val="0047705B"/>
    <w:rsid w:val="004802FD"/>
    <w:rsid w:val="00483ECF"/>
    <w:rsid w:val="00484845"/>
    <w:rsid w:val="00486697"/>
    <w:rsid w:val="004866E8"/>
    <w:rsid w:val="00487FC2"/>
    <w:rsid w:val="0049080F"/>
    <w:rsid w:val="004908C2"/>
    <w:rsid w:val="00490C91"/>
    <w:rsid w:val="0049181E"/>
    <w:rsid w:val="0049253B"/>
    <w:rsid w:val="00493981"/>
    <w:rsid w:val="0049541A"/>
    <w:rsid w:val="004955DE"/>
    <w:rsid w:val="00495AF9"/>
    <w:rsid w:val="004966EF"/>
    <w:rsid w:val="004A1A10"/>
    <w:rsid w:val="004A3857"/>
    <w:rsid w:val="004A779E"/>
    <w:rsid w:val="004B5AE4"/>
    <w:rsid w:val="004B6E6E"/>
    <w:rsid w:val="004C06B7"/>
    <w:rsid w:val="004C13F4"/>
    <w:rsid w:val="004C298D"/>
    <w:rsid w:val="004C30E9"/>
    <w:rsid w:val="004C617B"/>
    <w:rsid w:val="004C62CF"/>
    <w:rsid w:val="004C70C0"/>
    <w:rsid w:val="004C7484"/>
    <w:rsid w:val="004D20C6"/>
    <w:rsid w:val="004D477D"/>
    <w:rsid w:val="004E04EB"/>
    <w:rsid w:val="004E093F"/>
    <w:rsid w:val="004E12C4"/>
    <w:rsid w:val="004E192A"/>
    <w:rsid w:val="004E40F0"/>
    <w:rsid w:val="004E4B28"/>
    <w:rsid w:val="004E4E23"/>
    <w:rsid w:val="004E5C84"/>
    <w:rsid w:val="004E677E"/>
    <w:rsid w:val="004F0511"/>
    <w:rsid w:val="004F195A"/>
    <w:rsid w:val="004F4423"/>
    <w:rsid w:val="004F4C77"/>
    <w:rsid w:val="004F5DFB"/>
    <w:rsid w:val="004F60D6"/>
    <w:rsid w:val="004F650A"/>
    <w:rsid w:val="00500744"/>
    <w:rsid w:val="00500DDC"/>
    <w:rsid w:val="005027EC"/>
    <w:rsid w:val="00503764"/>
    <w:rsid w:val="00503801"/>
    <w:rsid w:val="0050632F"/>
    <w:rsid w:val="00506925"/>
    <w:rsid w:val="00510BEC"/>
    <w:rsid w:val="0051183E"/>
    <w:rsid w:val="00511BAD"/>
    <w:rsid w:val="00515118"/>
    <w:rsid w:val="005162D7"/>
    <w:rsid w:val="00516BAB"/>
    <w:rsid w:val="005201E0"/>
    <w:rsid w:val="005214D5"/>
    <w:rsid w:val="005239CC"/>
    <w:rsid w:val="00524F40"/>
    <w:rsid w:val="00525400"/>
    <w:rsid w:val="00526CAF"/>
    <w:rsid w:val="00527853"/>
    <w:rsid w:val="00530BDE"/>
    <w:rsid w:val="005354FD"/>
    <w:rsid w:val="0053562C"/>
    <w:rsid w:val="00536F1E"/>
    <w:rsid w:val="00537129"/>
    <w:rsid w:val="0054326E"/>
    <w:rsid w:val="00544B41"/>
    <w:rsid w:val="00550998"/>
    <w:rsid w:val="0055107A"/>
    <w:rsid w:val="005521DC"/>
    <w:rsid w:val="00552B11"/>
    <w:rsid w:val="00552F8B"/>
    <w:rsid w:val="00554A52"/>
    <w:rsid w:val="00555168"/>
    <w:rsid w:val="00560A05"/>
    <w:rsid w:val="00561469"/>
    <w:rsid w:val="005614A8"/>
    <w:rsid w:val="0057094E"/>
    <w:rsid w:val="0057179B"/>
    <w:rsid w:val="00571960"/>
    <w:rsid w:val="005723C6"/>
    <w:rsid w:val="00573C39"/>
    <w:rsid w:val="00575ED9"/>
    <w:rsid w:val="005801DE"/>
    <w:rsid w:val="0058021F"/>
    <w:rsid w:val="00580690"/>
    <w:rsid w:val="00580958"/>
    <w:rsid w:val="00582295"/>
    <w:rsid w:val="00582735"/>
    <w:rsid w:val="0058695C"/>
    <w:rsid w:val="00587441"/>
    <w:rsid w:val="00593BDB"/>
    <w:rsid w:val="00594EA1"/>
    <w:rsid w:val="00596411"/>
    <w:rsid w:val="00597251"/>
    <w:rsid w:val="005A256D"/>
    <w:rsid w:val="005A38AD"/>
    <w:rsid w:val="005A5A91"/>
    <w:rsid w:val="005B00DA"/>
    <w:rsid w:val="005B0173"/>
    <w:rsid w:val="005B122D"/>
    <w:rsid w:val="005B365C"/>
    <w:rsid w:val="005B3927"/>
    <w:rsid w:val="005B3C68"/>
    <w:rsid w:val="005B3D05"/>
    <w:rsid w:val="005B3D06"/>
    <w:rsid w:val="005B5481"/>
    <w:rsid w:val="005B575B"/>
    <w:rsid w:val="005B644D"/>
    <w:rsid w:val="005C0945"/>
    <w:rsid w:val="005C0ADF"/>
    <w:rsid w:val="005C1440"/>
    <w:rsid w:val="005C45A7"/>
    <w:rsid w:val="005C5A29"/>
    <w:rsid w:val="005C6B4E"/>
    <w:rsid w:val="005D235F"/>
    <w:rsid w:val="005D3579"/>
    <w:rsid w:val="005D40D3"/>
    <w:rsid w:val="005D58AC"/>
    <w:rsid w:val="005D6C76"/>
    <w:rsid w:val="005D76EF"/>
    <w:rsid w:val="005E1DD8"/>
    <w:rsid w:val="005E35BB"/>
    <w:rsid w:val="005E3C17"/>
    <w:rsid w:val="005E47C3"/>
    <w:rsid w:val="005E5DC5"/>
    <w:rsid w:val="005E7B34"/>
    <w:rsid w:val="005F0684"/>
    <w:rsid w:val="005F36D0"/>
    <w:rsid w:val="00600FBD"/>
    <w:rsid w:val="00602484"/>
    <w:rsid w:val="00603FF3"/>
    <w:rsid w:val="00604722"/>
    <w:rsid w:val="00604D05"/>
    <w:rsid w:val="00605A49"/>
    <w:rsid w:val="00606823"/>
    <w:rsid w:val="006069D1"/>
    <w:rsid w:val="00610318"/>
    <w:rsid w:val="00611C01"/>
    <w:rsid w:val="00612917"/>
    <w:rsid w:val="006130B5"/>
    <w:rsid w:val="006139D3"/>
    <w:rsid w:val="006140EB"/>
    <w:rsid w:val="006164F5"/>
    <w:rsid w:val="0062080C"/>
    <w:rsid w:val="006243DD"/>
    <w:rsid w:val="00624CA7"/>
    <w:rsid w:val="006256EC"/>
    <w:rsid w:val="00627456"/>
    <w:rsid w:val="00627D1E"/>
    <w:rsid w:val="0063014E"/>
    <w:rsid w:val="006307EF"/>
    <w:rsid w:val="00632CB4"/>
    <w:rsid w:val="0063560D"/>
    <w:rsid w:val="006364AE"/>
    <w:rsid w:val="006369EE"/>
    <w:rsid w:val="0064007A"/>
    <w:rsid w:val="00641BE4"/>
    <w:rsid w:val="00641EB5"/>
    <w:rsid w:val="00642133"/>
    <w:rsid w:val="006429B7"/>
    <w:rsid w:val="00642D5B"/>
    <w:rsid w:val="0064682F"/>
    <w:rsid w:val="00647D20"/>
    <w:rsid w:val="00650673"/>
    <w:rsid w:val="006509A5"/>
    <w:rsid w:val="0065163C"/>
    <w:rsid w:val="00652D78"/>
    <w:rsid w:val="00654064"/>
    <w:rsid w:val="00655A0D"/>
    <w:rsid w:val="00655F44"/>
    <w:rsid w:val="00657B23"/>
    <w:rsid w:val="00660A40"/>
    <w:rsid w:val="00662995"/>
    <w:rsid w:val="00663105"/>
    <w:rsid w:val="00665EBE"/>
    <w:rsid w:val="00671634"/>
    <w:rsid w:val="00671E62"/>
    <w:rsid w:val="00672CE4"/>
    <w:rsid w:val="00674CFC"/>
    <w:rsid w:val="0067617D"/>
    <w:rsid w:val="006773ED"/>
    <w:rsid w:val="006779E1"/>
    <w:rsid w:val="00677F20"/>
    <w:rsid w:val="0068318A"/>
    <w:rsid w:val="00683D7C"/>
    <w:rsid w:val="00684B97"/>
    <w:rsid w:val="00685B74"/>
    <w:rsid w:val="00685F4A"/>
    <w:rsid w:val="00692517"/>
    <w:rsid w:val="00694648"/>
    <w:rsid w:val="00695C81"/>
    <w:rsid w:val="00695F62"/>
    <w:rsid w:val="00696483"/>
    <w:rsid w:val="006970D1"/>
    <w:rsid w:val="006973BE"/>
    <w:rsid w:val="006A095C"/>
    <w:rsid w:val="006A29C5"/>
    <w:rsid w:val="006A5D58"/>
    <w:rsid w:val="006B0A74"/>
    <w:rsid w:val="006B1166"/>
    <w:rsid w:val="006B7179"/>
    <w:rsid w:val="006B7D59"/>
    <w:rsid w:val="006C0E74"/>
    <w:rsid w:val="006C2E0F"/>
    <w:rsid w:val="006C3EA4"/>
    <w:rsid w:val="006C70E8"/>
    <w:rsid w:val="006D2522"/>
    <w:rsid w:val="006D4EB5"/>
    <w:rsid w:val="006D6E33"/>
    <w:rsid w:val="006E0085"/>
    <w:rsid w:val="006E14F0"/>
    <w:rsid w:val="006E5A1F"/>
    <w:rsid w:val="006F0111"/>
    <w:rsid w:val="006F39B4"/>
    <w:rsid w:val="006F5A2E"/>
    <w:rsid w:val="006F622C"/>
    <w:rsid w:val="006F772A"/>
    <w:rsid w:val="00702961"/>
    <w:rsid w:val="007041AB"/>
    <w:rsid w:val="00704477"/>
    <w:rsid w:val="00704E86"/>
    <w:rsid w:val="00705104"/>
    <w:rsid w:val="007052CF"/>
    <w:rsid w:val="00705525"/>
    <w:rsid w:val="00705E4A"/>
    <w:rsid w:val="0070757A"/>
    <w:rsid w:val="00710FB1"/>
    <w:rsid w:val="00711BA7"/>
    <w:rsid w:val="00715A08"/>
    <w:rsid w:val="007160CA"/>
    <w:rsid w:val="007171DE"/>
    <w:rsid w:val="0072448E"/>
    <w:rsid w:val="0072528E"/>
    <w:rsid w:val="007260D2"/>
    <w:rsid w:val="0072736A"/>
    <w:rsid w:val="007273FC"/>
    <w:rsid w:val="00730CC6"/>
    <w:rsid w:val="00732D4C"/>
    <w:rsid w:val="00733F60"/>
    <w:rsid w:val="00736ACC"/>
    <w:rsid w:val="0074078B"/>
    <w:rsid w:val="00746584"/>
    <w:rsid w:val="00747B07"/>
    <w:rsid w:val="00751767"/>
    <w:rsid w:val="00752B0C"/>
    <w:rsid w:val="00752F9B"/>
    <w:rsid w:val="007530AF"/>
    <w:rsid w:val="0076047D"/>
    <w:rsid w:val="00760747"/>
    <w:rsid w:val="00760FEE"/>
    <w:rsid w:val="0076168D"/>
    <w:rsid w:val="007624BD"/>
    <w:rsid w:val="00763114"/>
    <w:rsid w:val="00764FC3"/>
    <w:rsid w:val="00765253"/>
    <w:rsid w:val="00765D9A"/>
    <w:rsid w:val="007663FB"/>
    <w:rsid w:val="00767AAA"/>
    <w:rsid w:val="00770A87"/>
    <w:rsid w:val="00771C69"/>
    <w:rsid w:val="00775FC4"/>
    <w:rsid w:val="007778AC"/>
    <w:rsid w:val="00781584"/>
    <w:rsid w:val="0078396C"/>
    <w:rsid w:val="007847A4"/>
    <w:rsid w:val="00784B14"/>
    <w:rsid w:val="0078726F"/>
    <w:rsid w:val="0078781C"/>
    <w:rsid w:val="00791D43"/>
    <w:rsid w:val="00791F87"/>
    <w:rsid w:val="00792242"/>
    <w:rsid w:val="00795052"/>
    <w:rsid w:val="007967F3"/>
    <w:rsid w:val="007A4A89"/>
    <w:rsid w:val="007A62AF"/>
    <w:rsid w:val="007B0885"/>
    <w:rsid w:val="007B11B0"/>
    <w:rsid w:val="007B13F4"/>
    <w:rsid w:val="007B14C7"/>
    <w:rsid w:val="007B1892"/>
    <w:rsid w:val="007B1E38"/>
    <w:rsid w:val="007B1F6D"/>
    <w:rsid w:val="007B36B8"/>
    <w:rsid w:val="007B6B3D"/>
    <w:rsid w:val="007B7372"/>
    <w:rsid w:val="007B79D4"/>
    <w:rsid w:val="007C002A"/>
    <w:rsid w:val="007C1952"/>
    <w:rsid w:val="007C6B16"/>
    <w:rsid w:val="007C77FF"/>
    <w:rsid w:val="007D2C6C"/>
    <w:rsid w:val="007D3758"/>
    <w:rsid w:val="007D42F0"/>
    <w:rsid w:val="007D4922"/>
    <w:rsid w:val="007D78AC"/>
    <w:rsid w:val="007E2CE0"/>
    <w:rsid w:val="007E49D5"/>
    <w:rsid w:val="007E623D"/>
    <w:rsid w:val="007F7F08"/>
    <w:rsid w:val="00800871"/>
    <w:rsid w:val="00801A43"/>
    <w:rsid w:val="00801E2A"/>
    <w:rsid w:val="00803194"/>
    <w:rsid w:val="0080341A"/>
    <w:rsid w:val="008057DD"/>
    <w:rsid w:val="00806D90"/>
    <w:rsid w:val="008070B5"/>
    <w:rsid w:val="00810990"/>
    <w:rsid w:val="0081249B"/>
    <w:rsid w:val="0081418C"/>
    <w:rsid w:val="008149E0"/>
    <w:rsid w:val="008151A0"/>
    <w:rsid w:val="008161D8"/>
    <w:rsid w:val="00816BDA"/>
    <w:rsid w:val="0082116A"/>
    <w:rsid w:val="008214CA"/>
    <w:rsid w:val="0082238C"/>
    <w:rsid w:val="0082333E"/>
    <w:rsid w:val="00823772"/>
    <w:rsid w:val="00823A65"/>
    <w:rsid w:val="00823EEC"/>
    <w:rsid w:val="00824CE4"/>
    <w:rsid w:val="00826333"/>
    <w:rsid w:val="0083006A"/>
    <w:rsid w:val="008306BD"/>
    <w:rsid w:val="00830FB5"/>
    <w:rsid w:val="00831804"/>
    <w:rsid w:val="00837CA5"/>
    <w:rsid w:val="00843927"/>
    <w:rsid w:val="008439A0"/>
    <w:rsid w:val="008439DC"/>
    <w:rsid w:val="008459AE"/>
    <w:rsid w:val="00847DA6"/>
    <w:rsid w:val="00850BFE"/>
    <w:rsid w:val="00852A7A"/>
    <w:rsid w:val="00854077"/>
    <w:rsid w:val="0085495B"/>
    <w:rsid w:val="0085722A"/>
    <w:rsid w:val="00862693"/>
    <w:rsid w:val="00865376"/>
    <w:rsid w:val="00865D79"/>
    <w:rsid w:val="00866938"/>
    <w:rsid w:val="00866A83"/>
    <w:rsid w:val="008724EC"/>
    <w:rsid w:val="0087255C"/>
    <w:rsid w:val="00872AFF"/>
    <w:rsid w:val="00880D98"/>
    <w:rsid w:val="00882110"/>
    <w:rsid w:val="00886221"/>
    <w:rsid w:val="00887989"/>
    <w:rsid w:val="0089095D"/>
    <w:rsid w:val="00892D2E"/>
    <w:rsid w:val="00895326"/>
    <w:rsid w:val="008955B1"/>
    <w:rsid w:val="0089798E"/>
    <w:rsid w:val="008A5FC8"/>
    <w:rsid w:val="008A6ADF"/>
    <w:rsid w:val="008A718F"/>
    <w:rsid w:val="008B12D7"/>
    <w:rsid w:val="008B1C69"/>
    <w:rsid w:val="008B2063"/>
    <w:rsid w:val="008B2BAE"/>
    <w:rsid w:val="008B2BBB"/>
    <w:rsid w:val="008B2CD8"/>
    <w:rsid w:val="008B30FA"/>
    <w:rsid w:val="008B6B17"/>
    <w:rsid w:val="008B7198"/>
    <w:rsid w:val="008B7442"/>
    <w:rsid w:val="008C0C6F"/>
    <w:rsid w:val="008C12DF"/>
    <w:rsid w:val="008C20C2"/>
    <w:rsid w:val="008C2193"/>
    <w:rsid w:val="008C3047"/>
    <w:rsid w:val="008C406A"/>
    <w:rsid w:val="008C48E7"/>
    <w:rsid w:val="008D17B8"/>
    <w:rsid w:val="008D3959"/>
    <w:rsid w:val="008D39D8"/>
    <w:rsid w:val="008D3F69"/>
    <w:rsid w:val="008D5ED0"/>
    <w:rsid w:val="008D7615"/>
    <w:rsid w:val="008E011C"/>
    <w:rsid w:val="008E297E"/>
    <w:rsid w:val="008E32EC"/>
    <w:rsid w:val="008E599D"/>
    <w:rsid w:val="008E5E95"/>
    <w:rsid w:val="008E60BC"/>
    <w:rsid w:val="008E7A29"/>
    <w:rsid w:val="008F0C14"/>
    <w:rsid w:val="008F51AF"/>
    <w:rsid w:val="008F7B5E"/>
    <w:rsid w:val="008F7DF4"/>
    <w:rsid w:val="009002CB"/>
    <w:rsid w:val="0090144A"/>
    <w:rsid w:val="00901F9A"/>
    <w:rsid w:val="00902760"/>
    <w:rsid w:val="00903C81"/>
    <w:rsid w:val="00905F29"/>
    <w:rsid w:val="00906452"/>
    <w:rsid w:val="00906DDE"/>
    <w:rsid w:val="009120F7"/>
    <w:rsid w:val="00912A45"/>
    <w:rsid w:val="00914185"/>
    <w:rsid w:val="00917274"/>
    <w:rsid w:val="00917E9B"/>
    <w:rsid w:val="0092103C"/>
    <w:rsid w:val="00922DEC"/>
    <w:rsid w:val="009242F8"/>
    <w:rsid w:val="00926F32"/>
    <w:rsid w:val="009270E7"/>
    <w:rsid w:val="00930970"/>
    <w:rsid w:val="00930DC5"/>
    <w:rsid w:val="009365C6"/>
    <w:rsid w:val="00937BAA"/>
    <w:rsid w:val="00940974"/>
    <w:rsid w:val="00941468"/>
    <w:rsid w:val="00942034"/>
    <w:rsid w:val="009421E8"/>
    <w:rsid w:val="00942C21"/>
    <w:rsid w:val="00942FD3"/>
    <w:rsid w:val="0094631A"/>
    <w:rsid w:val="0094758D"/>
    <w:rsid w:val="00952792"/>
    <w:rsid w:val="009541CA"/>
    <w:rsid w:val="009542A6"/>
    <w:rsid w:val="009563E7"/>
    <w:rsid w:val="009573AA"/>
    <w:rsid w:val="009575A0"/>
    <w:rsid w:val="00962782"/>
    <w:rsid w:val="009628D9"/>
    <w:rsid w:val="009659B1"/>
    <w:rsid w:val="00970A87"/>
    <w:rsid w:val="0097484C"/>
    <w:rsid w:val="00980639"/>
    <w:rsid w:val="00984562"/>
    <w:rsid w:val="009856CD"/>
    <w:rsid w:val="0099005D"/>
    <w:rsid w:val="009917EE"/>
    <w:rsid w:val="009940AB"/>
    <w:rsid w:val="009959F3"/>
    <w:rsid w:val="009A12E1"/>
    <w:rsid w:val="009A1B28"/>
    <w:rsid w:val="009A3C63"/>
    <w:rsid w:val="009A3D63"/>
    <w:rsid w:val="009A4E73"/>
    <w:rsid w:val="009B0FEA"/>
    <w:rsid w:val="009B2086"/>
    <w:rsid w:val="009B3FED"/>
    <w:rsid w:val="009B67D0"/>
    <w:rsid w:val="009B67F8"/>
    <w:rsid w:val="009B7686"/>
    <w:rsid w:val="009C0AD1"/>
    <w:rsid w:val="009C0FB7"/>
    <w:rsid w:val="009C1A95"/>
    <w:rsid w:val="009C5AC9"/>
    <w:rsid w:val="009D0F15"/>
    <w:rsid w:val="009D387A"/>
    <w:rsid w:val="009D7562"/>
    <w:rsid w:val="009E0A1D"/>
    <w:rsid w:val="009E5F72"/>
    <w:rsid w:val="009F0222"/>
    <w:rsid w:val="00A0082B"/>
    <w:rsid w:val="00A00D68"/>
    <w:rsid w:val="00A04421"/>
    <w:rsid w:val="00A049F0"/>
    <w:rsid w:val="00A04F0B"/>
    <w:rsid w:val="00A0560E"/>
    <w:rsid w:val="00A05CA1"/>
    <w:rsid w:val="00A0727C"/>
    <w:rsid w:val="00A07703"/>
    <w:rsid w:val="00A11E31"/>
    <w:rsid w:val="00A121E0"/>
    <w:rsid w:val="00A1343C"/>
    <w:rsid w:val="00A142A8"/>
    <w:rsid w:val="00A145DA"/>
    <w:rsid w:val="00A14BDB"/>
    <w:rsid w:val="00A1529D"/>
    <w:rsid w:val="00A17156"/>
    <w:rsid w:val="00A17EAD"/>
    <w:rsid w:val="00A25E37"/>
    <w:rsid w:val="00A26E10"/>
    <w:rsid w:val="00A30EF3"/>
    <w:rsid w:val="00A31900"/>
    <w:rsid w:val="00A33212"/>
    <w:rsid w:val="00A34994"/>
    <w:rsid w:val="00A354D1"/>
    <w:rsid w:val="00A36D22"/>
    <w:rsid w:val="00A4348B"/>
    <w:rsid w:val="00A43D75"/>
    <w:rsid w:val="00A46A4F"/>
    <w:rsid w:val="00A50C83"/>
    <w:rsid w:val="00A51235"/>
    <w:rsid w:val="00A5572B"/>
    <w:rsid w:val="00A56AC1"/>
    <w:rsid w:val="00A623FA"/>
    <w:rsid w:val="00A66D9B"/>
    <w:rsid w:val="00A713F2"/>
    <w:rsid w:val="00A7150F"/>
    <w:rsid w:val="00A715AD"/>
    <w:rsid w:val="00A719FA"/>
    <w:rsid w:val="00A726EB"/>
    <w:rsid w:val="00A72AE4"/>
    <w:rsid w:val="00A738A0"/>
    <w:rsid w:val="00A7702D"/>
    <w:rsid w:val="00A809DB"/>
    <w:rsid w:val="00A82A90"/>
    <w:rsid w:val="00A83BE2"/>
    <w:rsid w:val="00A83E1E"/>
    <w:rsid w:val="00A83FFA"/>
    <w:rsid w:val="00A9448E"/>
    <w:rsid w:val="00A95285"/>
    <w:rsid w:val="00A96493"/>
    <w:rsid w:val="00A96BC1"/>
    <w:rsid w:val="00A97E3B"/>
    <w:rsid w:val="00AA0DD9"/>
    <w:rsid w:val="00AA7A96"/>
    <w:rsid w:val="00AB1B4A"/>
    <w:rsid w:val="00AB2119"/>
    <w:rsid w:val="00AB7185"/>
    <w:rsid w:val="00AB7FCB"/>
    <w:rsid w:val="00AC00B2"/>
    <w:rsid w:val="00AC02CC"/>
    <w:rsid w:val="00AC46DB"/>
    <w:rsid w:val="00AC6DBB"/>
    <w:rsid w:val="00AD13CF"/>
    <w:rsid w:val="00AD1CCE"/>
    <w:rsid w:val="00AD2F2E"/>
    <w:rsid w:val="00AD2FE8"/>
    <w:rsid w:val="00AD3343"/>
    <w:rsid w:val="00AD4E79"/>
    <w:rsid w:val="00AD5407"/>
    <w:rsid w:val="00AD6F30"/>
    <w:rsid w:val="00AE0E96"/>
    <w:rsid w:val="00AE4FBB"/>
    <w:rsid w:val="00AE6016"/>
    <w:rsid w:val="00AE71F7"/>
    <w:rsid w:val="00AE76CA"/>
    <w:rsid w:val="00AF020C"/>
    <w:rsid w:val="00AF0881"/>
    <w:rsid w:val="00AF36F5"/>
    <w:rsid w:val="00AF418F"/>
    <w:rsid w:val="00AF46F0"/>
    <w:rsid w:val="00AF598E"/>
    <w:rsid w:val="00AF6924"/>
    <w:rsid w:val="00AF737B"/>
    <w:rsid w:val="00B02A33"/>
    <w:rsid w:val="00B0325F"/>
    <w:rsid w:val="00B04D95"/>
    <w:rsid w:val="00B057B3"/>
    <w:rsid w:val="00B06818"/>
    <w:rsid w:val="00B12008"/>
    <w:rsid w:val="00B1342A"/>
    <w:rsid w:val="00B149C1"/>
    <w:rsid w:val="00B1792C"/>
    <w:rsid w:val="00B204B6"/>
    <w:rsid w:val="00B20B0F"/>
    <w:rsid w:val="00B20C6C"/>
    <w:rsid w:val="00B20E05"/>
    <w:rsid w:val="00B20E7C"/>
    <w:rsid w:val="00B21981"/>
    <w:rsid w:val="00B21C98"/>
    <w:rsid w:val="00B244C3"/>
    <w:rsid w:val="00B26106"/>
    <w:rsid w:val="00B26387"/>
    <w:rsid w:val="00B27996"/>
    <w:rsid w:val="00B27A2C"/>
    <w:rsid w:val="00B316E3"/>
    <w:rsid w:val="00B32A24"/>
    <w:rsid w:val="00B33D34"/>
    <w:rsid w:val="00B34E32"/>
    <w:rsid w:val="00B3555F"/>
    <w:rsid w:val="00B35BAB"/>
    <w:rsid w:val="00B3771C"/>
    <w:rsid w:val="00B405CE"/>
    <w:rsid w:val="00B40936"/>
    <w:rsid w:val="00B40B36"/>
    <w:rsid w:val="00B41997"/>
    <w:rsid w:val="00B4234E"/>
    <w:rsid w:val="00B4576B"/>
    <w:rsid w:val="00B45BF4"/>
    <w:rsid w:val="00B46A04"/>
    <w:rsid w:val="00B50F34"/>
    <w:rsid w:val="00B52033"/>
    <w:rsid w:val="00B54A78"/>
    <w:rsid w:val="00B54BCB"/>
    <w:rsid w:val="00B65196"/>
    <w:rsid w:val="00B6556D"/>
    <w:rsid w:val="00B6666F"/>
    <w:rsid w:val="00B676A3"/>
    <w:rsid w:val="00B677FA"/>
    <w:rsid w:val="00B732D0"/>
    <w:rsid w:val="00B736D9"/>
    <w:rsid w:val="00B73E5A"/>
    <w:rsid w:val="00B74975"/>
    <w:rsid w:val="00B74C19"/>
    <w:rsid w:val="00B74EBF"/>
    <w:rsid w:val="00B8113C"/>
    <w:rsid w:val="00B85392"/>
    <w:rsid w:val="00B8703D"/>
    <w:rsid w:val="00B870A8"/>
    <w:rsid w:val="00B90C91"/>
    <w:rsid w:val="00B91DAF"/>
    <w:rsid w:val="00B92332"/>
    <w:rsid w:val="00B93DF4"/>
    <w:rsid w:val="00B9453B"/>
    <w:rsid w:val="00B94AB9"/>
    <w:rsid w:val="00B952C4"/>
    <w:rsid w:val="00BA382D"/>
    <w:rsid w:val="00BB09C4"/>
    <w:rsid w:val="00BB204D"/>
    <w:rsid w:val="00BB33B2"/>
    <w:rsid w:val="00BB7C53"/>
    <w:rsid w:val="00BC0472"/>
    <w:rsid w:val="00BC0C94"/>
    <w:rsid w:val="00BC21DF"/>
    <w:rsid w:val="00BC24E4"/>
    <w:rsid w:val="00BC4C07"/>
    <w:rsid w:val="00BC5592"/>
    <w:rsid w:val="00BC5C10"/>
    <w:rsid w:val="00BC77FC"/>
    <w:rsid w:val="00BC7A5C"/>
    <w:rsid w:val="00BD09AD"/>
    <w:rsid w:val="00BD16BC"/>
    <w:rsid w:val="00BD2CF6"/>
    <w:rsid w:val="00BD3283"/>
    <w:rsid w:val="00BD3C3A"/>
    <w:rsid w:val="00BD6894"/>
    <w:rsid w:val="00BE0023"/>
    <w:rsid w:val="00BE0DC1"/>
    <w:rsid w:val="00BE4DD9"/>
    <w:rsid w:val="00BE7910"/>
    <w:rsid w:val="00BF338B"/>
    <w:rsid w:val="00BF54CA"/>
    <w:rsid w:val="00BF55A8"/>
    <w:rsid w:val="00BF56AB"/>
    <w:rsid w:val="00BF6655"/>
    <w:rsid w:val="00BF682A"/>
    <w:rsid w:val="00BF6917"/>
    <w:rsid w:val="00BF7CBB"/>
    <w:rsid w:val="00C00EBB"/>
    <w:rsid w:val="00C01FE5"/>
    <w:rsid w:val="00C0303D"/>
    <w:rsid w:val="00C0430F"/>
    <w:rsid w:val="00C05952"/>
    <w:rsid w:val="00C10303"/>
    <w:rsid w:val="00C10E2C"/>
    <w:rsid w:val="00C1288E"/>
    <w:rsid w:val="00C12E9C"/>
    <w:rsid w:val="00C16060"/>
    <w:rsid w:val="00C1614A"/>
    <w:rsid w:val="00C161BE"/>
    <w:rsid w:val="00C2005B"/>
    <w:rsid w:val="00C20DF3"/>
    <w:rsid w:val="00C21236"/>
    <w:rsid w:val="00C2473D"/>
    <w:rsid w:val="00C25BF2"/>
    <w:rsid w:val="00C27274"/>
    <w:rsid w:val="00C33503"/>
    <w:rsid w:val="00C3360D"/>
    <w:rsid w:val="00C33959"/>
    <w:rsid w:val="00C3416D"/>
    <w:rsid w:val="00C41112"/>
    <w:rsid w:val="00C44888"/>
    <w:rsid w:val="00C45FC7"/>
    <w:rsid w:val="00C50268"/>
    <w:rsid w:val="00C50BDC"/>
    <w:rsid w:val="00C50C10"/>
    <w:rsid w:val="00C52864"/>
    <w:rsid w:val="00C52C5F"/>
    <w:rsid w:val="00C52D69"/>
    <w:rsid w:val="00C53234"/>
    <w:rsid w:val="00C61BAD"/>
    <w:rsid w:val="00C6255F"/>
    <w:rsid w:val="00C6271D"/>
    <w:rsid w:val="00C63FE1"/>
    <w:rsid w:val="00C67E61"/>
    <w:rsid w:val="00C72E06"/>
    <w:rsid w:val="00C7360F"/>
    <w:rsid w:val="00C739A4"/>
    <w:rsid w:val="00C73B16"/>
    <w:rsid w:val="00C7463A"/>
    <w:rsid w:val="00C820D4"/>
    <w:rsid w:val="00C837DF"/>
    <w:rsid w:val="00C84991"/>
    <w:rsid w:val="00C8682B"/>
    <w:rsid w:val="00C9472F"/>
    <w:rsid w:val="00C95374"/>
    <w:rsid w:val="00CA1C33"/>
    <w:rsid w:val="00CA23D1"/>
    <w:rsid w:val="00CA26F8"/>
    <w:rsid w:val="00CA3664"/>
    <w:rsid w:val="00CA3726"/>
    <w:rsid w:val="00CA3925"/>
    <w:rsid w:val="00CA541D"/>
    <w:rsid w:val="00CA5F11"/>
    <w:rsid w:val="00CA6176"/>
    <w:rsid w:val="00CB08A7"/>
    <w:rsid w:val="00CB25B8"/>
    <w:rsid w:val="00CB2CC9"/>
    <w:rsid w:val="00CB53AE"/>
    <w:rsid w:val="00CB5873"/>
    <w:rsid w:val="00CB5C61"/>
    <w:rsid w:val="00CB6AC9"/>
    <w:rsid w:val="00CB7961"/>
    <w:rsid w:val="00CC0CE7"/>
    <w:rsid w:val="00CC14DD"/>
    <w:rsid w:val="00CC318B"/>
    <w:rsid w:val="00CC3B90"/>
    <w:rsid w:val="00CC4DA9"/>
    <w:rsid w:val="00CC53D7"/>
    <w:rsid w:val="00CC63D8"/>
    <w:rsid w:val="00CC6B9F"/>
    <w:rsid w:val="00CD01D3"/>
    <w:rsid w:val="00CD2FF6"/>
    <w:rsid w:val="00CD36D8"/>
    <w:rsid w:val="00CD7AEB"/>
    <w:rsid w:val="00CE028C"/>
    <w:rsid w:val="00CE152A"/>
    <w:rsid w:val="00CE3F25"/>
    <w:rsid w:val="00CE4F68"/>
    <w:rsid w:val="00CE6BC2"/>
    <w:rsid w:val="00CF005D"/>
    <w:rsid w:val="00CF07D1"/>
    <w:rsid w:val="00CF0A22"/>
    <w:rsid w:val="00CF0C56"/>
    <w:rsid w:val="00CF1146"/>
    <w:rsid w:val="00CF1F41"/>
    <w:rsid w:val="00CF4191"/>
    <w:rsid w:val="00CF57BD"/>
    <w:rsid w:val="00D014DA"/>
    <w:rsid w:val="00D0188C"/>
    <w:rsid w:val="00D0206B"/>
    <w:rsid w:val="00D0340C"/>
    <w:rsid w:val="00D04EE0"/>
    <w:rsid w:val="00D07A7C"/>
    <w:rsid w:val="00D10534"/>
    <w:rsid w:val="00D10A65"/>
    <w:rsid w:val="00D10E98"/>
    <w:rsid w:val="00D11AEB"/>
    <w:rsid w:val="00D15075"/>
    <w:rsid w:val="00D22053"/>
    <w:rsid w:val="00D2299E"/>
    <w:rsid w:val="00D2751D"/>
    <w:rsid w:val="00D27CC7"/>
    <w:rsid w:val="00D31125"/>
    <w:rsid w:val="00D32FFD"/>
    <w:rsid w:val="00D33519"/>
    <w:rsid w:val="00D37D24"/>
    <w:rsid w:val="00D42A8B"/>
    <w:rsid w:val="00D4398E"/>
    <w:rsid w:val="00D442CD"/>
    <w:rsid w:val="00D464DB"/>
    <w:rsid w:val="00D475D2"/>
    <w:rsid w:val="00D5038F"/>
    <w:rsid w:val="00D52331"/>
    <w:rsid w:val="00D523C2"/>
    <w:rsid w:val="00D54D86"/>
    <w:rsid w:val="00D55CDD"/>
    <w:rsid w:val="00D600ED"/>
    <w:rsid w:val="00D60F77"/>
    <w:rsid w:val="00D62AF7"/>
    <w:rsid w:val="00D62D7D"/>
    <w:rsid w:val="00D62E59"/>
    <w:rsid w:val="00D63A53"/>
    <w:rsid w:val="00D63AAF"/>
    <w:rsid w:val="00D65DBB"/>
    <w:rsid w:val="00D66984"/>
    <w:rsid w:val="00D70BCF"/>
    <w:rsid w:val="00D71C66"/>
    <w:rsid w:val="00D72DAE"/>
    <w:rsid w:val="00D777DF"/>
    <w:rsid w:val="00D85570"/>
    <w:rsid w:val="00D86DB1"/>
    <w:rsid w:val="00D87D97"/>
    <w:rsid w:val="00D90885"/>
    <w:rsid w:val="00D95CA3"/>
    <w:rsid w:val="00D95E42"/>
    <w:rsid w:val="00D95FD3"/>
    <w:rsid w:val="00D961B4"/>
    <w:rsid w:val="00D96976"/>
    <w:rsid w:val="00DA0AF7"/>
    <w:rsid w:val="00DA1671"/>
    <w:rsid w:val="00DA29AD"/>
    <w:rsid w:val="00DA3460"/>
    <w:rsid w:val="00DA3E1A"/>
    <w:rsid w:val="00DA43AB"/>
    <w:rsid w:val="00DA524D"/>
    <w:rsid w:val="00DA7BEB"/>
    <w:rsid w:val="00DB01BE"/>
    <w:rsid w:val="00DB3D83"/>
    <w:rsid w:val="00DB4673"/>
    <w:rsid w:val="00DB56CB"/>
    <w:rsid w:val="00DB6286"/>
    <w:rsid w:val="00DC072D"/>
    <w:rsid w:val="00DC525B"/>
    <w:rsid w:val="00DC58EB"/>
    <w:rsid w:val="00DD01C6"/>
    <w:rsid w:val="00DD0910"/>
    <w:rsid w:val="00DD1692"/>
    <w:rsid w:val="00DD16D3"/>
    <w:rsid w:val="00DD1D9B"/>
    <w:rsid w:val="00DD2F56"/>
    <w:rsid w:val="00DD3C8C"/>
    <w:rsid w:val="00DD4B93"/>
    <w:rsid w:val="00DD7DFF"/>
    <w:rsid w:val="00DE011B"/>
    <w:rsid w:val="00DE2AA0"/>
    <w:rsid w:val="00DE461A"/>
    <w:rsid w:val="00DE4C3D"/>
    <w:rsid w:val="00DE5DBF"/>
    <w:rsid w:val="00DE68BB"/>
    <w:rsid w:val="00DE7EED"/>
    <w:rsid w:val="00DF1A37"/>
    <w:rsid w:val="00DF22E7"/>
    <w:rsid w:val="00DF2D3C"/>
    <w:rsid w:val="00DF3451"/>
    <w:rsid w:val="00DF4B5E"/>
    <w:rsid w:val="00DF7DED"/>
    <w:rsid w:val="00DF7E02"/>
    <w:rsid w:val="00E012E2"/>
    <w:rsid w:val="00E028AB"/>
    <w:rsid w:val="00E03EAC"/>
    <w:rsid w:val="00E044FB"/>
    <w:rsid w:val="00E04BB6"/>
    <w:rsid w:val="00E05D31"/>
    <w:rsid w:val="00E06030"/>
    <w:rsid w:val="00E06747"/>
    <w:rsid w:val="00E10449"/>
    <w:rsid w:val="00E11154"/>
    <w:rsid w:val="00E139C2"/>
    <w:rsid w:val="00E139C5"/>
    <w:rsid w:val="00E14AF4"/>
    <w:rsid w:val="00E14BC0"/>
    <w:rsid w:val="00E1558F"/>
    <w:rsid w:val="00E162D2"/>
    <w:rsid w:val="00E17B39"/>
    <w:rsid w:val="00E21149"/>
    <w:rsid w:val="00E21647"/>
    <w:rsid w:val="00E21B3A"/>
    <w:rsid w:val="00E22FF4"/>
    <w:rsid w:val="00E246AD"/>
    <w:rsid w:val="00E3482A"/>
    <w:rsid w:val="00E42B73"/>
    <w:rsid w:val="00E43CA3"/>
    <w:rsid w:val="00E44AA4"/>
    <w:rsid w:val="00E458FE"/>
    <w:rsid w:val="00E46A95"/>
    <w:rsid w:val="00E470CE"/>
    <w:rsid w:val="00E5029C"/>
    <w:rsid w:val="00E504E0"/>
    <w:rsid w:val="00E52E5C"/>
    <w:rsid w:val="00E53832"/>
    <w:rsid w:val="00E54ADA"/>
    <w:rsid w:val="00E605A9"/>
    <w:rsid w:val="00E62C66"/>
    <w:rsid w:val="00E637F3"/>
    <w:rsid w:val="00E6394E"/>
    <w:rsid w:val="00E64FFD"/>
    <w:rsid w:val="00E65CB9"/>
    <w:rsid w:val="00E672FA"/>
    <w:rsid w:val="00E67E7B"/>
    <w:rsid w:val="00E70244"/>
    <w:rsid w:val="00E70D81"/>
    <w:rsid w:val="00E71138"/>
    <w:rsid w:val="00E71372"/>
    <w:rsid w:val="00E715AF"/>
    <w:rsid w:val="00E71690"/>
    <w:rsid w:val="00E723E4"/>
    <w:rsid w:val="00E7304A"/>
    <w:rsid w:val="00E75FA8"/>
    <w:rsid w:val="00E77489"/>
    <w:rsid w:val="00E779B8"/>
    <w:rsid w:val="00E800AF"/>
    <w:rsid w:val="00E801BA"/>
    <w:rsid w:val="00E811E8"/>
    <w:rsid w:val="00E81BB5"/>
    <w:rsid w:val="00E81CC5"/>
    <w:rsid w:val="00E82643"/>
    <w:rsid w:val="00E8460E"/>
    <w:rsid w:val="00E85B4D"/>
    <w:rsid w:val="00E90941"/>
    <w:rsid w:val="00E90CB7"/>
    <w:rsid w:val="00E92A93"/>
    <w:rsid w:val="00E92CD0"/>
    <w:rsid w:val="00E9522C"/>
    <w:rsid w:val="00E9793B"/>
    <w:rsid w:val="00EA0120"/>
    <w:rsid w:val="00EA0202"/>
    <w:rsid w:val="00EA379A"/>
    <w:rsid w:val="00EA41C4"/>
    <w:rsid w:val="00EA6DB2"/>
    <w:rsid w:val="00EB058F"/>
    <w:rsid w:val="00EB1A2A"/>
    <w:rsid w:val="00EB291D"/>
    <w:rsid w:val="00EB41A5"/>
    <w:rsid w:val="00EB6C0C"/>
    <w:rsid w:val="00EB77DF"/>
    <w:rsid w:val="00EC4CD0"/>
    <w:rsid w:val="00ED023A"/>
    <w:rsid w:val="00ED08E6"/>
    <w:rsid w:val="00ED103B"/>
    <w:rsid w:val="00ED126C"/>
    <w:rsid w:val="00ED2BC7"/>
    <w:rsid w:val="00ED2EE4"/>
    <w:rsid w:val="00ED37A5"/>
    <w:rsid w:val="00EE0CF0"/>
    <w:rsid w:val="00EE229D"/>
    <w:rsid w:val="00EE433D"/>
    <w:rsid w:val="00EE7557"/>
    <w:rsid w:val="00EF009E"/>
    <w:rsid w:val="00EF018C"/>
    <w:rsid w:val="00EF11F2"/>
    <w:rsid w:val="00EF1C96"/>
    <w:rsid w:val="00EF225B"/>
    <w:rsid w:val="00EF2AF8"/>
    <w:rsid w:val="00EF35B3"/>
    <w:rsid w:val="00EF3777"/>
    <w:rsid w:val="00EF73EF"/>
    <w:rsid w:val="00F008A5"/>
    <w:rsid w:val="00F0096D"/>
    <w:rsid w:val="00F04DF2"/>
    <w:rsid w:val="00F0523F"/>
    <w:rsid w:val="00F053E9"/>
    <w:rsid w:val="00F061F4"/>
    <w:rsid w:val="00F10D91"/>
    <w:rsid w:val="00F10F6B"/>
    <w:rsid w:val="00F129B8"/>
    <w:rsid w:val="00F20614"/>
    <w:rsid w:val="00F23CED"/>
    <w:rsid w:val="00F24943"/>
    <w:rsid w:val="00F27394"/>
    <w:rsid w:val="00F275BC"/>
    <w:rsid w:val="00F30839"/>
    <w:rsid w:val="00F3106D"/>
    <w:rsid w:val="00F31A01"/>
    <w:rsid w:val="00F3211F"/>
    <w:rsid w:val="00F324CD"/>
    <w:rsid w:val="00F3264D"/>
    <w:rsid w:val="00F40E19"/>
    <w:rsid w:val="00F424A4"/>
    <w:rsid w:val="00F45B23"/>
    <w:rsid w:val="00F469AA"/>
    <w:rsid w:val="00F46BA9"/>
    <w:rsid w:val="00F470A2"/>
    <w:rsid w:val="00F4713A"/>
    <w:rsid w:val="00F504D3"/>
    <w:rsid w:val="00F513EE"/>
    <w:rsid w:val="00F51476"/>
    <w:rsid w:val="00F532C2"/>
    <w:rsid w:val="00F54320"/>
    <w:rsid w:val="00F56ACC"/>
    <w:rsid w:val="00F56B39"/>
    <w:rsid w:val="00F6093F"/>
    <w:rsid w:val="00F615A9"/>
    <w:rsid w:val="00F61EE5"/>
    <w:rsid w:val="00F63180"/>
    <w:rsid w:val="00F63BD2"/>
    <w:rsid w:val="00F63D86"/>
    <w:rsid w:val="00F64C70"/>
    <w:rsid w:val="00F64FA5"/>
    <w:rsid w:val="00F65A82"/>
    <w:rsid w:val="00F66588"/>
    <w:rsid w:val="00F66663"/>
    <w:rsid w:val="00F67652"/>
    <w:rsid w:val="00F70345"/>
    <w:rsid w:val="00F70866"/>
    <w:rsid w:val="00F710FF"/>
    <w:rsid w:val="00F717BC"/>
    <w:rsid w:val="00F719CA"/>
    <w:rsid w:val="00F72EDB"/>
    <w:rsid w:val="00F75A50"/>
    <w:rsid w:val="00F768D4"/>
    <w:rsid w:val="00F815BC"/>
    <w:rsid w:val="00F81928"/>
    <w:rsid w:val="00F82D64"/>
    <w:rsid w:val="00F837B9"/>
    <w:rsid w:val="00F84315"/>
    <w:rsid w:val="00F860A2"/>
    <w:rsid w:val="00F868A8"/>
    <w:rsid w:val="00F91096"/>
    <w:rsid w:val="00F924E4"/>
    <w:rsid w:val="00F9262C"/>
    <w:rsid w:val="00F92A2B"/>
    <w:rsid w:val="00F93D20"/>
    <w:rsid w:val="00F94389"/>
    <w:rsid w:val="00F964A2"/>
    <w:rsid w:val="00F97BF3"/>
    <w:rsid w:val="00FA243D"/>
    <w:rsid w:val="00FA2B3D"/>
    <w:rsid w:val="00FA3526"/>
    <w:rsid w:val="00FA3C76"/>
    <w:rsid w:val="00FA440A"/>
    <w:rsid w:val="00FA6B37"/>
    <w:rsid w:val="00FA7044"/>
    <w:rsid w:val="00FA777F"/>
    <w:rsid w:val="00FB0088"/>
    <w:rsid w:val="00FB1AC6"/>
    <w:rsid w:val="00FB5422"/>
    <w:rsid w:val="00FB553C"/>
    <w:rsid w:val="00FB64BD"/>
    <w:rsid w:val="00FB714F"/>
    <w:rsid w:val="00FC2222"/>
    <w:rsid w:val="00FC4476"/>
    <w:rsid w:val="00FC45E0"/>
    <w:rsid w:val="00FC5617"/>
    <w:rsid w:val="00FC5C3C"/>
    <w:rsid w:val="00FC5C72"/>
    <w:rsid w:val="00FC7599"/>
    <w:rsid w:val="00FD1268"/>
    <w:rsid w:val="00FD1FF6"/>
    <w:rsid w:val="00FD4367"/>
    <w:rsid w:val="00FD4983"/>
    <w:rsid w:val="00FD4DAE"/>
    <w:rsid w:val="00FD5C35"/>
    <w:rsid w:val="00FD69E6"/>
    <w:rsid w:val="00FD6FE4"/>
    <w:rsid w:val="00FD7522"/>
    <w:rsid w:val="00FD7C46"/>
    <w:rsid w:val="00FE2A96"/>
    <w:rsid w:val="00FE3F36"/>
    <w:rsid w:val="00FE4732"/>
    <w:rsid w:val="00FE5AFB"/>
    <w:rsid w:val="00FE6C4F"/>
    <w:rsid w:val="00FE7D17"/>
    <w:rsid w:val="00FF0CA9"/>
    <w:rsid w:val="00FF1A19"/>
    <w:rsid w:val="00FF2B56"/>
    <w:rsid w:val="00FF2ECC"/>
    <w:rsid w:val="00FF3531"/>
    <w:rsid w:val="00FF4630"/>
    <w:rsid w:val="00FF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38FB"/>
  </w:style>
  <w:style w:type="paragraph" w:styleId="Nadpis1">
    <w:name w:val="heading 1"/>
    <w:aliases w:val="h1,H1,Nadpis 1-Nadpis smlouvy,Základní kapitola,V_Head1,Záhlaví 1,0Überschrift 1,1Überschrift 1,2Überschrift 1,3Überschrift 1,4Überschrift 1,5Überschrift 1,6Überschrift 1,7Überschrift 1,8Überschrift 1,9Überschrift 1,10Überschrift 1,Clanek1"/>
    <w:basedOn w:val="Normln"/>
    <w:next w:val="Normln"/>
    <w:link w:val="Nadpis1Char"/>
    <w:uiPriority w:val="9"/>
    <w:qFormat/>
    <w:rsid w:val="009C5AC9"/>
    <w:pPr>
      <w:keepNext/>
      <w:pageBreakBefore/>
      <w:numPr>
        <w:numId w:val="3"/>
      </w:numPr>
      <w:spacing w:before="240" w:after="240"/>
      <w:outlineLvl w:val="0"/>
    </w:pPr>
    <w:rPr>
      <w:rFonts w:ascii="Times New Roman" w:eastAsia="Times New Roman" w:hAnsi="Times New Roman" w:cs="Arial"/>
      <w:b/>
      <w:bCs/>
      <w:color w:val="000066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C5AC9"/>
    <w:pPr>
      <w:keepNext/>
      <w:numPr>
        <w:ilvl w:val="1"/>
        <w:numId w:val="3"/>
      </w:numPr>
      <w:spacing w:before="240" w:after="240"/>
      <w:outlineLvl w:val="1"/>
    </w:pPr>
    <w:rPr>
      <w:rFonts w:ascii="Times New Roman" w:eastAsia="Times New Roman" w:hAnsi="Times New Roman" w:cs="Arial"/>
      <w:b/>
      <w:bCs/>
      <w:iCs/>
      <w:color w:val="000066"/>
      <w:sz w:val="24"/>
      <w:szCs w:val="28"/>
    </w:rPr>
  </w:style>
  <w:style w:type="paragraph" w:styleId="Nadpis3">
    <w:name w:val="heading 3"/>
    <w:basedOn w:val="Normln"/>
    <w:link w:val="Nadpis3Char"/>
    <w:uiPriority w:val="9"/>
    <w:qFormat/>
    <w:rsid w:val="009C5AC9"/>
    <w:pPr>
      <w:numPr>
        <w:ilvl w:val="2"/>
        <w:numId w:val="3"/>
      </w:num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Cs/>
      <w:color w:val="002060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D5407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D540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D5407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D5407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D5407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D5407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Nadpis 1-Nadpis smlouvy Char,Základní kapitola Char,V_Head1 Char,Záhlaví 1 Char,0Überschrift 1 Char,1Überschrift 1 Char,2Überschrift 1 Char,3Überschrift 1 Char,4Überschrift 1 Char,5Überschrift 1 Char,6Überschrift 1 Char"/>
    <w:basedOn w:val="Standardnpsmoodstavce"/>
    <w:link w:val="Nadpis1"/>
    <w:uiPriority w:val="9"/>
    <w:rsid w:val="009C5AC9"/>
    <w:rPr>
      <w:rFonts w:ascii="Times New Roman" w:eastAsia="Times New Roman" w:hAnsi="Times New Roman" w:cs="Arial"/>
      <w:b/>
      <w:bCs/>
      <w:color w:val="00006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9C5AC9"/>
    <w:rPr>
      <w:rFonts w:ascii="Times New Roman" w:eastAsia="Times New Roman" w:hAnsi="Times New Roman" w:cs="Arial"/>
      <w:b/>
      <w:bCs/>
      <w:iCs/>
      <w:color w:val="000066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9C5AC9"/>
    <w:rPr>
      <w:rFonts w:ascii="Times New Roman" w:eastAsia="Times New Roman" w:hAnsi="Times New Roman" w:cs="Times New Roman"/>
      <w:bCs/>
      <w:color w:val="00206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D54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D54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D54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D54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D5407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D5407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rsid w:val="004C617B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65FC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B4B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B4B"/>
    <w:rPr>
      <w:rFonts w:cs="Tahoma"/>
      <w:sz w:val="16"/>
      <w:szCs w:val="16"/>
    </w:rPr>
  </w:style>
  <w:style w:type="table" w:styleId="Mkatabulky">
    <w:name w:val="Table Grid"/>
    <w:basedOn w:val="Normlntabulka"/>
    <w:uiPriority w:val="59"/>
    <w:rsid w:val="00886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Základní text Char Char Char Char Char Char"/>
    <w:basedOn w:val="Normln"/>
    <w:link w:val="ZkladntextChar"/>
    <w:rsid w:val="00413669"/>
    <w:pPr>
      <w:jc w:val="left"/>
    </w:pPr>
    <w:rPr>
      <w:rFonts w:ascii="Verdana" w:eastAsia="Times New Roman" w:hAnsi="Verdana" w:cs="Arial"/>
      <w:sz w:val="22"/>
      <w:lang w:eastAsia="cs-CZ"/>
    </w:rPr>
  </w:style>
  <w:style w:type="character" w:customStyle="1" w:styleId="ZkladntextChar">
    <w:name w:val="Základní text Char"/>
    <w:aliases w:val="Základní text Char Char Char Char Char Char Char"/>
    <w:basedOn w:val="Standardnpsmoodstavce"/>
    <w:link w:val="Zkladntext"/>
    <w:rsid w:val="00413669"/>
    <w:rPr>
      <w:rFonts w:ascii="Verdana" w:eastAsia="Times New Roman" w:hAnsi="Verdana" w:cs="Arial"/>
      <w:sz w:val="22"/>
      <w:lang w:eastAsia="cs-CZ"/>
    </w:rPr>
  </w:style>
  <w:style w:type="paragraph" w:customStyle="1" w:styleId="Default">
    <w:name w:val="Default"/>
    <w:rsid w:val="00D65DBB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StylArial11bZarovnatdoblokuVlevo063cm">
    <w:name w:val="Styl Arial 11 b. Zarovnat do bloku Vlevo:  063 cm"/>
    <w:basedOn w:val="Normln"/>
    <w:rsid w:val="00AD5407"/>
    <w:pPr>
      <w:spacing w:before="120"/>
      <w:ind w:left="357"/>
    </w:pPr>
    <w:rPr>
      <w:rFonts w:ascii="Arial" w:eastAsia="Times New Roman" w:hAnsi="Arial" w:cs="Times New Roman"/>
      <w:sz w:val="22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D5407"/>
    <w:rPr>
      <w:b/>
      <w:bCs/>
    </w:rPr>
  </w:style>
  <w:style w:type="paragraph" w:customStyle="1" w:styleId="Normln1">
    <w:name w:val="Normální1"/>
    <w:basedOn w:val="Normln"/>
    <w:rsid w:val="00AD54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AD5407"/>
    <w:pPr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eastAsia="Times New Roman" w:hAnsi="Arial" w:cs="Times New Roman"/>
      <w:bCs/>
      <w:sz w:val="22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014DA"/>
    <w:rPr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014DA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14DA"/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14DA"/>
    <w:rPr>
      <w:szCs w:val="20"/>
    </w:rPr>
  </w:style>
  <w:style w:type="character" w:styleId="Znakapoznpodarou">
    <w:name w:val="footnote reference"/>
    <w:aliases w:val="PGI Fußnote Ziffer,BVI fnr,Footnote symbol,Footnote Reference Number,Footnote Reference Superscript,Appel note de bas de p,Appel note de bas de page,Légende,Char Car Car Car Car,Voetnootverwijzing,Légende;Char Car Car Car Car"/>
    <w:basedOn w:val="Standardnpsmoodstavce"/>
    <w:rsid w:val="0028641A"/>
    <w:rPr>
      <w:vertAlign w:val="superscript"/>
    </w:rPr>
  </w:style>
  <w:style w:type="paragraph" w:customStyle="1" w:styleId="beznytext">
    <w:name w:val="bezny_text"/>
    <w:basedOn w:val="Normln"/>
    <w:rsid w:val="006208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nhideWhenUsed/>
    <w:qFormat/>
    <w:rsid w:val="005354FD"/>
    <w:pPr>
      <w:spacing w:after="200"/>
    </w:pPr>
    <w:rPr>
      <w:b/>
      <w:bCs/>
      <w:color w:val="4F81BD" w:themeColor="accent1"/>
      <w:sz w:val="18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50F34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B50F3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50F34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50F34"/>
    <w:pPr>
      <w:spacing w:after="100"/>
      <w:ind w:left="400"/>
    </w:pPr>
  </w:style>
  <w:style w:type="paragraph" w:styleId="Zhlav">
    <w:name w:val="header"/>
    <w:basedOn w:val="Normln"/>
    <w:link w:val="ZhlavChar"/>
    <w:uiPriority w:val="99"/>
    <w:semiHidden/>
    <w:unhideWhenUsed/>
    <w:rsid w:val="00B50F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0F34"/>
  </w:style>
  <w:style w:type="paragraph" w:styleId="Zpat">
    <w:name w:val="footer"/>
    <w:basedOn w:val="Normln"/>
    <w:link w:val="ZpatChar"/>
    <w:uiPriority w:val="99"/>
    <w:unhideWhenUsed/>
    <w:rsid w:val="00B50F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0F34"/>
  </w:style>
  <w:style w:type="character" w:customStyle="1" w:styleId="OdstavecseseznamemChar">
    <w:name w:val="Odstavec se seznamem Char"/>
    <w:link w:val="Odstavecseseznamem"/>
    <w:uiPriority w:val="99"/>
    <w:locked/>
    <w:rsid w:val="00011F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VA">
    <w:name w:val="DAVA"/>
    <w:basedOn w:val="Normln"/>
    <w:link w:val="DAVAChar"/>
    <w:qFormat/>
    <w:rsid w:val="00093792"/>
    <w:pPr>
      <w:spacing w:before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VAChar">
    <w:name w:val="DAVA Char"/>
    <w:basedOn w:val="Standardnpsmoodstavce"/>
    <w:link w:val="DAVA"/>
    <w:rsid w:val="000937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F04DF2"/>
    <w:pPr>
      <w:spacing w:after="200"/>
      <w:jc w:val="left"/>
    </w:pPr>
    <w:rPr>
      <w:rFonts w:asciiTheme="minorHAnsi" w:eastAsiaTheme="minorEastAsia" w:hAnsiTheme="minorHAnsi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4DF2"/>
    <w:rPr>
      <w:rFonts w:asciiTheme="minorHAnsi" w:eastAsiaTheme="minorEastAsia" w:hAnsiTheme="minorHAnsi"/>
      <w:szCs w:val="20"/>
      <w:lang w:eastAsia="cs-CZ"/>
    </w:rPr>
  </w:style>
  <w:style w:type="character" w:styleId="Odkaznakoment">
    <w:name w:val="annotation reference"/>
    <w:basedOn w:val="Standardnpsmoodstavce"/>
    <w:semiHidden/>
    <w:unhideWhenUsed/>
    <w:rsid w:val="00490C91"/>
    <w:rPr>
      <w:sz w:val="16"/>
      <w:szCs w:val="16"/>
    </w:rPr>
  </w:style>
  <w:style w:type="paragraph" w:customStyle="1" w:styleId="TextNOK">
    <w:name w:val="Text NOK"/>
    <w:basedOn w:val="Normln"/>
    <w:link w:val="TextNOKChar"/>
    <w:qFormat/>
    <w:rsid w:val="00902760"/>
    <w:pPr>
      <w:spacing w:after="120" w:line="288" w:lineRule="auto"/>
    </w:pPr>
    <w:rPr>
      <w:rFonts w:ascii="Arial" w:eastAsia="Times New Roman" w:hAnsi="Arial" w:cs="Times New Roman"/>
      <w:lang w:eastAsia="cs-CZ"/>
    </w:rPr>
  </w:style>
  <w:style w:type="character" w:customStyle="1" w:styleId="TextNOKChar">
    <w:name w:val="Text NOK Char"/>
    <w:basedOn w:val="Standardnpsmoodstavce"/>
    <w:link w:val="TextNOK"/>
    <w:rsid w:val="00902760"/>
    <w:rPr>
      <w:rFonts w:ascii="Arial" w:eastAsia="Times New Roman" w:hAnsi="Arial" w:cs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2AE4"/>
    <w:pPr>
      <w:spacing w:after="0"/>
      <w:jc w:val="both"/>
    </w:pPr>
    <w:rPr>
      <w:rFonts w:ascii="Tahoma" w:eastAsiaTheme="minorHAnsi" w:hAnsi="Tahoma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2AE4"/>
    <w:rPr>
      <w:rFonts w:asciiTheme="minorHAnsi" w:eastAsiaTheme="minorEastAsia" w:hAnsiTheme="minorHAnsi"/>
      <w:b/>
      <w:bCs/>
      <w:szCs w:val="20"/>
      <w:lang w:eastAsia="cs-CZ"/>
    </w:rPr>
  </w:style>
  <w:style w:type="paragraph" w:customStyle="1" w:styleId="NadpisNOK2">
    <w:name w:val="Nadpis NOK 2"/>
    <w:basedOn w:val="Nadpis2"/>
    <w:qFormat/>
    <w:rsid w:val="000C5703"/>
    <w:pPr>
      <w:numPr>
        <w:numId w:val="11"/>
      </w:numPr>
    </w:pPr>
    <w:rPr>
      <w:rFonts w:ascii="Arial Narrow" w:hAnsi="Arial Narrow" w:cs="Arial Narrow"/>
      <w:iCs w:val="0"/>
      <w:caps/>
      <w:color w:val="003366"/>
      <w:sz w:val="40"/>
      <w:szCs w:val="40"/>
      <w:lang w:eastAsia="cs-CZ"/>
    </w:rPr>
  </w:style>
  <w:style w:type="paragraph" w:customStyle="1" w:styleId="Standardntext">
    <w:name w:val="Standardní text"/>
    <w:basedOn w:val="Normln"/>
    <w:link w:val="StandardntextChar"/>
    <w:qFormat/>
    <w:rsid w:val="00CC53D7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StandardntextChar">
    <w:name w:val="Standardní text Char"/>
    <w:basedOn w:val="Standardnpsmoodstavce"/>
    <w:link w:val="Standardntext"/>
    <w:rsid w:val="00CC53D7"/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Specifickcl">
    <w:name w:val="Specifický cíl"/>
    <w:basedOn w:val="Nadpis4"/>
    <w:link w:val="SpecifickclChar"/>
    <w:qFormat/>
    <w:rsid w:val="00CF0A22"/>
    <w:pPr>
      <w:numPr>
        <w:ilvl w:val="0"/>
        <w:numId w:val="0"/>
      </w:numPr>
      <w:spacing w:before="360" w:after="120" w:line="276" w:lineRule="auto"/>
      <w:ind w:left="862" w:hanging="862"/>
    </w:pPr>
    <w:rPr>
      <w:rFonts w:asciiTheme="minorHAnsi" w:eastAsia="Times New Roman" w:hAnsiTheme="minorHAnsi" w:cs="Times New Roman"/>
      <w:i w:val="0"/>
      <w:color w:val="548DD4" w:themeColor="text2" w:themeTint="99"/>
      <w:sz w:val="24"/>
      <w:szCs w:val="20"/>
      <w:lang w:eastAsia="cs-CZ"/>
    </w:rPr>
  </w:style>
  <w:style w:type="character" w:customStyle="1" w:styleId="SpecifickclChar">
    <w:name w:val="Specifický cíl Char"/>
    <w:basedOn w:val="Nadpis4Char"/>
    <w:link w:val="Specifickcl"/>
    <w:rsid w:val="00CF0A22"/>
    <w:rPr>
      <w:rFonts w:asciiTheme="minorHAnsi" w:eastAsia="Times New Roman" w:hAnsiTheme="minorHAnsi" w:cs="Times New Roman"/>
      <w:b/>
      <w:bCs/>
      <w:i/>
      <w:iCs/>
      <w:color w:val="548DD4" w:themeColor="text2" w:themeTint="99"/>
      <w:sz w:val="24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0998"/>
    <w:rPr>
      <w:i/>
      <w:iCs/>
    </w:rPr>
  </w:style>
  <w:style w:type="character" w:customStyle="1" w:styleId="st">
    <w:name w:val="st"/>
    <w:basedOn w:val="Standardnpsmoodstavce"/>
    <w:rsid w:val="00DF7DED"/>
  </w:style>
  <w:style w:type="paragraph" w:customStyle="1" w:styleId="Modrnadpis">
    <w:name w:val="Modrý nadpis"/>
    <w:basedOn w:val="Nadpis4"/>
    <w:link w:val="ModrnadpisChar"/>
    <w:qFormat/>
    <w:rsid w:val="00705E4A"/>
    <w:pPr>
      <w:numPr>
        <w:ilvl w:val="0"/>
        <w:numId w:val="0"/>
      </w:numPr>
      <w:spacing w:before="240" w:after="120" w:line="276" w:lineRule="auto"/>
      <w:ind w:left="862" w:hanging="862"/>
    </w:pPr>
    <w:rPr>
      <w:rFonts w:ascii="Times New Roman" w:eastAsia="Times New Roman" w:hAnsi="Times New Roman" w:cs="Times New Roman"/>
      <w:i w:val="0"/>
      <w:color w:val="548DD4"/>
      <w:sz w:val="24"/>
      <w:szCs w:val="20"/>
      <w:lang w:eastAsia="cs-CZ"/>
    </w:rPr>
  </w:style>
  <w:style w:type="character" w:customStyle="1" w:styleId="ModrnadpisChar">
    <w:name w:val="Modrý nadpis Char"/>
    <w:link w:val="Modrnadpis"/>
    <w:rsid w:val="00705E4A"/>
    <w:rPr>
      <w:rFonts w:ascii="Times New Roman" w:eastAsia="Times New Roman" w:hAnsi="Times New Roman" w:cs="Times New Roman"/>
      <w:b/>
      <w:bCs/>
      <w:iCs/>
      <w:color w:val="548DD4"/>
      <w:sz w:val="24"/>
      <w:szCs w:val="20"/>
      <w:lang w:eastAsia="cs-CZ"/>
    </w:rPr>
  </w:style>
  <w:style w:type="paragraph" w:customStyle="1" w:styleId="Poznmkapodarou">
    <w:name w:val="Poznámka pod čarou"/>
    <w:basedOn w:val="Default"/>
    <w:link w:val="PoznmkapodarouChar"/>
    <w:qFormat/>
    <w:rsid w:val="00C739A4"/>
    <w:pPr>
      <w:tabs>
        <w:tab w:val="left" w:pos="708"/>
      </w:tabs>
      <w:suppressAutoHyphens/>
      <w:overflowPunct w:val="0"/>
      <w:autoSpaceDN/>
      <w:adjustRightInd/>
      <w:spacing w:after="60" w:line="200" w:lineRule="atLeast"/>
      <w:jc w:val="both"/>
      <w:textAlignment w:val="baseline"/>
    </w:pPr>
    <w:rPr>
      <w:rFonts w:ascii="Times New Roman" w:eastAsia="Times New Roman" w:hAnsi="Times New Roman" w:cs="Calibri"/>
      <w:color w:val="auto"/>
      <w:sz w:val="20"/>
      <w:szCs w:val="20"/>
      <w:lang w:eastAsia="cs-CZ"/>
    </w:rPr>
  </w:style>
  <w:style w:type="character" w:customStyle="1" w:styleId="PoznmkapodarouChar">
    <w:name w:val="Poznámka pod čarou Char"/>
    <w:link w:val="Poznmkapodarou"/>
    <w:rsid w:val="00C739A4"/>
    <w:rPr>
      <w:rFonts w:ascii="Times New Roman" w:eastAsia="Times New Roman" w:hAnsi="Times New Roman" w:cs="Calibri"/>
      <w:szCs w:val="20"/>
      <w:lang w:eastAsia="cs-CZ"/>
    </w:rPr>
  </w:style>
  <w:style w:type="paragraph" w:customStyle="1" w:styleId="TextMetodika">
    <w:name w:val="Text Metodika"/>
    <w:basedOn w:val="Normln"/>
    <w:link w:val="TextMetodikaChar"/>
    <w:uiPriority w:val="99"/>
    <w:rsid w:val="00FC5617"/>
    <w:pPr>
      <w:spacing w:before="120" w:after="120" w:line="312" w:lineRule="auto"/>
    </w:pPr>
    <w:rPr>
      <w:rFonts w:ascii="Arial" w:eastAsia="SimSun" w:hAnsi="Arial" w:cs="Arial"/>
      <w:szCs w:val="20"/>
      <w:lang w:eastAsia="cs-CZ"/>
    </w:rPr>
  </w:style>
  <w:style w:type="character" w:customStyle="1" w:styleId="TextMetodikaChar">
    <w:name w:val="Text Metodika Char"/>
    <w:basedOn w:val="Standardnpsmoodstavce"/>
    <w:link w:val="TextMetodika"/>
    <w:uiPriority w:val="99"/>
    <w:locked/>
    <w:rsid w:val="00FC5617"/>
    <w:rPr>
      <w:rFonts w:ascii="Arial" w:eastAsia="SimSun" w:hAnsi="Arial" w:cs="Arial"/>
      <w:szCs w:val="20"/>
      <w:lang w:eastAsia="cs-CZ"/>
    </w:rPr>
  </w:style>
  <w:style w:type="paragraph" w:customStyle="1" w:styleId="Char4CharCharCharCharCharCharCharCharChar">
    <w:name w:val="Char4 Char Char Char Char Char Char Char Char Char"/>
    <w:basedOn w:val="Normln"/>
    <w:rsid w:val="00E246AD"/>
    <w:pPr>
      <w:spacing w:after="160" w:line="240" w:lineRule="exact"/>
      <w:jc w:val="left"/>
    </w:pPr>
    <w:rPr>
      <w:rFonts w:ascii="Times New Roman Bold" w:eastAsia="Times New Roman" w:hAnsi="Times New Roman Bold" w:cs="Times New Roman"/>
      <w:sz w:val="22"/>
      <w:szCs w:val="26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2782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083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577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41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6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82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814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25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70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648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91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77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075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062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246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ufc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o.c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cid:image001.jpg@01CCBB19.0EB6F6B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3FB9-6E35-4F01-BB77-AD3DE3DC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5000</Words>
  <Characters>29506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 Kučera</dc:creator>
  <cp:lastModifiedBy>kucera</cp:lastModifiedBy>
  <cp:revision>5</cp:revision>
  <cp:lastPrinted>2014-03-31T20:43:00Z</cp:lastPrinted>
  <dcterms:created xsi:type="dcterms:W3CDTF">2014-07-08T11:27:00Z</dcterms:created>
  <dcterms:modified xsi:type="dcterms:W3CDTF">2014-07-08T11:31:00Z</dcterms:modified>
</cp:coreProperties>
</file>