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40B" w:rsidRDefault="000E7465" w:rsidP="000E7465">
      <w:pPr>
        <w:pStyle w:val="Nadpis2"/>
        <w:numPr>
          <w:ilvl w:val="0"/>
          <w:numId w:val="0"/>
        </w:numPr>
        <w:ind w:left="576" w:hanging="576"/>
        <w:rPr>
          <w:rFonts w:cs="Calibri"/>
          <w:lang w:val="cs-CZ"/>
        </w:rPr>
      </w:pPr>
      <w:bookmarkStart w:id="0" w:name="_Toc391474919"/>
      <w:r>
        <w:rPr>
          <w:rFonts w:cs="Calibri"/>
        </w:rPr>
        <w:t>Nepovinná příloha č. 2</w:t>
      </w:r>
      <w:r w:rsidRPr="00F23CDB">
        <w:rPr>
          <w:rFonts w:cs="Calibri"/>
        </w:rPr>
        <w:t>:</w:t>
      </w:r>
      <w:r>
        <w:rPr>
          <w:rFonts w:cs="Calibri"/>
        </w:rPr>
        <w:t xml:space="preserve"> </w:t>
      </w:r>
      <w:r w:rsidR="0086240B" w:rsidRPr="0086240B">
        <w:rPr>
          <w:rFonts w:cs="Calibri"/>
        </w:rPr>
        <w:t>Vazba Operačního programu na klíčové strategické dokumenty</w:t>
      </w:r>
    </w:p>
    <w:bookmarkEnd w:id="0"/>
    <w:p w:rsidR="0086240B" w:rsidRPr="00325B55" w:rsidRDefault="0086240B" w:rsidP="0086240B">
      <w:pPr>
        <w:pStyle w:val="Standardntext"/>
      </w:pPr>
      <w:r w:rsidRPr="00325B55">
        <w:t>Dohoda o partnerství ve své analytické části obsahuje vazby jednotlivých problémových oblastí na strategické dokumenty EU a ČR. Ty tvoří společně s vlastním analytickým podkladem Dohody základní stavební kámen pro strategii OP PIK, neboť identifikují klíčové problémové oblasti národního hospodářství a na ně reagující priority, cíle či konkrétní opatření. K jednotlivým dokumentům klíčovým pro Dohodu o partnerství lze z pohledu OP PIK uvést následující.</w:t>
      </w:r>
    </w:p>
    <w:p w:rsidR="0086240B" w:rsidRPr="00325B55" w:rsidRDefault="0086240B" w:rsidP="0086240B">
      <w:pPr>
        <w:pStyle w:val="Standardntext"/>
        <w:rPr>
          <w:b/>
        </w:rPr>
      </w:pPr>
      <w:r w:rsidRPr="00325B55">
        <w:rPr>
          <w:b/>
        </w:rPr>
        <w:t xml:space="preserve">Národní program reforem ČR </w:t>
      </w:r>
      <w:r w:rsidRPr="00325B55">
        <w:t>(dále také „NPR“)</w:t>
      </w:r>
    </w:p>
    <w:p w:rsidR="0086240B" w:rsidRPr="00325B55" w:rsidRDefault="0086240B" w:rsidP="0086240B">
      <w:pPr>
        <w:pStyle w:val="Standardntext"/>
        <w:rPr>
          <w:color w:val="FF0000"/>
        </w:rPr>
      </w:pPr>
      <w:r w:rsidRPr="00325B55">
        <w:t>Národní program reforem ČR je dokument definující příspěvek České republiky k plnění cílů Strategie Evropa 2020. NPR stanovuje hlavní zásady reformních opatření ČR, zatímco konkrétní kroky a podrobné návrhy jsou obsaženy ve strategických dokumentech zpracovávaných v jednotlivých oblastech kompetenčně příslušnými orgány státní správy, příp. samosprávy. Vazba OP PIK na tyto strategické dokumenty je obsažena dále v této kapitole.</w:t>
      </w:r>
    </w:p>
    <w:p w:rsidR="0086240B" w:rsidRPr="00325B55" w:rsidRDefault="0086240B" w:rsidP="0086240B">
      <w:pPr>
        <w:pStyle w:val="Standardntext"/>
      </w:pPr>
      <w:r w:rsidRPr="00325B55">
        <w:t>Národní program reforem ČR 2014, který schválila vláda ČR dne 16. dubna 2014</w:t>
      </w:r>
      <w:r w:rsidRPr="00325B55">
        <w:rPr>
          <w:rStyle w:val="Znakapoznpodarou"/>
        </w:rPr>
        <w:footnoteReference w:id="1"/>
      </w:r>
      <w:r w:rsidRPr="00325B55">
        <w:t>, je rámcově koncipován na celé období do roku 2020 a je každoročně aktualizován v rámci tzv. evropského semestru, a to s ohledem na vývoj naplňování cílů Strategie Evropa 2020 na celoevropské úrovni, na dosažený pokrok v České republice a na vývoj politických priorit vlády. NPR 2014 zobrazuje reformní úsilí vlády ve čtyřech prioritách, přičemž OP PIK bude přispívat k naplňování klíčových opatření obsažených především v prioritě č. 2 „Atraktivní podnikatelské prostředí a rozvoj infrastruktury pro český průmysl“ a prioritě č. 4 „Růst založený na výzkumu a inovacích“.</w:t>
      </w:r>
    </w:p>
    <w:p w:rsidR="0086240B" w:rsidRPr="00325B55" w:rsidRDefault="0086240B" w:rsidP="0086240B">
      <w:pPr>
        <w:pStyle w:val="Standardntext"/>
      </w:pPr>
      <w:r w:rsidRPr="00325B55">
        <w:t>Priorita „Atraktivní podnikatelské prostředí a rozvoj infrastruktury pro český průmysl“ obsahuje celkem 7 oblastí, přičemž OP PIK má vazbu na čtyři z nich. K naplňování oblasti „</w:t>
      </w:r>
      <w:r w:rsidRPr="00325B55">
        <w:rPr>
          <w:i/>
        </w:rPr>
        <w:t>Zlepšování podnikatelského prostředí, rozvoj služeb pro podnikání</w:t>
      </w:r>
      <w:r w:rsidRPr="00325B55">
        <w:t xml:space="preserve">“ OP PIK přispěje </w:t>
      </w:r>
      <w:r w:rsidRPr="00325B55">
        <w:rPr>
          <w:lang w:val="cs-CZ"/>
        </w:rPr>
        <w:t xml:space="preserve">právě </w:t>
      </w:r>
      <w:r w:rsidRPr="00325B55">
        <w:t>rozvoje</w:t>
      </w:r>
      <w:r w:rsidRPr="00325B55">
        <w:rPr>
          <w:lang w:val="cs-CZ"/>
        </w:rPr>
        <w:t>m</w:t>
      </w:r>
      <w:r w:rsidRPr="00325B55">
        <w:t xml:space="preserve"> podnikatelských služeb</w:t>
      </w:r>
      <w:r w:rsidRPr="00325B55">
        <w:rPr>
          <w:lang w:val="cs-CZ"/>
        </w:rPr>
        <w:t>.</w:t>
      </w:r>
      <w:r w:rsidRPr="00325B55">
        <w:t xml:space="preserve"> V oblasti „</w:t>
      </w:r>
      <w:r w:rsidRPr="00325B55">
        <w:rPr>
          <w:i/>
        </w:rPr>
        <w:t>Průmyslová politika</w:t>
      </w:r>
      <w:r w:rsidRPr="00325B55">
        <w:t>“ patří mezi klíčová opatření, která bude OP PIK svými aktivitami přímo naplňovat, jednoznačně podpora malých a středních podniků vycházející z Koncepce podpory MSP (viz níže). Oblast „</w:t>
      </w:r>
      <w:r w:rsidRPr="00325B55">
        <w:rPr>
          <w:i/>
        </w:rPr>
        <w:t>Digitální infrastruktura</w:t>
      </w:r>
      <w:r w:rsidRPr="00325B55">
        <w:t>“ identifikuje ve shodě s OP PIK potřebu rozvoje vysokorychlostních přístupových sítí k internetu, kde si vláda stanovila cíl v podobě snížení nákladů na jejich výstavbu, mj. v návaznosti na transpozici směrnice o opatřeních ke snížení nákladů na zavádění vysokorychlostních sítí elektronických komunikací. Cílem vlády v oblasti „</w:t>
      </w:r>
      <w:r w:rsidRPr="00325B55">
        <w:rPr>
          <w:i/>
        </w:rPr>
        <w:t>Energetika a ochrana klimatu</w:t>
      </w:r>
      <w:r w:rsidRPr="00325B55">
        <w:t>“ je zajištění efektivního přechodu na konkurenceschopné nízkouhlíkové hospodářství. Ve vztahu k OP PIK jde především o zvyšování energetické účinnosti, posílení kapacity přenosových sítí v souvislosti s rozvojem obnovitelných zdrojů energie (dále také „OZE“), zvyšování účinnosti materiálového a energetického využití surovin a využití biomasy.</w:t>
      </w:r>
    </w:p>
    <w:p w:rsidR="0086240B" w:rsidRPr="00325B55" w:rsidRDefault="0086240B" w:rsidP="0086240B">
      <w:pPr>
        <w:pStyle w:val="Standardntext"/>
      </w:pPr>
      <w:r w:rsidRPr="00325B55">
        <w:t>Priorita „Růst založený na výzkumu a inovacích“ představuje jeden ze stavebních kamenů kohezní politiky let 2014 - 2020 vytvářející základní předpoklady konkurenceschopnosti ČR a dlouhodobého hospodářského růstu. Tato priorita obsahuje v NPR 2014 následující oblasti s přímou vazbou na OP PIK. Prvně jde o oblast „</w:t>
      </w:r>
      <w:r w:rsidRPr="00325B55">
        <w:rPr>
          <w:i/>
        </w:rPr>
        <w:t>Rozvoj spolupráce mezi podnikovou sférou a výzkumnými organizacemi</w:t>
      </w:r>
      <w:r w:rsidRPr="00325B55">
        <w:t xml:space="preserve">“, která klade důraz na podporu aplikovaného výzkumu a experimentálního vývoje pro potřeby průmyslu, přenos výsledků výzkumu a vývoje do praxe a jejich komercionalizaci a zvýšení ochrany a využití práv duševního vlastnictví. V této </w:t>
      </w:r>
      <w:r w:rsidRPr="00325B55">
        <w:lastRenderedPageBreak/>
        <w:t>oblasti bude OP PIK realizován v souladu s národní strategií inteligentní specializace (viz níže), což napomůže stimulaci inovačního potenciálu ČR jako celku i jednotlivých regionů. Druhou oblastí je „</w:t>
      </w:r>
      <w:r w:rsidRPr="00325B55">
        <w:rPr>
          <w:i/>
        </w:rPr>
        <w:t>Inovační podnikání a rozvoj start-upů</w:t>
      </w:r>
      <w:r w:rsidRPr="00325B55">
        <w:t>“, mezi jejíž klíčová opatření patří podpora pro poskytování rizikového kapitálu včetně naplňování účelu seed fondu a dále rozvoj systému monitoringu světových trhů a vývoje na poli výzkumu a technologií, který umožní odborně identifikovat sociální, ekonomické a technologické trendy na cizích trzích (technologický foresight). K poslední oblasti této priority, kterou jsou „</w:t>
      </w:r>
      <w:r w:rsidRPr="00325B55">
        <w:rPr>
          <w:i/>
        </w:rPr>
        <w:t>Kosmické aktivity</w:t>
      </w:r>
      <w:r w:rsidRPr="00325B55">
        <w:t>“, bude OP PIK přispívat dílčím způsobem prostřednictvím výzkumu a vývoje, což je součást jednoho z klíčových opatření NPR 2014 zaměřeného na podporu investic do kosmických aktivit.</w:t>
      </w:r>
    </w:p>
    <w:p w:rsidR="0086240B" w:rsidRPr="00325B55" w:rsidRDefault="0086240B" w:rsidP="0086240B">
      <w:pPr>
        <w:pStyle w:val="Standardntext"/>
      </w:pPr>
      <w:r w:rsidRPr="00325B55">
        <w:rPr>
          <w:b/>
        </w:rPr>
        <w:t xml:space="preserve">Doporučení Rady k národnímu programu reforem České republiky na rok </w:t>
      </w:r>
      <w:r w:rsidR="00C55452" w:rsidRPr="00325B55">
        <w:rPr>
          <w:b/>
        </w:rPr>
        <w:t>201</w:t>
      </w:r>
      <w:r w:rsidR="00C55452">
        <w:rPr>
          <w:b/>
          <w:lang w:val="cs-CZ"/>
        </w:rPr>
        <w:t>4</w:t>
      </w:r>
      <w:r w:rsidR="00C55452" w:rsidRPr="00325B55">
        <w:rPr>
          <w:b/>
        </w:rPr>
        <w:t xml:space="preserve"> </w:t>
      </w:r>
      <w:r w:rsidRPr="00325B55">
        <w:t>(dále také „Doporučení Rady“)</w:t>
      </w:r>
    </w:p>
    <w:p w:rsidR="0086240B" w:rsidRPr="00325B55" w:rsidRDefault="0086240B" w:rsidP="0086240B">
      <w:pPr>
        <w:pStyle w:val="Textkomente"/>
        <w:rPr>
          <w:rFonts w:ascii="Times New Roman" w:hAnsi="Times New Roman"/>
          <w:sz w:val="24"/>
          <w:szCs w:val="24"/>
        </w:rPr>
      </w:pPr>
      <w:r w:rsidRPr="00325B55">
        <w:rPr>
          <w:rFonts w:ascii="Times New Roman" w:hAnsi="Times New Roman"/>
          <w:sz w:val="24"/>
          <w:szCs w:val="24"/>
        </w:rPr>
        <w:t xml:space="preserve">V návaznosti na NPR </w:t>
      </w:r>
      <w:r w:rsidR="00C55452" w:rsidRPr="00325B55">
        <w:rPr>
          <w:rFonts w:ascii="Times New Roman" w:hAnsi="Times New Roman"/>
          <w:sz w:val="24"/>
          <w:szCs w:val="24"/>
        </w:rPr>
        <w:t>201</w:t>
      </w:r>
      <w:r w:rsidR="00C55452">
        <w:rPr>
          <w:rFonts w:ascii="Times New Roman" w:hAnsi="Times New Roman"/>
          <w:sz w:val="24"/>
          <w:szCs w:val="24"/>
        </w:rPr>
        <w:t>4</w:t>
      </w:r>
      <w:r w:rsidR="00C55452" w:rsidRPr="00325B55">
        <w:rPr>
          <w:rFonts w:ascii="Times New Roman" w:hAnsi="Times New Roman"/>
          <w:sz w:val="24"/>
          <w:szCs w:val="24"/>
        </w:rPr>
        <w:t xml:space="preserve"> </w:t>
      </w:r>
      <w:r w:rsidRPr="00325B55">
        <w:rPr>
          <w:rFonts w:ascii="Times New Roman" w:hAnsi="Times New Roman"/>
          <w:sz w:val="24"/>
          <w:szCs w:val="24"/>
        </w:rPr>
        <w:t>bylo vydáno Doporučení Rady, ve kterém Rada Evropské unie formulovala s</w:t>
      </w:r>
      <w:r w:rsidRPr="00A80AFB">
        <w:rPr>
          <w:rFonts w:ascii="Times New Roman" w:hAnsi="Times New Roman"/>
          <w:sz w:val="24"/>
          <w:szCs w:val="24"/>
        </w:rPr>
        <w:t>edm doporučení pro Č</w:t>
      </w:r>
      <w:r w:rsidRPr="00325B55">
        <w:rPr>
          <w:rFonts w:ascii="Times New Roman" w:hAnsi="Times New Roman"/>
          <w:sz w:val="24"/>
          <w:szCs w:val="24"/>
        </w:rPr>
        <w:t xml:space="preserve">R. Z hlediska OP PIK, konkrétně prioritní osy 3, je významné především doporučení </w:t>
      </w:r>
      <w:r w:rsidR="00A80AFB">
        <w:rPr>
          <w:rFonts w:ascii="Times New Roman" w:hAnsi="Times New Roman"/>
          <w:sz w:val="24"/>
          <w:szCs w:val="24"/>
        </w:rPr>
        <w:t xml:space="preserve">zintenzivnit snahy </w:t>
      </w:r>
      <w:r w:rsidR="00A80AFB" w:rsidRPr="00325B55">
        <w:rPr>
          <w:rFonts w:ascii="Times New Roman" w:hAnsi="Times New Roman"/>
          <w:sz w:val="24"/>
          <w:szCs w:val="24"/>
        </w:rPr>
        <w:t>o zvýšení energetické účinnosti v ekonomice.</w:t>
      </w:r>
      <w:r w:rsidRPr="00325B55">
        <w:rPr>
          <w:rFonts w:ascii="Times New Roman" w:hAnsi="Times New Roman"/>
          <w:sz w:val="24"/>
          <w:szCs w:val="24"/>
        </w:rPr>
        <w:t xml:space="preserve">. V průvodním dokumentu k Doporučení Rady byla formulována další doporučení, která mají vazbu na OP PIK. Patří mezi ně </w:t>
      </w:r>
      <w:r w:rsidR="00B46202">
        <w:rPr>
          <w:rFonts w:ascii="Times New Roman" w:hAnsi="Times New Roman"/>
          <w:sz w:val="24"/>
          <w:szCs w:val="24"/>
        </w:rPr>
        <w:t>zejména doporučení</w:t>
      </w:r>
      <w:r w:rsidRPr="00325B55">
        <w:rPr>
          <w:rFonts w:ascii="Times New Roman" w:hAnsi="Times New Roman"/>
          <w:sz w:val="24"/>
          <w:szCs w:val="24"/>
        </w:rPr>
        <w:t xml:space="preserve"> </w:t>
      </w:r>
      <w:r w:rsidR="00B46202">
        <w:rPr>
          <w:rFonts w:ascii="Times New Roman" w:hAnsi="Times New Roman"/>
          <w:sz w:val="24"/>
          <w:szCs w:val="24"/>
        </w:rPr>
        <w:t>zvýšit podporu domácích vůdčích inovačních firem a zvýšit míru spolupráce mezi vědou a podniky</w:t>
      </w:r>
      <w:r w:rsidR="002F54AE">
        <w:rPr>
          <w:rFonts w:ascii="Times New Roman" w:hAnsi="Times New Roman"/>
          <w:sz w:val="24"/>
          <w:szCs w:val="24"/>
        </w:rPr>
        <w:t>, na což</w:t>
      </w:r>
      <w:r w:rsidRPr="00325B55">
        <w:rPr>
          <w:rFonts w:ascii="Times New Roman" w:hAnsi="Times New Roman"/>
          <w:sz w:val="24"/>
          <w:szCs w:val="24"/>
        </w:rPr>
        <w:t xml:space="preserve"> prioritní osa 1</w:t>
      </w:r>
      <w:r w:rsidR="002F54AE">
        <w:rPr>
          <w:rFonts w:ascii="Times New Roman" w:hAnsi="Times New Roman"/>
          <w:sz w:val="24"/>
          <w:szCs w:val="24"/>
        </w:rPr>
        <w:t xml:space="preserve"> OP PIK</w:t>
      </w:r>
      <w:r w:rsidRPr="00325B55">
        <w:rPr>
          <w:rFonts w:ascii="Times New Roman" w:hAnsi="Times New Roman"/>
          <w:sz w:val="24"/>
          <w:szCs w:val="24"/>
        </w:rPr>
        <w:t xml:space="preserve">. </w:t>
      </w:r>
    </w:p>
    <w:p w:rsidR="0086240B" w:rsidRPr="00325B55" w:rsidRDefault="0086240B" w:rsidP="0086240B">
      <w:pPr>
        <w:pStyle w:val="Standardntext"/>
        <w:rPr>
          <w:b/>
        </w:rPr>
      </w:pPr>
      <w:r w:rsidRPr="00325B55">
        <w:rPr>
          <w:b/>
        </w:rPr>
        <w:t>Stanovisko útvarů Komise k vývoji v oblasti Dohody o partnerství a programů v České republice pro období 2014–2020</w:t>
      </w:r>
      <w:r w:rsidRPr="00325B55">
        <w:t xml:space="preserve"> (dále také „Poziční dokument“)</w:t>
      </w:r>
    </w:p>
    <w:p w:rsidR="0086240B" w:rsidRPr="00325B55" w:rsidRDefault="0086240B" w:rsidP="0086240B">
      <w:pPr>
        <w:pStyle w:val="Standardntext"/>
      </w:pPr>
      <w:r w:rsidRPr="00325B55">
        <w:t xml:space="preserve">Jak již bylo uvedeno, Poziční dokument identifikuje specifické potřeby České republiky a uvádí pohled útvarů Komise na hlavní priority financování v ČR pro programové období 2014-2020. </w:t>
      </w:r>
      <w:r w:rsidRPr="00325B55">
        <w:rPr>
          <w:bCs/>
        </w:rPr>
        <w:t xml:space="preserve">Poziční dokument </w:t>
      </w:r>
      <w:r w:rsidRPr="00325B55">
        <w:t>obsahuje celkem pět priorit financování pro využití ESIF v ČR a k nim uvádí přidružené tematické cíle. Z pohledu OP PIK jsou stěžejní zejména dvě priority financování: „podnikatelské prostředí příznivé pro inovace“ a „hospodářství příznivé pro životní prostředí a nákladově efektivní hospodářství“.</w:t>
      </w:r>
    </w:p>
    <w:p w:rsidR="0086240B" w:rsidRPr="00325B55" w:rsidRDefault="0086240B" w:rsidP="0086240B">
      <w:pPr>
        <w:pStyle w:val="Standardntext"/>
      </w:pPr>
      <w:r w:rsidRPr="00325B55">
        <w:t>V rámci těchto priorit Poziční dokument identifikoval několik potřeb, které jsou pro OP PIK relevantní. Jedná se především o zlepšení kvality infrastruktury pro výzkum a technologický rozvoj s prioritou modernizace a rozšíření výzkumného vybavení. Další prioritou je podpora podnikových investic do výzkumu a inovací, vývoje produktů a služeb, obchodování s výsledky výzkumu, přenosu technologií, vytváření sítí, rozvoje klastrů a aplikovaných inovací prostřednictvím inteligentní specializace. V neposlední řadě jde o podporu technologického a aplikovaného výzkumu. Realizaci těchto opatření bude zajišťovat prioritní osa 1 OP PIK.</w:t>
      </w:r>
    </w:p>
    <w:p w:rsidR="0086240B" w:rsidRPr="00325B55" w:rsidRDefault="0086240B" w:rsidP="0086240B">
      <w:pPr>
        <w:pStyle w:val="Standardntext"/>
      </w:pPr>
      <w:r w:rsidRPr="00325B55">
        <w:t>Mezi další potřeby identifikované v Pozičním dokumentu patří zlepšení přístupu k novým technologiím na podporu využívání inovací malými a středními podniky, zlepšení celkového podnikatelského prostředí pro malé a střední podniky prostřednictvím poskytnutí příslušné infrastruktury, modernizace a vylepšení stávajících průmyslových areálů a renovace brownfieldů pro následné ekonomické využití. Důraz je rovněž kladen na vytvoření škály finančních nástrojů, včetně nástrojů pro řízení rizik a vstupní kapitál, na podporu zakládání nových společností a pro rozvoj stávajících společností s potenciálem růstu. Dalšími potřebami jsou rozvoj služeb poradenství v podnikání, zejména v oblastech zakládání nových podniků, přenosu technologií, přístupu k novým trhům a s tím související poskytování podpory při internacionalizaci českých společností. Na všechna tato doporučení Pozičního dokumentu reaguje prioritní osa 2 OP PIK.</w:t>
      </w:r>
    </w:p>
    <w:p w:rsidR="0086240B" w:rsidRPr="00325B55" w:rsidRDefault="0086240B" w:rsidP="0086240B">
      <w:pPr>
        <w:pStyle w:val="Standardntext"/>
      </w:pPr>
      <w:r w:rsidRPr="00325B55">
        <w:t xml:space="preserve">Poziční dokument dále identifikoval potřeby spočívající v modernizaci zařízení na výrobu elektrické energie, distribuce a transformace za účelem zvýšení energetické účinnosti </w:t>
      </w:r>
      <w:r w:rsidRPr="00325B55">
        <w:lastRenderedPageBreak/>
        <w:t>průmyslu a také zvýšení účinnosti distribučních tepelných sítí. V oblasti úspor energie je důležité rovněž zlepšení energetické náročnosti budov. Další prioritou je podpora využívání obnovitelných zdrojů energie ve výrobě elektrické energie, vytápění a chlazení, včetně příslušných investic do energetické infrastruktury a technologií. Potřeba byla identifikována také v oblasti uplatňování ekoinovací a ekologických technologií malými a středními podniky. Tato doporučení jsou promítnuta do zaměření prioritní osy 3 OP PIK, přičemž oblast ekoinovací je obsažena v prioritní ose 1.</w:t>
      </w:r>
    </w:p>
    <w:p w:rsidR="0086240B" w:rsidRPr="00325B55" w:rsidRDefault="0086240B" w:rsidP="0086240B">
      <w:pPr>
        <w:pStyle w:val="Standardntext"/>
      </w:pPr>
      <w:r w:rsidRPr="00325B55">
        <w:t>V oblasti ICT byly Pozičním dokumentu identifikovány dvě základní potřeby. Jednak jde o rozvoj digitálních služeb a kompetencí a kvality informačních a komunikačních technologií, zejména v méně rozvinutých oblastech k podpoře jejich udržitelnosti a konkurenceschopnosti. A dále se jedná o zlepšení přístupu k službám v rámci informačních a komunikačních technologií pro malé a střední podniky. Na řešení těchto potřeb se orientuje prioritní osa 4 OP PIK.</w:t>
      </w:r>
    </w:p>
    <w:p w:rsidR="00C55452" w:rsidRPr="00BD5D2D" w:rsidRDefault="00C55452" w:rsidP="00C55452">
      <w:pPr>
        <w:pStyle w:val="Standardntext"/>
        <w:rPr>
          <w:b/>
          <w:lang w:val="cs-CZ"/>
        </w:rPr>
      </w:pPr>
      <w:r w:rsidRPr="00BD5D2D">
        <w:rPr>
          <w:b/>
        </w:rPr>
        <w:t>Strategie EU pro Podunají</w:t>
      </w:r>
    </w:p>
    <w:p w:rsidR="00C55452" w:rsidRPr="00BD5D2D" w:rsidRDefault="00C55452" w:rsidP="00C55452">
      <w:pPr>
        <w:pStyle w:val="Standardntext"/>
        <w:rPr>
          <w:lang w:val="cs-CZ"/>
        </w:rPr>
      </w:pPr>
      <w:r w:rsidRPr="00BD5D2D">
        <w:rPr>
          <w:lang w:val="cs-CZ"/>
        </w:rPr>
        <w:t>Vazba OP PIK</w:t>
      </w:r>
      <w:r>
        <w:rPr>
          <w:lang w:val="cs-CZ"/>
        </w:rPr>
        <w:t xml:space="preserve"> na tuto makroregionální strategii EU je blíže popsána v oddíle 4.5.</w:t>
      </w:r>
    </w:p>
    <w:p w:rsidR="0086240B" w:rsidRPr="00325B55" w:rsidRDefault="00E96BA3" w:rsidP="0086240B">
      <w:pPr>
        <w:pStyle w:val="Standardntext"/>
        <w:rPr>
          <w:b/>
        </w:rPr>
      </w:pPr>
      <w:r w:rsidRPr="00E96BA3">
        <w:rPr>
          <w:b/>
        </w:rPr>
        <w:t xml:space="preserve">Národní výzkumná a inovační strategie pro inteligentní specializaci České republiky </w:t>
      </w:r>
      <w:r w:rsidRPr="00E96BA3">
        <w:t>(</w:t>
      </w:r>
      <w:r>
        <w:t>Národní RIS3 strategie</w:t>
      </w:r>
      <w:r>
        <w:rPr>
          <w:lang w:val="cs-CZ"/>
        </w:rPr>
        <w:t xml:space="preserve">, </w:t>
      </w:r>
      <w:r w:rsidR="0086240B" w:rsidRPr="00325B55">
        <w:t>dále také „RIS3“)</w:t>
      </w:r>
    </w:p>
    <w:p w:rsidR="0086240B" w:rsidRDefault="0086240B" w:rsidP="0086240B">
      <w:pPr>
        <w:pStyle w:val="Standardntext"/>
        <w:rPr>
          <w:lang w:val="cs-CZ"/>
        </w:rPr>
      </w:pPr>
      <w:r w:rsidRPr="00325B55">
        <w:t>RIS3 je v obecné rovině základním strategickým dokumentem pro zaměření národních i evropských zdrojů ve sféře výzkumu, vývoje a inovací. RIS3</w:t>
      </w:r>
      <w:r w:rsidRPr="00325B55">
        <w:rPr>
          <w:rStyle w:val="Znakapoznpodarou"/>
        </w:rPr>
        <w:footnoteReference w:id="2"/>
      </w:r>
      <w:r w:rsidRPr="00325B55">
        <w:t xml:space="preserve"> zohledňuje rozdíly v potenciálu i ve výzvách, kterým čelí jednotlivé kraje ČR, a na základě analýzy současného stavu a specifik krajských inovačních systémů navrhuje konkrétní, územně diferencované, priority. Opatření národní RIS3 zohledňují dvě základní dimenze. První dimenzi představují horizontální priority sloužící k dobudování, případně posílení inovačního systému jako takového. Druhou dimenzi tvoří vertikální priority spočívající v identifikaci domén perspektivní specializace.</w:t>
      </w:r>
    </w:p>
    <w:p w:rsidR="00386E0A" w:rsidRPr="00B50CC4" w:rsidRDefault="00386E0A" w:rsidP="0086240B">
      <w:pPr>
        <w:pStyle w:val="Standardntext"/>
      </w:pPr>
      <w:r w:rsidRPr="00B50CC4">
        <w:t>Pojetí vertikálních priorit v Národní RIS3 strategii:</w:t>
      </w:r>
    </w:p>
    <w:p w:rsidR="00386E0A" w:rsidRDefault="000C47D4" w:rsidP="0086240B">
      <w:pPr>
        <w:pStyle w:val="Standardntext"/>
        <w:rPr>
          <w:lang w:val="cs-CZ"/>
        </w:rPr>
      </w:pPr>
      <w:r w:rsidRPr="000C47D4">
        <w:t>Identifikace znalostních domén a aplikačních témat inteligentní specializace ČR byla zpracována na základě trojího druhu vstupů: analýzy ekonomické specializace, analýzy výzkumné specializace, a již daných a vládou ČR schválených Priorit výzkumu, experimentálního vývoje a inovací do roku 2030, které v sobě zahrnují společenské změny, na jejichž řešení se má orientovaný výzkum v ČR dlouhodobě zaměřovat.</w:t>
      </w:r>
    </w:p>
    <w:p w:rsidR="000C47D4" w:rsidRPr="000C47D4" w:rsidRDefault="000C47D4" w:rsidP="0086240B">
      <w:pPr>
        <w:pStyle w:val="Standardntext"/>
        <w:rPr>
          <w:lang w:val="cs-CZ"/>
        </w:rPr>
      </w:pPr>
      <w:r w:rsidRPr="000C47D4">
        <w:rPr>
          <w:lang w:val="cs-CZ"/>
        </w:rPr>
        <w:t>Mimo analýz zpracovaných pro účely této strategie byly pro návrh domén specializace české ekonomiky využity účelově zpracované poklady (i) Pracovní návrh hlavních závěrů analytických podkladů pro stanovení výzkumné specializace ČR, zpracovaný pro skupinu III. MŠMT Technologickým centrem AV ČR a (ii) Priority MPO pro oblast průmyslového výzkumu, vývoje a inovací – pracovní verze, zpracované MPO v průběhu června-září 2014.</w:t>
      </w:r>
    </w:p>
    <w:p w:rsidR="005E2EAD" w:rsidRDefault="005E2EAD" w:rsidP="0086240B">
      <w:pPr>
        <w:pStyle w:val="Standardntext"/>
        <w:rPr>
          <w:lang w:val="cs-CZ"/>
        </w:rPr>
      </w:pPr>
      <w:r w:rsidRPr="00157238">
        <w:t xml:space="preserve">Na základě kombinace dostupných empirických dat na straně jedné (data o intenzitě exportu, intenzitě výdajů na výzkum a vývoj, vývoji obratu v čase), a na straně druhé na základě započatého procesu entrepreneurial discovery, který probíhá od roku 2013 na regionální úrovni, lze identifikovat základní oblasti ekonomické specializace, kde ČR vykazuje nadprůměrný růstový potenciál. Jsou to výroba dopravních prostředků, strojírenství, elektronika a elektrotechnika, IT služby a software, výroba a distribuce elektrické energie, a léčiva a zdravotnické prostředky. Důležité je proto uvnitř těchto odvětví identifikovat konkrétní dílčí obory, které představují hlavní konkurenční sílu ekonomiky. Právě tyto dílčí </w:t>
      </w:r>
      <w:r w:rsidRPr="00157238">
        <w:lastRenderedPageBreak/>
        <w:t>obory, resp. firmy v nich, jsou důležité pro identifikaci znalostních domén, na jejichž rozvoj bude cílit inteligentní specializace. Je nutné zdůraznit, že prakticky u všech identifikovaných aplikačních oblastí (s výjimkou IT služeb a částečně u zdravotních služeb a péče) se jedná o obory výrobní. To odráží aktuální ekonomickou specializaci ČR a v tomto ohledu je žádoucí také usměrňovat do budoucna specializaci výzkumnou. To však nesmí vést k mylnému závěru, že je vhodné podporovat výlučně průmyslovou výrobu. Naopak u všech identifikovaných výrobních odvětví je s ohledem na rostoucí globální komodifikaci výrobních činností žádoucí zvyšovat podíl souvisejících kvalifikovaných služeb (např. konstrukce, testování, design, zakázkový vývoj, poradenské služby, ale také marketingové služby) na ekonomické výkonnosti ČR.</w:t>
      </w:r>
    </w:p>
    <w:p w:rsidR="005E2EAD" w:rsidRPr="005E2EAD" w:rsidRDefault="005E2EAD" w:rsidP="005E2EAD">
      <w:pPr>
        <w:pStyle w:val="Standardntext"/>
        <w:rPr>
          <w:b/>
        </w:rPr>
      </w:pPr>
      <w:r w:rsidRPr="005E2EAD">
        <w:rPr>
          <w:b/>
        </w:rPr>
        <w:t>Výroba dopravních prostředků</w:t>
      </w:r>
      <w:r w:rsidR="00F66D65">
        <w:rPr>
          <w:rStyle w:val="Znakapoznpodarou"/>
          <w:b/>
        </w:rPr>
        <w:footnoteReference w:id="3"/>
      </w:r>
    </w:p>
    <w:p w:rsidR="005E2EAD" w:rsidRPr="005E2EAD" w:rsidRDefault="005E2EAD" w:rsidP="005E2EAD">
      <w:pPr>
        <w:pStyle w:val="Standardntext"/>
      </w:pPr>
      <w:r w:rsidRPr="005E2EAD">
        <w:t>Osobní automobily a jejich komponenty (světlomety, spalovací motory, převody, brzdy, atd.), vývoj, konstrukce a testování</w:t>
      </w:r>
    </w:p>
    <w:p w:rsidR="005E2EAD" w:rsidRPr="005E2EAD" w:rsidRDefault="005E2EAD" w:rsidP="005E2EAD">
      <w:pPr>
        <w:pStyle w:val="Standardntext"/>
      </w:pPr>
      <w:r w:rsidRPr="005E2EAD">
        <w:t>Letadla, zejména ultralehká, a jejich komponenty, vývoj, konstrukce a testování</w:t>
      </w:r>
    </w:p>
    <w:p w:rsidR="005E2EAD" w:rsidRPr="005E2EAD" w:rsidRDefault="005E2EAD" w:rsidP="005E2EAD">
      <w:pPr>
        <w:pStyle w:val="Standardntext"/>
      </w:pPr>
      <w:r w:rsidRPr="005E2EAD">
        <w:t xml:space="preserve">Vesmírné technologie, včetně jejich využití mimo vesmírné aplikace </w:t>
      </w:r>
    </w:p>
    <w:p w:rsidR="005E2EAD" w:rsidRPr="005E2EAD" w:rsidRDefault="005E2EAD" w:rsidP="005E2EAD">
      <w:pPr>
        <w:pStyle w:val="Standardntext"/>
      </w:pPr>
      <w:r w:rsidRPr="005E2EAD">
        <w:t>Elektrická vozidla a elektrické pohonné jednotky</w:t>
      </w:r>
    </w:p>
    <w:p w:rsidR="005E2EAD" w:rsidRPr="005E2EAD" w:rsidRDefault="005E2EAD" w:rsidP="005E2EAD">
      <w:pPr>
        <w:pStyle w:val="Standardntext"/>
      </w:pPr>
      <w:r w:rsidRPr="005E2EAD">
        <w:t>Kolejová vozidla a jejich komponenty, vývoj, konstrukce a testování</w:t>
      </w:r>
    </w:p>
    <w:p w:rsidR="005E2EAD" w:rsidRPr="005E2EAD" w:rsidRDefault="005E2EAD" w:rsidP="005E2EAD">
      <w:pPr>
        <w:pStyle w:val="Standardntext"/>
      </w:pPr>
      <w:r w:rsidRPr="005E2EAD">
        <w:t>Materiály s nízkou energetickou a materiálovou náročností</w:t>
      </w:r>
    </w:p>
    <w:p w:rsidR="005E2EAD" w:rsidRPr="005E2EAD" w:rsidRDefault="005E2EAD" w:rsidP="005E2EAD">
      <w:pPr>
        <w:pStyle w:val="Standardntext"/>
        <w:rPr>
          <w:b/>
        </w:rPr>
      </w:pPr>
      <w:r w:rsidRPr="005E2EAD">
        <w:rPr>
          <w:b/>
        </w:rPr>
        <w:t>Strojírenství</w:t>
      </w:r>
    </w:p>
    <w:p w:rsidR="005E2EAD" w:rsidRPr="005E2EAD" w:rsidRDefault="005E2EAD" w:rsidP="005E2EAD">
      <w:pPr>
        <w:pStyle w:val="Standardntext"/>
      </w:pPr>
      <w:r w:rsidRPr="005E2EAD">
        <w:t>Energetické strojírenství (turbíny, kotle, spalovací a zplyňovací zařízení atd.)</w:t>
      </w:r>
    </w:p>
    <w:p w:rsidR="005E2EAD" w:rsidRPr="005E2EAD" w:rsidRDefault="005E2EAD" w:rsidP="005E2EAD">
      <w:pPr>
        <w:pStyle w:val="Standardntext"/>
      </w:pPr>
      <w:r w:rsidRPr="005E2EAD">
        <w:t>Engineering a projekce pro investiční celky</w:t>
      </w:r>
    </w:p>
    <w:p w:rsidR="005E2EAD" w:rsidRPr="005E2EAD" w:rsidRDefault="005E2EAD" w:rsidP="005E2EAD">
      <w:pPr>
        <w:pStyle w:val="Standardntext"/>
      </w:pPr>
      <w:r w:rsidRPr="005E2EAD">
        <w:t>Strojírenská výrobní technika, mechatronické systémy, obráběcí a tvářecí stroje a nástroje</w:t>
      </w:r>
    </w:p>
    <w:p w:rsidR="005E2EAD" w:rsidRPr="005E2EAD" w:rsidRDefault="005E2EAD" w:rsidP="005E2EAD">
      <w:pPr>
        <w:pStyle w:val="Standardntext"/>
      </w:pPr>
      <w:r w:rsidRPr="005E2EAD">
        <w:t>Přesná mechanika a měřící technika</w:t>
      </w:r>
    </w:p>
    <w:p w:rsidR="005E2EAD" w:rsidRPr="005E2EAD" w:rsidRDefault="005E2EAD" w:rsidP="005E2EAD">
      <w:pPr>
        <w:pStyle w:val="Standardntext"/>
      </w:pPr>
      <w:r w:rsidRPr="005E2EAD">
        <w:t xml:space="preserve">Čerpací technika </w:t>
      </w:r>
    </w:p>
    <w:p w:rsidR="005E2EAD" w:rsidRPr="005E2EAD" w:rsidRDefault="005E2EAD" w:rsidP="005E2EAD">
      <w:pPr>
        <w:pStyle w:val="Standardntext"/>
      </w:pPr>
      <w:r w:rsidRPr="005E2EAD">
        <w:t>Textilní stroje</w:t>
      </w:r>
    </w:p>
    <w:p w:rsidR="005E2EAD" w:rsidRPr="005E2EAD" w:rsidRDefault="005E2EAD" w:rsidP="005E2EAD">
      <w:pPr>
        <w:pStyle w:val="Standardntext"/>
      </w:pPr>
      <w:r w:rsidRPr="005E2EAD">
        <w:t>Progresivní materiály a technologie jejich zpracování, povrchové úpravy</w:t>
      </w:r>
    </w:p>
    <w:p w:rsidR="005E2EAD" w:rsidRPr="005E2EAD" w:rsidRDefault="005E2EAD" w:rsidP="005E2EAD">
      <w:pPr>
        <w:pStyle w:val="Standardntext"/>
      </w:pPr>
      <w:r w:rsidRPr="005E2EAD">
        <w:t>Konstrukční činnosti, modelování, simulace</w:t>
      </w:r>
    </w:p>
    <w:p w:rsidR="005E2EAD" w:rsidRPr="005E2EAD" w:rsidRDefault="005E2EAD" w:rsidP="005E2EAD">
      <w:pPr>
        <w:pStyle w:val="Standardntext"/>
      </w:pPr>
      <w:r w:rsidRPr="005E2EAD">
        <w:t>Optimalizace výrobních procesů</w:t>
      </w:r>
    </w:p>
    <w:p w:rsidR="005E2EAD" w:rsidRPr="005E2EAD" w:rsidRDefault="005E2EAD" w:rsidP="005E2EAD">
      <w:pPr>
        <w:pStyle w:val="Standardntext"/>
        <w:rPr>
          <w:b/>
        </w:rPr>
      </w:pPr>
      <w:r w:rsidRPr="005E2EAD">
        <w:rPr>
          <w:b/>
        </w:rPr>
        <w:t>Elektronika a elektrotechnika</w:t>
      </w:r>
    </w:p>
    <w:p w:rsidR="005E2EAD" w:rsidRPr="005E2EAD" w:rsidRDefault="005E2EAD" w:rsidP="005E2EAD">
      <w:pPr>
        <w:pStyle w:val="Standardntext"/>
      </w:pPr>
      <w:r w:rsidRPr="005E2EAD">
        <w:t>Průmyslová automatizace, komunikace, identifikace, kontrolní zařízení</w:t>
      </w:r>
    </w:p>
    <w:p w:rsidR="005E2EAD" w:rsidRPr="005E2EAD" w:rsidRDefault="005E2EAD" w:rsidP="005E2EAD">
      <w:pPr>
        <w:pStyle w:val="Standardntext"/>
      </w:pPr>
      <w:r w:rsidRPr="005E2EAD">
        <w:t>Robotika, umělá inteligence</w:t>
      </w:r>
    </w:p>
    <w:p w:rsidR="005E2EAD" w:rsidRPr="005E2EAD" w:rsidRDefault="005E2EAD" w:rsidP="005E2EAD">
      <w:pPr>
        <w:pStyle w:val="Standardntext"/>
      </w:pPr>
      <w:r w:rsidRPr="005E2EAD">
        <w:t>Spínací technika, jističe, spínače, rozvaděče</w:t>
      </w:r>
    </w:p>
    <w:p w:rsidR="005E2EAD" w:rsidRPr="005E2EAD" w:rsidRDefault="005E2EAD" w:rsidP="005E2EAD">
      <w:pPr>
        <w:pStyle w:val="Standardntext"/>
      </w:pPr>
      <w:r w:rsidRPr="005E2EAD">
        <w:t>Mikroelektronika</w:t>
      </w:r>
    </w:p>
    <w:p w:rsidR="005E2EAD" w:rsidRPr="005E2EAD" w:rsidRDefault="005E2EAD" w:rsidP="005E2EAD">
      <w:pPr>
        <w:pStyle w:val="Standardntext"/>
      </w:pPr>
      <w:r w:rsidRPr="005E2EAD">
        <w:t>Analytické, měřící a vědecké přístroje</w:t>
      </w:r>
    </w:p>
    <w:p w:rsidR="005E2EAD" w:rsidRPr="005E2EAD" w:rsidRDefault="005E2EAD" w:rsidP="005E2EAD">
      <w:pPr>
        <w:pStyle w:val="Standardntext"/>
      </w:pPr>
      <w:r w:rsidRPr="005E2EAD">
        <w:t>Elektromotory a elektrické rotační stroje a zařízení</w:t>
      </w:r>
    </w:p>
    <w:p w:rsidR="005E2EAD" w:rsidRPr="005E2EAD" w:rsidRDefault="005E2EAD" w:rsidP="005E2EAD">
      <w:pPr>
        <w:pStyle w:val="Standardntext"/>
      </w:pPr>
      <w:r w:rsidRPr="005E2EAD">
        <w:lastRenderedPageBreak/>
        <w:t>Optika, optoelektronika, lasery a jejich aplikace</w:t>
      </w:r>
    </w:p>
    <w:p w:rsidR="005E2EAD" w:rsidRPr="005E2EAD" w:rsidRDefault="005E2EAD" w:rsidP="005E2EAD">
      <w:pPr>
        <w:pStyle w:val="Standardntext"/>
      </w:pPr>
    </w:p>
    <w:p w:rsidR="005E2EAD" w:rsidRPr="005E2EAD" w:rsidRDefault="005E2EAD" w:rsidP="005E2EAD">
      <w:pPr>
        <w:pStyle w:val="Standardntext"/>
        <w:rPr>
          <w:b/>
        </w:rPr>
      </w:pPr>
      <w:r w:rsidRPr="005E2EAD">
        <w:rPr>
          <w:b/>
        </w:rPr>
        <w:t>IT služby a software</w:t>
      </w:r>
    </w:p>
    <w:p w:rsidR="006463F9" w:rsidRPr="00157238" w:rsidRDefault="006463F9" w:rsidP="006463F9">
      <w:pPr>
        <w:pStyle w:val="Standardntext"/>
      </w:pPr>
      <w:r w:rsidRPr="00157238">
        <w:t>Síťové technologie a bezpečnost sítí</w:t>
      </w:r>
    </w:p>
    <w:p w:rsidR="006463F9" w:rsidRPr="00157238" w:rsidRDefault="006463F9" w:rsidP="006463F9">
      <w:pPr>
        <w:pStyle w:val="Standardntext"/>
      </w:pPr>
      <w:r w:rsidRPr="00157238">
        <w:t>Antivirový SW</w:t>
      </w:r>
    </w:p>
    <w:p w:rsidR="006463F9" w:rsidRPr="00157238" w:rsidRDefault="006463F9" w:rsidP="006463F9">
      <w:pPr>
        <w:pStyle w:val="Standardntext"/>
      </w:pPr>
      <w:r w:rsidRPr="00157238">
        <w:t>Databázové, informační a expertní systémy, podnikový SW</w:t>
      </w:r>
    </w:p>
    <w:p w:rsidR="006463F9" w:rsidRPr="00157238" w:rsidRDefault="006463F9" w:rsidP="006463F9">
      <w:pPr>
        <w:pStyle w:val="Standardntext"/>
      </w:pPr>
      <w:r w:rsidRPr="00157238">
        <w:t>Kreativní IT služby, digitální media (inženýringové a architekticniké služby, počítačové hry, audiovizuální a reklamní služby)</w:t>
      </w:r>
    </w:p>
    <w:p w:rsidR="006463F9" w:rsidRPr="00157238" w:rsidRDefault="006463F9" w:rsidP="006463F9">
      <w:pPr>
        <w:pStyle w:val="Standardntext"/>
      </w:pPr>
      <w:r w:rsidRPr="00157238">
        <w:t>Internetové služby a mobilní aplikace</w:t>
      </w:r>
    </w:p>
    <w:p w:rsidR="006463F9" w:rsidRPr="005E2EAD" w:rsidRDefault="006463F9" w:rsidP="006463F9">
      <w:pPr>
        <w:pStyle w:val="Standardntext"/>
      </w:pPr>
      <w:r w:rsidRPr="00157238">
        <w:t>Počítačové modelování, virtuální prototypování</w:t>
      </w:r>
    </w:p>
    <w:p w:rsidR="005E2EAD" w:rsidRPr="005E2EAD" w:rsidRDefault="005E2EAD" w:rsidP="005E2EAD">
      <w:pPr>
        <w:pStyle w:val="Standardntext"/>
        <w:rPr>
          <w:b/>
        </w:rPr>
      </w:pPr>
      <w:r w:rsidRPr="005E2EAD">
        <w:rPr>
          <w:b/>
        </w:rPr>
        <w:t>Výroba a distribuce elektrické energie</w:t>
      </w:r>
    </w:p>
    <w:p w:rsidR="005E2EAD" w:rsidRPr="005E2EAD" w:rsidRDefault="005E2EAD" w:rsidP="005E2EAD">
      <w:pPr>
        <w:pStyle w:val="Standardntext"/>
      </w:pPr>
      <w:r w:rsidRPr="005E2EAD">
        <w:t>Výroba a přeměna energie, zařízení pro výrobu a rozvod energie</w:t>
      </w:r>
    </w:p>
    <w:p w:rsidR="005E2EAD" w:rsidRPr="005E2EAD" w:rsidRDefault="005E2EAD" w:rsidP="005E2EAD">
      <w:pPr>
        <w:pStyle w:val="Standardntext"/>
      </w:pPr>
      <w:r w:rsidRPr="005E2EAD">
        <w:t xml:space="preserve">Přenos a řízení výroby a přenosu elektrické energie, inteligentní energetické sítě </w:t>
      </w:r>
    </w:p>
    <w:p w:rsidR="005E2EAD" w:rsidRPr="005E2EAD" w:rsidRDefault="005E2EAD" w:rsidP="005E2EAD">
      <w:pPr>
        <w:pStyle w:val="Standardntext"/>
      </w:pPr>
      <w:r w:rsidRPr="005E2EAD">
        <w:t>Výkonová elektronika, silnoproudá elektrotechnika</w:t>
      </w:r>
    </w:p>
    <w:p w:rsidR="005E2EAD" w:rsidRPr="005E2EAD" w:rsidRDefault="005E2EAD" w:rsidP="005E2EAD">
      <w:pPr>
        <w:pStyle w:val="Standardntext"/>
      </w:pPr>
      <w:r w:rsidRPr="005E2EAD">
        <w:t>Jaderná energetika</w:t>
      </w:r>
    </w:p>
    <w:p w:rsidR="005E2EAD" w:rsidRPr="005E2EAD" w:rsidRDefault="005E2EAD" w:rsidP="005E2EAD">
      <w:pPr>
        <w:pStyle w:val="Standardntext"/>
      </w:pPr>
      <w:r w:rsidRPr="005E2EAD">
        <w:t>Těžba a využití uhlí</w:t>
      </w:r>
    </w:p>
    <w:p w:rsidR="005E2EAD" w:rsidRPr="005E2EAD" w:rsidRDefault="005E2EAD" w:rsidP="005E2EAD">
      <w:pPr>
        <w:pStyle w:val="Standardntext"/>
      </w:pPr>
      <w:r w:rsidRPr="005E2EAD">
        <w:t>Obnovitelné zdroje energie, energetické využití odpadů</w:t>
      </w:r>
    </w:p>
    <w:p w:rsidR="005E2EAD" w:rsidRPr="005E2EAD" w:rsidRDefault="005E2EAD" w:rsidP="005E2EAD">
      <w:pPr>
        <w:pStyle w:val="Standardntext"/>
      </w:pPr>
      <w:r w:rsidRPr="005E2EAD">
        <w:t>Energetické materiály</w:t>
      </w:r>
    </w:p>
    <w:p w:rsidR="005E2EAD" w:rsidRPr="005E2EAD" w:rsidRDefault="005E2EAD" w:rsidP="005E2EAD">
      <w:pPr>
        <w:pStyle w:val="Standardntext"/>
      </w:pPr>
      <w:r w:rsidRPr="005E2EAD">
        <w:t>Nízkouhlíkové technologie a energetické úspory</w:t>
      </w:r>
    </w:p>
    <w:p w:rsidR="005E2EAD" w:rsidRPr="005E2EAD" w:rsidRDefault="005E2EAD" w:rsidP="005E2EAD">
      <w:pPr>
        <w:pStyle w:val="Standardntext"/>
      </w:pPr>
      <w:r w:rsidRPr="005E2EAD">
        <w:t>Management energie v dopravě</w:t>
      </w:r>
    </w:p>
    <w:p w:rsidR="005E2EAD" w:rsidRPr="005E2EAD" w:rsidRDefault="005E2EAD" w:rsidP="005E2EAD">
      <w:pPr>
        <w:pStyle w:val="Standardntext"/>
        <w:rPr>
          <w:b/>
        </w:rPr>
      </w:pPr>
      <w:r w:rsidRPr="005E2EAD">
        <w:rPr>
          <w:b/>
        </w:rPr>
        <w:t>Léčiva a zdravotnické prostředky</w:t>
      </w:r>
    </w:p>
    <w:p w:rsidR="005E2EAD" w:rsidRPr="005E2EAD" w:rsidRDefault="005E2EAD" w:rsidP="005E2EAD">
      <w:pPr>
        <w:pStyle w:val="Standardntext"/>
      </w:pPr>
      <w:r w:rsidRPr="005E2EAD">
        <w:t>Zdravotní technika a pomůcky</w:t>
      </w:r>
    </w:p>
    <w:p w:rsidR="005E2EAD" w:rsidRPr="005E2EAD" w:rsidRDefault="005E2EAD" w:rsidP="005E2EAD">
      <w:pPr>
        <w:pStyle w:val="Standardntext"/>
      </w:pPr>
      <w:r w:rsidRPr="005E2EAD">
        <w:t>Implantáty a zdravotní náhrady, biologicky aktivní materiály</w:t>
      </w:r>
    </w:p>
    <w:p w:rsidR="005E2EAD" w:rsidRPr="005E2EAD" w:rsidRDefault="005E2EAD" w:rsidP="005E2EAD">
      <w:pPr>
        <w:pStyle w:val="Standardntext"/>
      </w:pPr>
      <w:r w:rsidRPr="005E2EAD">
        <w:t>Diagnostická zařízení</w:t>
      </w:r>
    </w:p>
    <w:p w:rsidR="005E2EAD" w:rsidRPr="005E2EAD" w:rsidRDefault="005E2EAD" w:rsidP="005E2EAD">
      <w:pPr>
        <w:pStyle w:val="Standardntext"/>
      </w:pPr>
      <w:r w:rsidRPr="005E2EAD">
        <w:t>Léčiva, farmakochemie</w:t>
      </w:r>
    </w:p>
    <w:p w:rsidR="005E2EAD" w:rsidRPr="005E2EAD" w:rsidRDefault="005E2EAD" w:rsidP="005E2EAD">
      <w:pPr>
        <w:pStyle w:val="Standardntext"/>
      </w:pPr>
      <w:r w:rsidRPr="005E2EAD">
        <w:t>Zdravotní služby a péče (klinické zkoušky, biostatistika, apod.)</w:t>
      </w:r>
    </w:p>
    <w:p w:rsidR="00117A40" w:rsidRDefault="0016294B" w:rsidP="0086240B">
      <w:pPr>
        <w:pStyle w:val="Standardntext"/>
        <w:rPr>
          <w:rFonts w:cstheme="minorHAnsi"/>
          <w:lang w:val="cs-CZ"/>
        </w:rPr>
      </w:pPr>
      <w:r w:rsidRPr="0016294B">
        <w:rPr>
          <w:rFonts w:cstheme="minorHAnsi"/>
        </w:rPr>
        <w:t>Vedle šesti aplikačních témat odvozených od ekonomické a inovační dynamiky příslušných aplikačních odvětví bylo dále doplněno ještě sedmé téma</w:t>
      </w:r>
      <w:r w:rsidR="007800DF">
        <w:rPr>
          <w:rFonts w:cstheme="minorHAnsi"/>
          <w:lang w:val="cs-CZ"/>
        </w:rPr>
        <w:t xml:space="preserve"> </w:t>
      </w:r>
      <w:r w:rsidR="007800DF" w:rsidRPr="007800DF">
        <w:rPr>
          <w:rFonts w:cstheme="minorHAnsi"/>
          <w:lang w:val="cs-CZ"/>
        </w:rPr>
        <w:t>přírodní zdroje, udržitelné zemědělství a potravinová bezpečnost a dostatečnost</w:t>
      </w:r>
      <w:r w:rsidR="007800DF">
        <w:rPr>
          <w:rFonts w:cstheme="minorHAnsi"/>
        </w:rPr>
        <w:t>, kter</w:t>
      </w:r>
      <w:r w:rsidR="007800DF">
        <w:rPr>
          <w:rFonts w:cstheme="minorHAnsi"/>
          <w:lang w:val="cs-CZ"/>
        </w:rPr>
        <w:t>é</w:t>
      </w:r>
      <w:r w:rsidRPr="0016294B">
        <w:rPr>
          <w:rFonts w:cstheme="minorHAnsi"/>
        </w:rPr>
        <w:t xml:space="preserve"> reflektuje potřebu inovací v oblasti přírodních zdrojů a potravinové dostatečnosti</w:t>
      </w:r>
      <w:r>
        <w:rPr>
          <w:rFonts w:cstheme="minorHAnsi"/>
          <w:lang w:val="cs-CZ"/>
        </w:rPr>
        <w:t xml:space="preserve">. </w:t>
      </w:r>
      <w:r w:rsidRPr="0016294B">
        <w:rPr>
          <w:rFonts w:cstheme="minorHAnsi"/>
          <w:lang w:val="cs-CZ"/>
        </w:rPr>
        <w:t>Jde o oblast, kde v tuto chvíli neexistuje bezprostřední komparativní výhoda ČR v mezinárodním měřítku, existuje zde však důvodný předpoklad, že z hlediska udržení dlouhodobé konkurenceschopnosti jde o kritickou oblast nezbytnou pro předcházení rizik, která mohou dlouhodobě ohrožovat prosperitu ekonomiky a společnosti.</w:t>
      </w:r>
      <w:r>
        <w:rPr>
          <w:rFonts w:cstheme="minorHAnsi"/>
          <w:lang w:val="cs-CZ"/>
        </w:rPr>
        <w:t xml:space="preserve"> </w:t>
      </w:r>
      <w:r w:rsidR="004A1C88">
        <w:rPr>
          <w:rFonts w:cstheme="minorHAnsi"/>
        </w:rPr>
        <w:t>Vedle konkretizace aplikačních oblastí v rámci národní ekonomické specializace byly dále z regionální úrovně identifikovány oblasti regionálně specifické specializace, které by rovněž měly být zohledněny při nastavování budoucích intervencí při realizaci strategie inteligentní specializace.</w:t>
      </w:r>
      <w:r w:rsidR="004A1C88">
        <w:rPr>
          <w:rFonts w:cstheme="minorHAnsi"/>
          <w:lang w:val="cs-CZ"/>
        </w:rPr>
        <w:t xml:space="preserve"> Tyto oblasti jsou detailně zohledněny v Národní RIS3 strategii. </w:t>
      </w:r>
      <w:r w:rsidR="004A1C88" w:rsidRPr="004A1C88">
        <w:rPr>
          <w:rFonts w:cstheme="minorHAnsi"/>
          <w:lang w:val="cs-CZ"/>
        </w:rPr>
        <w:t xml:space="preserve">Výzkumné aktivity v ČR pokrývají široké spektrum směrů a v určitém rozsahu pokrývají všechny klíčové znalostní domény (resp. KETs) – materiálového výzkumu, nanotechnologií, </w:t>
      </w:r>
      <w:r w:rsidR="004A1C88" w:rsidRPr="004A1C88">
        <w:rPr>
          <w:rFonts w:cstheme="minorHAnsi"/>
          <w:lang w:val="cs-CZ"/>
        </w:rPr>
        <w:lastRenderedPageBreak/>
        <w:t>mikro a nanoelektroniky, fotoniky, pokročilých výrobních technologií a průmyslových biotechnologií.</w:t>
      </w:r>
      <w:r w:rsidR="004A1C88">
        <w:rPr>
          <w:rFonts w:cstheme="minorHAnsi"/>
          <w:lang w:val="cs-CZ"/>
        </w:rPr>
        <w:t xml:space="preserve"> Veškerá tato zjištění budou využita</w:t>
      </w:r>
      <w:r w:rsidR="004A1C88" w:rsidRPr="004A1C88">
        <w:rPr>
          <w:rFonts w:cstheme="minorHAnsi"/>
          <w:lang w:val="cs-CZ"/>
        </w:rPr>
        <w:t xml:space="preserve"> pro identifikaci nových příležitostí v rámci inovačních platforem a entrepreneurial discovery proces</w:t>
      </w:r>
      <w:r w:rsidR="00117A40">
        <w:rPr>
          <w:rFonts w:cstheme="minorHAnsi"/>
          <w:lang w:val="cs-CZ"/>
        </w:rPr>
        <w:t xml:space="preserve">, </w:t>
      </w:r>
      <w:r w:rsidR="00117A40" w:rsidRPr="00117A40">
        <w:rPr>
          <w:rFonts w:cstheme="minorHAnsi"/>
          <w:lang w:val="cs-CZ"/>
        </w:rPr>
        <w:t>který bude probíhat v interakci mezi partnery v jednotlivých inovačních platformách, v nichž jsou zastoupeni jak zástupci firemní sféry, výzkumných organizací, tak veřejného sektoru.</w:t>
      </w:r>
      <w:r w:rsidR="00117A40">
        <w:rPr>
          <w:rFonts w:cstheme="minorHAnsi"/>
          <w:lang w:val="cs-CZ"/>
        </w:rPr>
        <w:t xml:space="preserve"> </w:t>
      </w:r>
      <w:r w:rsidR="00117A40" w:rsidRPr="00117A40">
        <w:rPr>
          <w:rFonts w:cstheme="minorHAnsi"/>
          <w:lang w:val="cs-CZ"/>
        </w:rPr>
        <w:t>Touto cestou bude možné zpřesnit a prioritizovat aplikační témata inteligentní specializace definovaná jako průsečík společenských výzev, základních znalostních domén a aplikačních příležitostí</w:t>
      </w:r>
      <w:r w:rsidR="007C2464">
        <w:rPr>
          <w:rFonts w:cstheme="minorHAnsi"/>
          <w:lang w:val="cs-CZ"/>
        </w:rPr>
        <w:t xml:space="preserve"> (</w:t>
      </w:r>
      <w:r w:rsidR="007C2464">
        <w:rPr>
          <w:lang w:val="cs-CZ"/>
        </w:rPr>
        <w:t>m</w:t>
      </w:r>
      <w:r w:rsidR="007C2464" w:rsidRPr="00670890">
        <w:t xml:space="preserve">atice inovačních a výzkumných potřeb </w:t>
      </w:r>
      <w:r w:rsidR="007C2464">
        <w:t>inteligentní</w:t>
      </w:r>
      <w:r w:rsidR="007C2464" w:rsidRPr="00670890">
        <w:t xml:space="preserve"> specializace</w:t>
      </w:r>
      <w:r w:rsidR="007C2464">
        <w:rPr>
          <w:lang w:val="cs-CZ"/>
        </w:rPr>
        <w:t xml:space="preserve"> uvedena v tabulce níže</w:t>
      </w:r>
      <w:r w:rsidR="007C2464">
        <w:rPr>
          <w:rFonts w:cstheme="minorHAnsi"/>
          <w:lang w:val="cs-CZ"/>
        </w:rPr>
        <w:t>)</w:t>
      </w:r>
      <w:r w:rsidR="00117A40" w:rsidRPr="00117A40">
        <w:rPr>
          <w:rFonts w:cstheme="minorHAnsi"/>
          <w:lang w:val="cs-CZ"/>
        </w:rPr>
        <w:t>.</w:t>
      </w:r>
      <w:r w:rsidR="00117A40">
        <w:rPr>
          <w:rFonts w:cstheme="minorHAnsi"/>
          <w:lang w:val="cs-CZ"/>
        </w:rPr>
        <w:t xml:space="preserve"> </w:t>
      </w:r>
      <w:r w:rsidR="00117A40" w:rsidRPr="00117A40">
        <w:rPr>
          <w:rFonts w:cstheme="minorHAnsi"/>
          <w:lang w:val="cs-CZ"/>
        </w:rPr>
        <w:t>Koncept inteligentní specializace a entrepreneurial discovery process tak bude dále rozvíjen v celém průběhu implementace národní strategie RIS3.</w:t>
      </w:r>
    </w:p>
    <w:p w:rsidR="00157238" w:rsidRDefault="00157238" w:rsidP="0086240B">
      <w:pPr>
        <w:pStyle w:val="Standardntext"/>
        <w:rPr>
          <w:rFonts w:cstheme="minorHAnsi"/>
          <w:lang w:val="cs-CZ"/>
        </w:rPr>
        <w:sectPr w:rsidR="00157238">
          <w:footerReference w:type="default" r:id="rId9"/>
          <w:pgSz w:w="11906" w:h="16838"/>
          <w:pgMar w:top="1417" w:right="1417" w:bottom="1417" w:left="1417" w:header="708" w:footer="708" w:gutter="0"/>
          <w:cols w:space="708"/>
        </w:sectPr>
      </w:pPr>
    </w:p>
    <w:p w:rsidR="00157238" w:rsidRDefault="00157238" w:rsidP="0086240B">
      <w:pPr>
        <w:pStyle w:val="Standardntext"/>
        <w:rPr>
          <w:rFonts w:cstheme="minorHAnsi"/>
          <w:lang w:val="cs-CZ"/>
        </w:rPr>
        <w:sectPr w:rsidR="00157238" w:rsidSect="00157238">
          <w:type w:val="continuous"/>
          <w:pgSz w:w="11906" w:h="16838"/>
          <w:pgMar w:top="1417" w:right="1417" w:bottom="1417" w:left="1417" w:header="708" w:footer="708" w:gutter="0"/>
          <w:cols w:space="708"/>
        </w:sectPr>
      </w:pPr>
    </w:p>
    <w:p w:rsidR="007C2464" w:rsidRDefault="007C2464" w:rsidP="00157238">
      <w:pPr>
        <w:pStyle w:val="Titulek"/>
        <w:keepNext/>
      </w:pPr>
      <w:r>
        <w:lastRenderedPageBreak/>
        <w:t xml:space="preserve">Tabulka </w:t>
      </w:r>
      <w:fldSimple w:instr=" SEQ Tabulka \* ARABIC ">
        <w:r>
          <w:rPr>
            <w:noProof/>
          </w:rPr>
          <w:t>1</w:t>
        </w:r>
      </w:fldSimple>
      <w:r>
        <w:t xml:space="preserve">: </w:t>
      </w:r>
      <w:r w:rsidRPr="00670890">
        <w:t xml:space="preserve">Matice inovačních a výzkumných potřeb </w:t>
      </w:r>
      <w:r>
        <w:t>inteligentní</w:t>
      </w:r>
      <w:r w:rsidRPr="00670890">
        <w:t xml:space="preserve"> specializace</w:t>
      </w:r>
      <w:r>
        <w:t xml:space="preserve"> – znalostní domény vs. aplikační odvětví</w:t>
      </w:r>
    </w:p>
    <w:tbl>
      <w:tblPr>
        <w:tblW w:w="5719" w:type="pct"/>
        <w:tblInd w:w="-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56"/>
        <w:gridCol w:w="2007"/>
        <w:gridCol w:w="1025"/>
        <w:gridCol w:w="742"/>
        <w:gridCol w:w="1025"/>
        <w:gridCol w:w="1103"/>
        <w:gridCol w:w="1103"/>
        <w:gridCol w:w="1278"/>
        <w:gridCol w:w="813"/>
        <w:gridCol w:w="745"/>
        <w:gridCol w:w="745"/>
        <w:gridCol w:w="745"/>
        <w:gridCol w:w="745"/>
        <w:gridCol w:w="680"/>
      </w:tblGrid>
      <w:tr w:rsidR="00157238" w:rsidRPr="007C2464" w:rsidTr="00157238">
        <w:tc>
          <w:tcPr>
            <w:tcW w:w="1078" w:type="pct"/>
            <w:gridSpan w:val="2"/>
            <w:vMerge w:val="restart"/>
            <w:shd w:val="clear" w:color="auto" w:fill="C6D9F1" w:themeFill="text2" w:themeFillTint="33"/>
          </w:tcPr>
          <w:p w:rsidR="00157238" w:rsidRPr="007C2464" w:rsidRDefault="00157238" w:rsidP="008D3FA8">
            <w:pPr>
              <w:overflowPunct/>
              <w:autoSpaceDE/>
              <w:autoSpaceDN/>
              <w:adjustRightInd/>
              <w:spacing w:line="276" w:lineRule="auto"/>
              <w:jc w:val="both"/>
              <w:textAlignment w:val="auto"/>
              <w:rPr>
                <w:rFonts w:asciiTheme="minorHAnsi" w:eastAsiaTheme="minorHAnsi" w:hAnsiTheme="minorHAnsi" w:cstheme="minorHAnsi"/>
                <w:b/>
                <w:sz w:val="18"/>
                <w:szCs w:val="18"/>
                <w:lang w:eastAsia="en-US"/>
              </w:rPr>
            </w:pPr>
          </w:p>
        </w:tc>
        <w:tc>
          <w:tcPr>
            <w:tcW w:w="2546" w:type="pct"/>
            <w:gridSpan w:val="7"/>
            <w:shd w:val="clear" w:color="auto" w:fill="C6D9F1" w:themeFill="text2" w:themeFillTint="33"/>
          </w:tcPr>
          <w:p w:rsidR="00157238" w:rsidRPr="007C2464" w:rsidRDefault="00157238" w:rsidP="008D3FA8">
            <w:pPr>
              <w:overflowPunct/>
              <w:autoSpaceDE/>
              <w:autoSpaceDN/>
              <w:adjustRightInd/>
              <w:jc w:val="center"/>
              <w:textAlignment w:val="auto"/>
              <w:rPr>
                <w:rFonts w:asciiTheme="minorHAnsi" w:eastAsiaTheme="minorHAnsi" w:hAnsiTheme="minorHAnsi" w:cstheme="minorHAnsi"/>
                <w:b/>
                <w:sz w:val="18"/>
                <w:szCs w:val="18"/>
                <w:lang w:eastAsia="en-US"/>
              </w:rPr>
            </w:pPr>
            <w:r w:rsidRPr="007C2464">
              <w:rPr>
                <w:rFonts w:asciiTheme="minorHAnsi" w:eastAsiaTheme="minorHAnsi" w:hAnsiTheme="minorHAnsi" w:cstheme="minorHAnsi"/>
                <w:b/>
                <w:sz w:val="18"/>
                <w:szCs w:val="18"/>
                <w:lang w:eastAsia="en-US"/>
              </w:rPr>
              <w:t>Klíčová odvětví aplikací a aplikační témata - národní</w:t>
            </w:r>
          </w:p>
        </w:tc>
        <w:tc>
          <w:tcPr>
            <w:tcW w:w="1376" w:type="pct"/>
            <w:gridSpan w:val="6"/>
            <w:shd w:val="clear" w:color="auto" w:fill="C6D9F1" w:themeFill="text2" w:themeFillTint="33"/>
          </w:tcPr>
          <w:p w:rsidR="00157238" w:rsidRPr="007C2464" w:rsidRDefault="00157238" w:rsidP="008D3FA8">
            <w:pPr>
              <w:overflowPunct/>
              <w:autoSpaceDE/>
              <w:autoSpaceDN/>
              <w:adjustRightInd/>
              <w:jc w:val="center"/>
              <w:textAlignment w:val="auto"/>
              <w:rPr>
                <w:rFonts w:asciiTheme="minorHAnsi" w:eastAsiaTheme="minorHAnsi" w:hAnsiTheme="minorHAnsi" w:cstheme="minorHAnsi"/>
                <w:b/>
                <w:sz w:val="18"/>
                <w:szCs w:val="18"/>
                <w:lang w:eastAsia="en-US"/>
              </w:rPr>
            </w:pPr>
            <w:r w:rsidRPr="007C2464">
              <w:rPr>
                <w:rFonts w:asciiTheme="minorHAnsi" w:eastAsiaTheme="minorHAnsi" w:hAnsiTheme="minorHAnsi" w:cstheme="minorHAnsi"/>
                <w:b/>
                <w:sz w:val="18"/>
                <w:szCs w:val="18"/>
                <w:lang w:eastAsia="en-US"/>
              </w:rPr>
              <w:t>Klíčová odvětví aplikací znalostí - regionální</w:t>
            </w:r>
            <w:r w:rsidRPr="007C2464">
              <w:rPr>
                <w:rFonts w:asciiTheme="minorHAnsi" w:eastAsiaTheme="minorHAnsi" w:hAnsiTheme="minorHAnsi" w:cstheme="minorHAnsi"/>
                <w:b/>
                <w:sz w:val="18"/>
                <w:szCs w:val="18"/>
                <w:vertAlign w:val="superscript"/>
                <w:lang w:eastAsia="en-US"/>
              </w:rPr>
              <w:footnoteReference w:id="4"/>
            </w:r>
          </w:p>
        </w:tc>
      </w:tr>
      <w:tr w:rsidR="00157238" w:rsidRPr="007C2464" w:rsidTr="00157238">
        <w:trPr>
          <w:cantSplit/>
          <w:trHeight w:val="2332"/>
        </w:trPr>
        <w:tc>
          <w:tcPr>
            <w:tcW w:w="1078" w:type="pct"/>
            <w:gridSpan w:val="2"/>
            <w:vMerge/>
            <w:shd w:val="clear" w:color="auto" w:fill="C6D9F1" w:themeFill="text2" w:themeFillTint="33"/>
          </w:tcPr>
          <w:p w:rsidR="00157238" w:rsidRPr="007C2464" w:rsidRDefault="00157238" w:rsidP="008D3FA8">
            <w:pPr>
              <w:overflowPunct/>
              <w:autoSpaceDE/>
              <w:autoSpaceDN/>
              <w:adjustRightInd/>
              <w:spacing w:line="276" w:lineRule="auto"/>
              <w:jc w:val="both"/>
              <w:textAlignment w:val="auto"/>
              <w:rPr>
                <w:rFonts w:asciiTheme="minorHAnsi" w:eastAsiaTheme="minorHAnsi" w:hAnsiTheme="minorHAnsi" w:cstheme="minorHAnsi"/>
                <w:b/>
                <w:sz w:val="18"/>
                <w:szCs w:val="18"/>
                <w:lang w:eastAsia="en-US"/>
              </w:rPr>
            </w:pPr>
          </w:p>
        </w:tc>
        <w:tc>
          <w:tcPr>
            <w:tcW w:w="617"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Výroba dopravních prostředků, udržitelnost a bezpečnost dopravy</w:t>
            </w:r>
          </w:p>
        </w:tc>
        <w:tc>
          <w:tcPr>
            <w:tcW w:w="315"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 xml:space="preserve">Pokročilé a úsporné strojírenství a automatizace </w:t>
            </w:r>
          </w:p>
        </w:tc>
        <w:tc>
          <w:tcPr>
            <w:tcW w:w="228"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Úsporná řešení v elektronice a elektrotechnice</w:t>
            </w:r>
          </w:p>
        </w:tc>
        <w:tc>
          <w:tcPr>
            <w:tcW w:w="315"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 xml:space="preserve">IT služby, software a IT bezpečnost </w:t>
            </w:r>
          </w:p>
        </w:tc>
        <w:tc>
          <w:tcPr>
            <w:tcW w:w="339"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 xml:space="preserve">Udržitelná  a bezpečná výroba a distribuce el. energie  </w:t>
            </w:r>
          </w:p>
        </w:tc>
        <w:tc>
          <w:tcPr>
            <w:tcW w:w="339"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Léčiva a zdravotnické prostředky pro zdravé stárnutí</w:t>
            </w:r>
          </w:p>
        </w:tc>
        <w:tc>
          <w:tcPr>
            <w:tcW w:w="392"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 xml:space="preserve">Přírodní zdroje, udržitelné zemědělství a potravinová bezpečnost a dostatečnost </w:t>
            </w:r>
          </w:p>
        </w:tc>
        <w:tc>
          <w:tcPr>
            <w:tcW w:w="250"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Chemie</w:t>
            </w:r>
          </w:p>
        </w:tc>
        <w:tc>
          <w:tcPr>
            <w:tcW w:w="229"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Sklo, keramika</w:t>
            </w:r>
          </w:p>
        </w:tc>
        <w:tc>
          <w:tcPr>
            <w:tcW w:w="229"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Gumárenství, plastikářství</w:t>
            </w:r>
          </w:p>
        </w:tc>
        <w:tc>
          <w:tcPr>
            <w:tcW w:w="229"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Lázeňství</w:t>
            </w:r>
          </w:p>
        </w:tc>
        <w:tc>
          <w:tcPr>
            <w:tcW w:w="229"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Média</w:t>
            </w:r>
          </w:p>
        </w:tc>
        <w:tc>
          <w:tcPr>
            <w:tcW w:w="210" w:type="pct"/>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Textil</w:t>
            </w:r>
          </w:p>
        </w:tc>
      </w:tr>
      <w:tr w:rsidR="00157238" w:rsidRPr="007C2464" w:rsidTr="00157238">
        <w:tc>
          <w:tcPr>
            <w:tcW w:w="262"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vAlign w:val="center"/>
          </w:tcPr>
          <w:p w:rsidR="00157238" w:rsidRPr="007C2464" w:rsidRDefault="00157238" w:rsidP="008D3FA8">
            <w:pPr>
              <w:overflowPunct/>
              <w:autoSpaceDE/>
              <w:autoSpaceDN/>
              <w:adjustRightInd/>
              <w:ind w:left="113" w:right="113"/>
              <w:jc w:val="center"/>
              <w:textAlignment w:val="auto"/>
              <w:rPr>
                <w:rFonts w:asciiTheme="minorHAnsi" w:eastAsiaTheme="minorHAnsi" w:hAnsiTheme="minorHAnsi" w:cstheme="minorHAnsi"/>
                <w:b/>
                <w:sz w:val="18"/>
                <w:szCs w:val="18"/>
                <w:lang w:eastAsia="en-US"/>
              </w:rPr>
            </w:pPr>
            <w:r w:rsidRPr="007C2464">
              <w:rPr>
                <w:rFonts w:asciiTheme="minorHAnsi" w:eastAsiaTheme="minorHAnsi" w:hAnsiTheme="minorHAnsi" w:cstheme="minorHAnsi"/>
                <w:b/>
                <w:sz w:val="18"/>
                <w:szCs w:val="18"/>
                <w:lang w:eastAsia="en-US"/>
              </w:rPr>
              <w:t>Generické znalostní domény (KETs + netechnologické domény)</w:t>
            </w:r>
          </w:p>
        </w:tc>
        <w:tc>
          <w:tcPr>
            <w:tcW w:w="817" w:type="pct"/>
            <w:tcBorders>
              <w:left w:val="single" w:sz="4" w:space="0" w:color="auto"/>
            </w:tcBorders>
          </w:tcPr>
          <w:p w:rsidR="00157238" w:rsidRPr="007C2464" w:rsidRDefault="00157238" w:rsidP="008D3FA8">
            <w:pPr>
              <w:overflowPunct/>
              <w:autoSpaceDE/>
              <w:autoSpaceDN/>
              <w:adjustRightInd/>
              <w:spacing w:line="276" w:lineRule="auto"/>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Pokročilé materiály</w:t>
            </w:r>
          </w:p>
        </w:tc>
        <w:tc>
          <w:tcPr>
            <w:tcW w:w="617"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8"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92"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5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1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r>
      <w:tr w:rsidR="00157238" w:rsidRPr="007C2464" w:rsidTr="00157238">
        <w:tc>
          <w:tcPr>
            <w:tcW w:w="262" w:type="pct"/>
            <w:vMerge/>
            <w:tcBorders>
              <w:left w:val="single" w:sz="4" w:space="0" w:color="auto"/>
              <w:bottom w:val="single" w:sz="4" w:space="0" w:color="auto"/>
              <w:right w:val="single" w:sz="4" w:space="0" w:color="auto"/>
            </w:tcBorders>
            <w:shd w:val="clear" w:color="auto" w:fill="C6D9F1" w:themeFill="text2" w:themeFillTint="33"/>
            <w:vAlign w:val="center"/>
          </w:tcPr>
          <w:p w:rsidR="00157238" w:rsidRPr="007C2464" w:rsidRDefault="00157238" w:rsidP="008D3FA8">
            <w:pPr>
              <w:overflowPunct/>
              <w:autoSpaceDE/>
              <w:autoSpaceDN/>
              <w:adjustRightInd/>
              <w:spacing w:line="276" w:lineRule="auto"/>
              <w:jc w:val="center"/>
              <w:textAlignment w:val="auto"/>
              <w:rPr>
                <w:rFonts w:asciiTheme="minorHAnsi" w:eastAsiaTheme="minorHAnsi" w:hAnsiTheme="minorHAnsi" w:cstheme="minorHAnsi"/>
                <w:sz w:val="18"/>
                <w:szCs w:val="18"/>
                <w:lang w:eastAsia="en-US"/>
              </w:rPr>
            </w:pPr>
          </w:p>
        </w:tc>
        <w:tc>
          <w:tcPr>
            <w:tcW w:w="817" w:type="pct"/>
            <w:tcBorders>
              <w:left w:val="single" w:sz="4" w:space="0" w:color="auto"/>
            </w:tcBorders>
          </w:tcPr>
          <w:p w:rsidR="00157238" w:rsidRPr="007C2464" w:rsidRDefault="00157238" w:rsidP="008D3FA8">
            <w:pPr>
              <w:overflowPunct/>
              <w:autoSpaceDE/>
              <w:autoSpaceDN/>
              <w:adjustRightInd/>
              <w:spacing w:line="276" w:lineRule="auto"/>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Nanotechnologie</w:t>
            </w:r>
          </w:p>
        </w:tc>
        <w:tc>
          <w:tcPr>
            <w:tcW w:w="617"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8"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92"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5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1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r>
      <w:tr w:rsidR="00157238" w:rsidRPr="007C2464" w:rsidTr="00157238">
        <w:tc>
          <w:tcPr>
            <w:tcW w:w="262" w:type="pct"/>
            <w:vMerge/>
            <w:tcBorders>
              <w:left w:val="single" w:sz="4" w:space="0" w:color="auto"/>
              <w:bottom w:val="single" w:sz="4" w:space="0" w:color="auto"/>
              <w:right w:val="single" w:sz="4" w:space="0" w:color="auto"/>
            </w:tcBorders>
            <w:shd w:val="clear" w:color="auto" w:fill="C6D9F1" w:themeFill="text2" w:themeFillTint="33"/>
            <w:vAlign w:val="center"/>
          </w:tcPr>
          <w:p w:rsidR="00157238" w:rsidRPr="007C2464" w:rsidRDefault="00157238" w:rsidP="008D3FA8">
            <w:pPr>
              <w:overflowPunct/>
              <w:autoSpaceDE/>
              <w:autoSpaceDN/>
              <w:adjustRightInd/>
              <w:spacing w:line="276" w:lineRule="auto"/>
              <w:jc w:val="center"/>
              <w:textAlignment w:val="auto"/>
              <w:rPr>
                <w:rFonts w:asciiTheme="minorHAnsi" w:eastAsiaTheme="minorHAnsi" w:hAnsiTheme="minorHAnsi" w:cstheme="minorHAnsi"/>
                <w:sz w:val="18"/>
                <w:szCs w:val="18"/>
                <w:lang w:eastAsia="en-US"/>
              </w:rPr>
            </w:pPr>
          </w:p>
        </w:tc>
        <w:tc>
          <w:tcPr>
            <w:tcW w:w="817" w:type="pct"/>
            <w:tcBorders>
              <w:left w:val="single" w:sz="4" w:space="0" w:color="auto"/>
            </w:tcBorders>
          </w:tcPr>
          <w:p w:rsidR="00157238" w:rsidRPr="007C2464" w:rsidRDefault="00157238" w:rsidP="008D3FA8">
            <w:pPr>
              <w:overflowPunct/>
              <w:autoSpaceDE/>
              <w:autoSpaceDN/>
              <w:adjustRightInd/>
              <w:spacing w:line="276" w:lineRule="auto"/>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 xml:space="preserve">Mikro a nanoelektronika </w:t>
            </w:r>
          </w:p>
        </w:tc>
        <w:tc>
          <w:tcPr>
            <w:tcW w:w="617"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8"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92"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5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1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r>
      <w:tr w:rsidR="00157238" w:rsidRPr="007C2464" w:rsidTr="00157238">
        <w:tc>
          <w:tcPr>
            <w:tcW w:w="262" w:type="pct"/>
            <w:vMerge/>
            <w:tcBorders>
              <w:left w:val="single" w:sz="4" w:space="0" w:color="auto"/>
              <w:bottom w:val="single" w:sz="4" w:space="0" w:color="auto"/>
              <w:right w:val="single" w:sz="4" w:space="0" w:color="auto"/>
            </w:tcBorders>
            <w:shd w:val="clear" w:color="auto" w:fill="C6D9F1" w:themeFill="text2" w:themeFillTint="33"/>
            <w:vAlign w:val="center"/>
          </w:tcPr>
          <w:p w:rsidR="00157238" w:rsidRPr="007C2464" w:rsidRDefault="00157238" w:rsidP="008D3FA8">
            <w:pPr>
              <w:overflowPunct/>
              <w:autoSpaceDE/>
              <w:autoSpaceDN/>
              <w:adjustRightInd/>
              <w:spacing w:line="276" w:lineRule="auto"/>
              <w:jc w:val="center"/>
              <w:textAlignment w:val="auto"/>
              <w:rPr>
                <w:rFonts w:asciiTheme="minorHAnsi" w:eastAsiaTheme="minorHAnsi" w:hAnsiTheme="minorHAnsi" w:cstheme="minorHAnsi"/>
                <w:sz w:val="18"/>
                <w:szCs w:val="18"/>
                <w:lang w:eastAsia="en-US"/>
              </w:rPr>
            </w:pPr>
          </w:p>
        </w:tc>
        <w:tc>
          <w:tcPr>
            <w:tcW w:w="817" w:type="pct"/>
            <w:tcBorders>
              <w:left w:val="single" w:sz="4" w:space="0" w:color="auto"/>
            </w:tcBorders>
          </w:tcPr>
          <w:p w:rsidR="00157238" w:rsidRPr="007C2464" w:rsidRDefault="00157238" w:rsidP="008D3FA8">
            <w:pPr>
              <w:overflowPunct/>
              <w:autoSpaceDE/>
              <w:autoSpaceDN/>
              <w:adjustRightInd/>
              <w:spacing w:line="276" w:lineRule="auto"/>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Pokročilé výrobní technologie</w:t>
            </w:r>
          </w:p>
        </w:tc>
        <w:tc>
          <w:tcPr>
            <w:tcW w:w="617"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8"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6"/>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92"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5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1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r>
      <w:tr w:rsidR="00157238" w:rsidRPr="007C2464" w:rsidTr="00157238">
        <w:tc>
          <w:tcPr>
            <w:tcW w:w="262" w:type="pct"/>
            <w:vMerge/>
            <w:tcBorders>
              <w:left w:val="single" w:sz="4" w:space="0" w:color="auto"/>
              <w:bottom w:val="single" w:sz="4" w:space="0" w:color="auto"/>
              <w:right w:val="single" w:sz="4" w:space="0" w:color="auto"/>
            </w:tcBorders>
            <w:shd w:val="clear" w:color="auto" w:fill="C6D9F1" w:themeFill="text2" w:themeFillTint="33"/>
            <w:vAlign w:val="center"/>
          </w:tcPr>
          <w:p w:rsidR="00157238" w:rsidRPr="007C2464" w:rsidRDefault="00157238" w:rsidP="008D3FA8">
            <w:pPr>
              <w:overflowPunct/>
              <w:autoSpaceDE/>
              <w:autoSpaceDN/>
              <w:adjustRightInd/>
              <w:spacing w:line="276" w:lineRule="auto"/>
              <w:jc w:val="center"/>
              <w:textAlignment w:val="auto"/>
              <w:rPr>
                <w:rFonts w:asciiTheme="minorHAnsi" w:eastAsiaTheme="minorHAnsi" w:hAnsiTheme="minorHAnsi" w:cstheme="minorHAnsi"/>
                <w:sz w:val="18"/>
                <w:szCs w:val="18"/>
                <w:lang w:eastAsia="en-US"/>
              </w:rPr>
            </w:pPr>
          </w:p>
        </w:tc>
        <w:tc>
          <w:tcPr>
            <w:tcW w:w="817" w:type="pct"/>
            <w:tcBorders>
              <w:left w:val="single" w:sz="4" w:space="0" w:color="auto"/>
            </w:tcBorders>
          </w:tcPr>
          <w:p w:rsidR="00157238" w:rsidRPr="007C2464" w:rsidRDefault="00157238" w:rsidP="008D3FA8">
            <w:pPr>
              <w:overflowPunct/>
              <w:autoSpaceDE/>
              <w:autoSpaceDN/>
              <w:adjustRightInd/>
              <w:spacing w:line="276" w:lineRule="auto"/>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Fotonika</w:t>
            </w:r>
          </w:p>
        </w:tc>
        <w:tc>
          <w:tcPr>
            <w:tcW w:w="617"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8"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92"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5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1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r>
      <w:tr w:rsidR="00157238" w:rsidRPr="007C2464" w:rsidTr="00157238">
        <w:tc>
          <w:tcPr>
            <w:tcW w:w="262" w:type="pct"/>
            <w:vMerge/>
            <w:tcBorders>
              <w:left w:val="single" w:sz="4" w:space="0" w:color="auto"/>
              <w:bottom w:val="single" w:sz="4" w:space="0" w:color="auto"/>
              <w:right w:val="single" w:sz="4" w:space="0" w:color="auto"/>
            </w:tcBorders>
            <w:shd w:val="clear" w:color="auto" w:fill="C6D9F1" w:themeFill="text2" w:themeFillTint="33"/>
            <w:vAlign w:val="center"/>
          </w:tcPr>
          <w:p w:rsidR="00157238" w:rsidRPr="007C2464" w:rsidRDefault="00157238" w:rsidP="008D3FA8">
            <w:pPr>
              <w:overflowPunct/>
              <w:autoSpaceDE/>
              <w:autoSpaceDN/>
              <w:adjustRightInd/>
              <w:spacing w:line="276" w:lineRule="auto"/>
              <w:jc w:val="center"/>
              <w:textAlignment w:val="auto"/>
              <w:rPr>
                <w:rFonts w:asciiTheme="minorHAnsi" w:eastAsiaTheme="minorHAnsi" w:hAnsiTheme="minorHAnsi" w:cstheme="minorHAnsi"/>
                <w:sz w:val="18"/>
                <w:szCs w:val="18"/>
                <w:lang w:eastAsia="en-US"/>
              </w:rPr>
            </w:pPr>
          </w:p>
        </w:tc>
        <w:tc>
          <w:tcPr>
            <w:tcW w:w="817" w:type="pct"/>
            <w:tcBorders>
              <w:left w:val="single" w:sz="4" w:space="0" w:color="auto"/>
            </w:tcBorders>
          </w:tcPr>
          <w:p w:rsidR="00157238" w:rsidRPr="007C2464" w:rsidRDefault="00157238" w:rsidP="008D3FA8">
            <w:pPr>
              <w:overflowPunct/>
              <w:autoSpaceDE/>
              <w:autoSpaceDN/>
              <w:adjustRightInd/>
              <w:spacing w:line="276" w:lineRule="auto"/>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 xml:space="preserve">Průmyslové biotechnologie </w:t>
            </w:r>
          </w:p>
        </w:tc>
        <w:tc>
          <w:tcPr>
            <w:tcW w:w="617"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8"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92"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5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1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r>
      <w:tr w:rsidR="00157238" w:rsidRPr="007C2464" w:rsidTr="00157238">
        <w:tc>
          <w:tcPr>
            <w:tcW w:w="262" w:type="pct"/>
            <w:vMerge/>
            <w:tcBorders>
              <w:left w:val="single" w:sz="4" w:space="0" w:color="auto"/>
              <w:bottom w:val="single" w:sz="4" w:space="0" w:color="auto"/>
              <w:right w:val="single" w:sz="4" w:space="0" w:color="auto"/>
            </w:tcBorders>
            <w:shd w:val="clear" w:color="auto" w:fill="C6D9F1" w:themeFill="text2" w:themeFillTint="33"/>
            <w:vAlign w:val="center"/>
          </w:tcPr>
          <w:p w:rsidR="00157238" w:rsidRPr="007C2464" w:rsidRDefault="00157238" w:rsidP="008D3FA8">
            <w:pPr>
              <w:overflowPunct/>
              <w:autoSpaceDE/>
              <w:autoSpaceDN/>
              <w:adjustRightInd/>
              <w:spacing w:line="276" w:lineRule="auto"/>
              <w:jc w:val="center"/>
              <w:textAlignment w:val="auto"/>
              <w:rPr>
                <w:rFonts w:asciiTheme="minorHAnsi" w:eastAsiaTheme="minorHAnsi" w:hAnsiTheme="minorHAnsi" w:cstheme="minorHAnsi"/>
                <w:sz w:val="18"/>
                <w:szCs w:val="18"/>
                <w:lang w:eastAsia="en-US"/>
              </w:rPr>
            </w:pPr>
          </w:p>
        </w:tc>
        <w:tc>
          <w:tcPr>
            <w:tcW w:w="817" w:type="pct"/>
            <w:tcBorders>
              <w:left w:val="single" w:sz="4" w:space="0" w:color="auto"/>
            </w:tcBorders>
          </w:tcPr>
          <w:p w:rsidR="00157238" w:rsidRPr="007C2464" w:rsidRDefault="00157238" w:rsidP="008D3FA8">
            <w:pPr>
              <w:overflowPunct/>
              <w:autoSpaceDE/>
              <w:autoSpaceDN/>
              <w:adjustRightInd/>
              <w:spacing w:line="276" w:lineRule="auto"/>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Znalosti pro digitální ekonomiku, kulturní a kreativní průmysl</w:t>
            </w:r>
          </w:p>
        </w:tc>
        <w:tc>
          <w:tcPr>
            <w:tcW w:w="617"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8"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92"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5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1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r>
      <w:tr w:rsidR="00157238" w:rsidRPr="007C2464" w:rsidTr="00157238">
        <w:tc>
          <w:tcPr>
            <w:tcW w:w="262" w:type="pct"/>
            <w:vMerge/>
            <w:tcBorders>
              <w:left w:val="single" w:sz="4" w:space="0" w:color="auto"/>
              <w:bottom w:val="single" w:sz="4" w:space="0" w:color="auto"/>
              <w:right w:val="single" w:sz="4" w:space="0" w:color="auto"/>
            </w:tcBorders>
            <w:shd w:val="clear" w:color="auto" w:fill="C6D9F1" w:themeFill="text2" w:themeFillTint="33"/>
            <w:vAlign w:val="center"/>
          </w:tcPr>
          <w:p w:rsidR="00157238" w:rsidRPr="007C2464" w:rsidRDefault="00157238" w:rsidP="008D3FA8">
            <w:pPr>
              <w:overflowPunct/>
              <w:autoSpaceDE/>
              <w:autoSpaceDN/>
              <w:adjustRightInd/>
              <w:spacing w:line="276" w:lineRule="auto"/>
              <w:jc w:val="center"/>
              <w:textAlignment w:val="auto"/>
              <w:rPr>
                <w:rFonts w:asciiTheme="minorHAnsi" w:eastAsiaTheme="minorHAnsi" w:hAnsiTheme="minorHAnsi" w:cstheme="minorHAnsi"/>
                <w:sz w:val="18"/>
                <w:szCs w:val="18"/>
                <w:lang w:eastAsia="en-US"/>
              </w:rPr>
            </w:pPr>
          </w:p>
        </w:tc>
        <w:tc>
          <w:tcPr>
            <w:tcW w:w="817" w:type="pct"/>
            <w:tcBorders>
              <w:left w:val="single" w:sz="4" w:space="0" w:color="auto"/>
            </w:tcBorders>
          </w:tcPr>
          <w:p w:rsidR="00157238" w:rsidRPr="007C2464" w:rsidRDefault="00157238" w:rsidP="008D3FA8">
            <w:pPr>
              <w:overflowPunct/>
              <w:autoSpaceDE/>
              <w:autoSpaceDN/>
              <w:adjustRightInd/>
              <w:spacing w:line="276" w:lineRule="auto"/>
              <w:textAlignment w:val="auto"/>
              <w:rPr>
                <w:rFonts w:asciiTheme="minorHAnsi" w:eastAsiaTheme="minorHAnsi" w:hAnsiTheme="minorHAnsi" w:cstheme="minorHAnsi"/>
                <w:sz w:val="18"/>
                <w:szCs w:val="18"/>
                <w:lang w:eastAsia="en-US"/>
              </w:rPr>
            </w:pPr>
            <w:r w:rsidRPr="007C2464">
              <w:rPr>
                <w:rFonts w:asciiTheme="minorHAnsi" w:eastAsiaTheme="minorHAnsi" w:hAnsiTheme="minorHAnsi" w:cstheme="minorHAnsi"/>
                <w:sz w:val="18"/>
                <w:szCs w:val="18"/>
                <w:lang w:eastAsia="en-US"/>
              </w:rPr>
              <w:t>Společenskovědní znalosti pro netechnické inovace</w:t>
            </w:r>
          </w:p>
        </w:tc>
        <w:tc>
          <w:tcPr>
            <w:tcW w:w="617"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8"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15"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3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392"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5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29"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c>
          <w:tcPr>
            <w:tcW w:w="210" w:type="pct"/>
            <w:vAlign w:val="center"/>
          </w:tcPr>
          <w:p w:rsidR="00157238" w:rsidRPr="007C2464" w:rsidRDefault="00157238" w:rsidP="008D3FA8">
            <w:pPr>
              <w:overflowPunct/>
              <w:autoSpaceDE/>
              <w:autoSpaceDN/>
              <w:adjustRightInd/>
              <w:textAlignment w:val="auto"/>
              <w:rPr>
                <w:rFonts w:asciiTheme="minorHAnsi" w:eastAsiaTheme="minorHAnsi" w:hAnsiTheme="minorHAnsi" w:cstheme="minorHAnsi"/>
                <w:sz w:val="18"/>
                <w:szCs w:val="18"/>
                <w:lang w:eastAsia="en-US"/>
              </w:rPr>
            </w:pPr>
          </w:p>
        </w:tc>
      </w:tr>
    </w:tbl>
    <w:p w:rsidR="00157238" w:rsidRDefault="00157238" w:rsidP="00157238">
      <w:pPr>
        <w:pStyle w:val="Standardntext"/>
        <w:ind w:left="-851"/>
        <w:rPr>
          <w:rFonts w:cstheme="minorHAnsi"/>
          <w:lang w:val="cs-CZ"/>
        </w:rPr>
        <w:sectPr w:rsidR="00157238" w:rsidSect="00157238">
          <w:pgSz w:w="16838" w:h="11906" w:orient="landscape"/>
          <w:pgMar w:top="1418" w:right="1418" w:bottom="1418" w:left="1418" w:header="709" w:footer="709" w:gutter="0"/>
          <w:cols w:space="708"/>
        </w:sectPr>
      </w:pPr>
    </w:p>
    <w:p w:rsidR="007C2464" w:rsidRPr="00C02D35" w:rsidRDefault="007C2464" w:rsidP="0086240B">
      <w:pPr>
        <w:pStyle w:val="Standardntext"/>
        <w:rPr>
          <w:rFonts w:cstheme="minorHAnsi"/>
          <w:lang w:val="cs-CZ"/>
        </w:rPr>
      </w:pPr>
    </w:p>
    <w:p w:rsidR="0086240B" w:rsidRPr="00325B55" w:rsidRDefault="0086240B" w:rsidP="0086240B">
      <w:pPr>
        <w:pStyle w:val="Standardntext"/>
      </w:pPr>
      <w:r w:rsidRPr="00325B55">
        <w:t xml:space="preserve">Národní RIS3 je zpracována v návaznosti na stávající strategické dokumenty ČR, a to především: </w:t>
      </w:r>
    </w:p>
    <w:p w:rsidR="0086240B" w:rsidRPr="00325B55" w:rsidRDefault="0086240B" w:rsidP="0086240B">
      <w:pPr>
        <w:pStyle w:val="Standardntext"/>
        <w:numPr>
          <w:ilvl w:val="0"/>
          <w:numId w:val="5"/>
        </w:numPr>
      </w:pPr>
      <w:r w:rsidRPr="00325B55">
        <w:t>Národní inovační strategii ČR,</w:t>
      </w:r>
    </w:p>
    <w:p w:rsidR="0086240B" w:rsidRPr="00325B55" w:rsidRDefault="0086240B" w:rsidP="0086240B">
      <w:pPr>
        <w:pStyle w:val="Standardntext"/>
        <w:numPr>
          <w:ilvl w:val="0"/>
          <w:numId w:val="5"/>
        </w:numPr>
      </w:pPr>
      <w:r w:rsidRPr="00325B55">
        <w:t>Strategii mezinárodní konkurenceschopnosti ČR,</w:t>
      </w:r>
    </w:p>
    <w:p w:rsidR="0086240B" w:rsidRPr="00325B55" w:rsidRDefault="0086240B" w:rsidP="0086240B">
      <w:pPr>
        <w:pStyle w:val="Standardntext"/>
        <w:numPr>
          <w:ilvl w:val="0"/>
          <w:numId w:val="5"/>
        </w:numPr>
      </w:pPr>
      <w:r w:rsidRPr="00325B55">
        <w:t>Aktualizaci Národní politiky výzkumu, vývoje a inovací České republiky na léta 2009 až 2015 s výhledem do roku 2020,</w:t>
      </w:r>
    </w:p>
    <w:p w:rsidR="0086240B" w:rsidRPr="00325B55" w:rsidRDefault="0086240B" w:rsidP="0086240B">
      <w:pPr>
        <w:pStyle w:val="Standardntext"/>
        <w:numPr>
          <w:ilvl w:val="0"/>
          <w:numId w:val="5"/>
        </w:numPr>
      </w:pPr>
      <w:r w:rsidRPr="00325B55">
        <w:t>Národní priority orientovaného výzkumu, experimentálního vývoje a inovací.</w:t>
      </w:r>
    </w:p>
    <w:p w:rsidR="00C82EEA" w:rsidRDefault="0086240B" w:rsidP="0086240B">
      <w:pPr>
        <w:pStyle w:val="Standardntext"/>
        <w:rPr>
          <w:lang w:val="cs-CZ"/>
        </w:rPr>
      </w:pPr>
      <w:r w:rsidRPr="00325B55">
        <w:t>Součástí Národní RIS3 budou také krajské přílohy. Smyslem krajských příloh je identifikovat zvláštnosti inovačních systémů v jednotlivých krajích, vysvětlit jejich souvislosti, a to s ohledem a důrazem na kraji vlastní specifické projevy existující či potenciální specializace. Přes značnou homogenitu hospodářství v České republice jsou regionální inovační systémy v jednotlivých českých krajích značně odlišné, a to nejenom strukturou/povahou jednotlivých částí inovačního systému, ale také institucionální vyvinutostí a zakotvením. Oba tyto důvody jsou silným argumentem pro navržení specifických krajských intervencí, které budou reflektovat krajské zvláštnosti a budou doplňovat rozsáhlejší intervence realizované z národní úrovně. Krajské přílohy Národní RIS3 mají za cíl identifikovat krajské potřeby a navrhnout intervence pro daný kraj žádoucí. Z územního hlediska tak vychází i implementační struktura RIS3, kdy vedle centrální Národní koordinační rady RIS3, budou (nebo již byly) na úrovni krajů zřízeny výkonné orgány, které budou provádět vlastní realizaci RIS3 v daném kraji. Pro posílení partnerského principu tedy budou (nebo již byly) vytvářeny krajské inovační platformy a budovány řídicí a implementační struktury pro RIS3, tj. budování partnerství krajských orgánů a institucí, které budou organizovat a koordinovat realizaci RIS3 v krajích.</w:t>
      </w:r>
      <w:r w:rsidR="00C82EEA">
        <w:rPr>
          <w:lang w:val="cs-CZ"/>
        </w:rPr>
        <w:t xml:space="preserve"> Navazující řídící procesy jsou uvedeny v Národní RIS3 strategii v kapitole týkající se ř</w:t>
      </w:r>
      <w:r w:rsidR="00C82EEA" w:rsidRPr="00C82EEA">
        <w:rPr>
          <w:lang w:val="cs-CZ"/>
        </w:rPr>
        <w:t>ízení a implementace strategie inteligentní specializace (RIS3) na národní a krajské úrovni</w:t>
      </w:r>
      <w:r w:rsidR="00C82EEA">
        <w:rPr>
          <w:lang w:val="cs-CZ"/>
        </w:rPr>
        <w:t>.</w:t>
      </w:r>
    </w:p>
    <w:p w:rsidR="00F63502" w:rsidRDefault="00F63502" w:rsidP="0086240B">
      <w:pPr>
        <w:pStyle w:val="Standardntext"/>
        <w:rPr>
          <w:lang w:val="cs-CZ"/>
        </w:rPr>
      </w:pPr>
      <w:r w:rsidRPr="00F63502">
        <w:rPr>
          <w:lang w:val="cs-CZ"/>
        </w:rPr>
        <w:t>V návrhové části strategie inteligentní specializace byly současně, ve spolupráci klíčových partnerů, identifikovány typové operace, u nichž je navrhováno, aby v implementační fázi byla zohledněna vertikální dimenze intervencí. Konkrét</w:t>
      </w:r>
      <w:r w:rsidR="00792E88">
        <w:rPr>
          <w:lang w:val="cs-CZ"/>
        </w:rPr>
        <w:t>ní forma a míra „vertikalizace“</w:t>
      </w:r>
      <w:r w:rsidRPr="00F63502">
        <w:rPr>
          <w:lang w:val="cs-CZ"/>
        </w:rPr>
        <w:t xml:space="preserve"> typových operací bude předmětem projednání v inovačních platformách a Řídicím výboru S3 na národní úrovni. Půjde přitom jak o typové operace implementované jako ryze vertikální (tj. budou podporovány pouze projekty naplňující některou vertikální prioritu definovanou v odpovídající národní nebo regionální inovační platformě), nebo o typové operace se stanovenou mírou vertikality, kde bude stanoven podíl prostředků či projektů, jejichž podpora bude podmíněna jasnou vazbou na naplňování vertikálních priorit ČR nebo některého regionu.</w:t>
      </w:r>
    </w:p>
    <w:p w:rsidR="005F3191" w:rsidRDefault="005F3191" w:rsidP="0086240B">
      <w:pPr>
        <w:pStyle w:val="Standardntext"/>
        <w:rPr>
          <w:lang w:val="cs-CZ"/>
        </w:rPr>
      </w:pPr>
      <w:r>
        <w:rPr>
          <w:lang w:val="cs-CZ"/>
        </w:rPr>
        <w:t>Hlavní priority Národní RIS 3 strategie, z nichž vycházejí relevantní aktivy OP PIK:</w:t>
      </w:r>
    </w:p>
    <w:p w:rsidR="005F3191" w:rsidRDefault="005F3191" w:rsidP="00C422C6">
      <w:pPr>
        <w:pStyle w:val="Standardntext"/>
        <w:numPr>
          <w:ilvl w:val="0"/>
          <w:numId w:val="6"/>
        </w:numPr>
        <w:rPr>
          <w:lang w:val="cs-CZ"/>
        </w:rPr>
      </w:pPr>
      <w:r w:rsidRPr="005F3191">
        <w:rPr>
          <w:lang w:val="cs-CZ"/>
        </w:rPr>
        <w:t xml:space="preserve">v </w:t>
      </w:r>
      <w:r w:rsidR="00C422C6">
        <w:rPr>
          <w:lang w:val="cs-CZ"/>
        </w:rPr>
        <w:t>klíčové</w:t>
      </w:r>
      <w:r w:rsidR="00C422C6" w:rsidRPr="00C422C6">
        <w:rPr>
          <w:lang w:val="cs-CZ"/>
        </w:rPr>
        <w:t xml:space="preserve"> oblast</w:t>
      </w:r>
      <w:r w:rsidR="00C422C6">
        <w:rPr>
          <w:lang w:val="cs-CZ"/>
        </w:rPr>
        <w:t>i</w:t>
      </w:r>
      <w:r w:rsidR="00C422C6" w:rsidRPr="00C422C6">
        <w:rPr>
          <w:lang w:val="cs-CZ"/>
        </w:rPr>
        <w:t xml:space="preserve"> změn </w:t>
      </w:r>
      <w:r w:rsidR="00C422C6">
        <w:rPr>
          <w:lang w:val="cs-CZ"/>
        </w:rPr>
        <w:t>„</w:t>
      </w:r>
      <w:r w:rsidR="00C422C6" w:rsidRPr="00C422C6">
        <w:rPr>
          <w:lang w:val="cs-CZ"/>
        </w:rPr>
        <w:t>A: Vyšší inovační výkonnost firem</w:t>
      </w:r>
      <w:r w:rsidR="00C422C6">
        <w:rPr>
          <w:lang w:val="cs-CZ"/>
        </w:rPr>
        <w:t>“</w:t>
      </w:r>
      <w:r w:rsidRPr="005F3191">
        <w:rPr>
          <w:lang w:val="cs-CZ"/>
        </w:rPr>
        <w:t xml:space="preserve"> </w:t>
      </w:r>
      <w:r>
        <w:rPr>
          <w:lang w:val="cs-CZ"/>
        </w:rPr>
        <w:t>jde o tři strategické cíle</w:t>
      </w:r>
    </w:p>
    <w:p w:rsidR="00A567D7" w:rsidRDefault="00A567D7" w:rsidP="00A567D7">
      <w:pPr>
        <w:pStyle w:val="Standardntext"/>
        <w:numPr>
          <w:ilvl w:val="1"/>
          <w:numId w:val="6"/>
        </w:numPr>
        <w:rPr>
          <w:lang w:val="cs-CZ"/>
        </w:rPr>
      </w:pPr>
      <w:r w:rsidRPr="00A567D7">
        <w:rPr>
          <w:lang w:val="cs-CZ"/>
        </w:rPr>
        <w:t>A.1: Zvýšit inovační poptávku ve firmách (i ve veřejném sektoru)</w:t>
      </w:r>
    </w:p>
    <w:p w:rsidR="00912FDC" w:rsidRPr="00A567D7" w:rsidRDefault="00912FDC" w:rsidP="00912FDC">
      <w:pPr>
        <w:pStyle w:val="Standardntext"/>
        <w:rPr>
          <w:lang w:val="cs-CZ"/>
        </w:rPr>
      </w:pPr>
      <w:r w:rsidRPr="00912FDC">
        <w:rPr>
          <w:lang w:val="cs-CZ"/>
        </w:rPr>
        <w:t xml:space="preserve">Inovační výkonnost podnikového sektoru jako celku silně závisí na vnitřní poptávce firem po inovacích. ČR v této oblasti čelí několika problémům, které společně inovační poptávku omezují a tím i posun celé ekonomiky ke konkurenceschopnosti více založené na tvorbě a využití nových znalostí. Zaměření cíle přitom reflektuje strukturu místní ekonomiky. Zvýšením poptávky po inovacích se rozumí jak (i) zvýšení úsilí firem o vyšší řády inovací, které jsou obvykle založeny na intenzivním výzkumu a vývoji, tak (ii) posun strategického zaměření firem od konkurenční výhody založené na nízkých nákladech k výhodě založené na </w:t>
      </w:r>
      <w:r w:rsidRPr="00912FDC">
        <w:rPr>
          <w:lang w:val="cs-CZ"/>
        </w:rPr>
        <w:lastRenderedPageBreak/>
        <w:t>kvalitě a inovacích, byť jde o inovace nižších řádů nevyžadující rozsáhlejší vlastní VaV. Naplnění cíle se na úrovni firem projeví zvýšením objemu vstupů (výdajů na inovace, vč. výdajů na VaV) do inovačního procesu. Na úrovni celé ekonomiky se růst inovační poptávky projeví ve zvýšení celkových vlastních</w:t>
      </w:r>
      <w:r>
        <w:rPr>
          <w:lang w:val="cs-CZ"/>
        </w:rPr>
        <w:t xml:space="preserve"> výdajů firem na výzkum a vývoj</w:t>
      </w:r>
      <w:r w:rsidRPr="00912FDC">
        <w:rPr>
          <w:lang w:val="cs-CZ"/>
        </w:rPr>
        <w:t>.</w:t>
      </w:r>
    </w:p>
    <w:p w:rsidR="00A567D7" w:rsidRDefault="00A567D7" w:rsidP="00A567D7">
      <w:pPr>
        <w:pStyle w:val="Standardntext"/>
        <w:numPr>
          <w:ilvl w:val="1"/>
          <w:numId w:val="6"/>
        </w:numPr>
        <w:rPr>
          <w:lang w:val="cs-CZ"/>
        </w:rPr>
      </w:pPr>
      <w:r w:rsidRPr="00A567D7">
        <w:rPr>
          <w:lang w:val="cs-CZ"/>
        </w:rPr>
        <w:t>A.2: Zvýšit míru podnikání ve společnosti s důrazem na zakládání nových rychle rostoucích firem</w:t>
      </w:r>
    </w:p>
    <w:p w:rsidR="004076A9" w:rsidRPr="00A567D7" w:rsidRDefault="00912FDC" w:rsidP="00912FDC">
      <w:pPr>
        <w:pStyle w:val="Standardntext"/>
        <w:rPr>
          <w:lang w:val="cs-CZ"/>
        </w:rPr>
      </w:pPr>
      <w:r w:rsidRPr="00912FDC">
        <w:rPr>
          <w:lang w:val="cs-CZ"/>
        </w:rPr>
        <w:t xml:space="preserve">Podnikání, resp. podnikavost představují klíčovou hybnou sílu inovací. V mezinárodním srovnání patří ČR k zemím s průměrnou mírou podnikání. S výjimkou IT však vzniká málo nových firem v technologických oborech vyznačujících se intenzivní tvorbou a využíváním nových znalostí. Zásadním předpokladem inovací je také podnikavost uvnitř zavedených firem. Podnikatelské ambice majitelů a manažerů mnoha zralých firem, zejména endogenního segmentu, jsou značně omezené, často zaměřené na udržení pozic namísto hledání nových zdrojů růstu. Společným důsledkem je omezený inovační a tím růstový potenciál místní ekonomiky, resp. jeho endogenního segmentu, bez jehož větší dynamiky zůstane hospodářská výkonnost země silně </w:t>
      </w:r>
      <w:r>
        <w:rPr>
          <w:lang w:val="cs-CZ"/>
        </w:rPr>
        <w:t>závislá na zahraničních firmách</w:t>
      </w:r>
      <w:r w:rsidRPr="00912FDC">
        <w:rPr>
          <w:lang w:val="cs-CZ"/>
        </w:rPr>
        <w:t>. Účelem tohoto strategického cíle je všestranný rozvoj podnikavosti a podnikatelské kultury v české společnosti. Výsledkem bude zvýšení m</w:t>
      </w:r>
      <w:r>
        <w:rPr>
          <w:lang w:val="cs-CZ"/>
        </w:rPr>
        <w:t>íry nové podnikatelské aktivity</w:t>
      </w:r>
      <w:r w:rsidRPr="00912FDC">
        <w:rPr>
          <w:lang w:val="cs-CZ"/>
        </w:rPr>
        <w:t xml:space="preserve"> a větší počet nových firem v technologických oborech. V delším období se aktivity tohoto cíle projeví ve zvýšení podnikatelských ambicí majitelů a manažerů malých firem. Tato změna je významným předpokladem budoucího většího počtu velkých českých firem, které budou táhnout růst místní ekonomiky.</w:t>
      </w:r>
    </w:p>
    <w:p w:rsidR="00A567D7" w:rsidRDefault="00A567D7" w:rsidP="00A567D7">
      <w:pPr>
        <w:pStyle w:val="Standardntext"/>
        <w:numPr>
          <w:ilvl w:val="1"/>
          <w:numId w:val="6"/>
        </w:numPr>
        <w:rPr>
          <w:lang w:val="cs-CZ"/>
        </w:rPr>
      </w:pPr>
      <w:r w:rsidRPr="00A567D7">
        <w:rPr>
          <w:lang w:val="cs-CZ"/>
        </w:rPr>
        <w:t>A.3: Zvýšit internacionalizaci MSP</w:t>
      </w:r>
    </w:p>
    <w:p w:rsidR="00912FDC" w:rsidRDefault="00912FDC" w:rsidP="00912FDC">
      <w:pPr>
        <w:pStyle w:val="Standardntext"/>
        <w:rPr>
          <w:lang w:val="cs-CZ"/>
        </w:rPr>
      </w:pPr>
      <w:r w:rsidRPr="00912FDC">
        <w:rPr>
          <w:lang w:val="cs-CZ"/>
        </w:rPr>
        <w:t>Hospodářská výkonnost ČR je silně závislá na exportu. Ten je z velké části tažen zahraničními firmami. Ačkoliv se schopnost endogenních firem prosadit se na zahraničních trzích neustále zlepšuje, stále je silně omezena na sousední země a trhy v Evropě. Zejména MSP se potýkají s nedostatečně rozvinutými kompetencemi a kapacitami pro zahraniční obchod a také čelí řadě bariér internacionalizace vlastních aktivit a to zejména s rostoucí geografickou a kulturní vzdáleností cílových trhů od ČR. Účelem tohoto strategického cíle je stimulovat mezinárodní expanzi místních firem a to jak prostřednictvím exportu, tak přímých zahraničních investic, jež jsou nevyhnutelnou reakcí na nové růstové příležitosti v rychle se měnící světové ekonomice. Specifická pozornost bude věnována cílovým trhům s vysokým růstovým potenciálem (viz Exportní strategie České republiky pro období 2012 až 2020). Prostřednictvím expanze na zahraničních trzích lze podstatně zvýšit celkový přínos vysoce rozvinutých technických kompetencí místních firem pro ekonomický růst ČR. V tomto smyslu má tento strategický cíl významné synergické vazby s cílem prvním, který je zaměřen právě na rozvoj technických kompetencí podniků. Další důležitá synergie spočívá v tom, že zahraniční expanze místních firem je silně podmíněna ambicemi podnikatelů a výkonných manažerů místních firem a souvisí také s aspiracemi (poptávkou) v oblasti inovací. Z hlediska různých vývojových fází firem je účelem tohoto cíle jak podpora (globální) expanze již zavedených exportérů, tak podpora malých firem při prvním vstupu na zahraniční trhy.</w:t>
      </w:r>
    </w:p>
    <w:p w:rsidR="00A567D7" w:rsidRDefault="00C422C6" w:rsidP="00C422C6">
      <w:pPr>
        <w:pStyle w:val="Standardntext"/>
        <w:numPr>
          <w:ilvl w:val="0"/>
          <w:numId w:val="6"/>
        </w:numPr>
        <w:rPr>
          <w:lang w:val="cs-CZ"/>
        </w:rPr>
      </w:pPr>
      <w:r>
        <w:rPr>
          <w:lang w:val="cs-CZ"/>
        </w:rPr>
        <w:t>v klíčové</w:t>
      </w:r>
      <w:r w:rsidRPr="00C422C6">
        <w:rPr>
          <w:lang w:val="cs-CZ"/>
        </w:rPr>
        <w:t xml:space="preserve"> oblast</w:t>
      </w:r>
      <w:r>
        <w:rPr>
          <w:lang w:val="cs-CZ"/>
        </w:rPr>
        <w:t>i</w:t>
      </w:r>
      <w:r w:rsidRPr="00C422C6">
        <w:rPr>
          <w:lang w:val="cs-CZ"/>
        </w:rPr>
        <w:t xml:space="preserve"> změn </w:t>
      </w:r>
      <w:r>
        <w:rPr>
          <w:lang w:val="cs-CZ"/>
        </w:rPr>
        <w:t>„</w:t>
      </w:r>
      <w:r w:rsidRPr="00C422C6">
        <w:rPr>
          <w:lang w:val="cs-CZ"/>
        </w:rPr>
        <w:t>C: Zvýšení ekonomických přínosů veřejného výzkumu</w:t>
      </w:r>
      <w:r>
        <w:rPr>
          <w:lang w:val="cs-CZ"/>
        </w:rPr>
        <w:t>“ jde o strategický cíl</w:t>
      </w:r>
    </w:p>
    <w:p w:rsidR="00C422C6" w:rsidRDefault="00C422C6" w:rsidP="00C422C6">
      <w:pPr>
        <w:pStyle w:val="Standardntext"/>
        <w:numPr>
          <w:ilvl w:val="1"/>
          <w:numId w:val="6"/>
        </w:numPr>
        <w:rPr>
          <w:lang w:val="cs-CZ"/>
        </w:rPr>
      </w:pPr>
      <w:r w:rsidRPr="00C422C6">
        <w:rPr>
          <w:lang w:val="cs-CZ"/>
        </w:rPr>
        <w:t>C.1: Zvýšit relevanci výzkumu</w:t>
      </w:r>
    </w:p>
    <w:p w:rsidR="00912FDC" w:rsidRDefault="00912FDC" w:rsidP="00912FDC">
      <w:pPr>
        <w:pStyle w:val="Standardntext"/>
        <w:rPr>
          <w:lang w:val="cs-CZ"/>
        </w:rPr>
      </w:pPr>
      <w:r w:rsidRPr="00912FDC">
        <w:rPr>
          <w:lang w:val="cs-CZ"/>
        </w:rPr>
        <w:t xml:space="preserve">Relevance výzkumné činnosti je přímo závislá na intenzitě interakce a spolupráce s uživateli výsledků, s aplikační sférou, která je nezbytným partnerem pro správné definování výzkumného problému. Pro zvýšení relevance výzkumu financovaného z veřejných zdrojů je proto nutné všemi prostředky podporovat spolupráci, mobilitu a posilovat partnerské vztahy mezi výzkumnými organizacemi a aplikační sférou. Pro zvýšení ekonomických přínosů </w:t>
      </w:r>
      <w:r w:rsidRPr="00912FDC">
        <w:rPr>
          <w:lang w:val="cs-CZ"/>
        </w:rPr>
        <w:lastRenderedPageBreak/>
        <w:t>výzkumu realizovaného výzkumnými organizacemi je pak nezbytné zlepšení podpůrných procesů pro ko</w:t>
      </w:r>
      <w:r>
        <w:rPr>
          <w:lang w:val="cs-CZ"/>
        </w:rPr>
        <w:t xml:space="preserve">merční zhodnocení výsledků VaV. </w:t>
      </w:r>
      <w:r w:rsidRPr="00912FDC">
        <w:rPr>
          <w:lang w:val="cs-CZ"/>
        </w:rPr>
        <w:t>Zvýšení intenzity interakcí mezi výzkumnými organizacemi a firmami se projeví vyšší intenzitou společně připravovaných a realizovaných projektů, jakož i objemem smluvního výzkumu. Zlepšení procesů na podporu komercializace se projeví růstem počtu licencí poskytnutých VO na výsledky své výzkumné činnosti a počtem technologických firem, které využijí duševní vlastnictví VO.</w:t>
      </w:r>
    </w:p>
    <w:p w:rsidR="00C422C6" w:rsidRDefault="00C422C6" w:rsidP="00C422C6">
      <w:pPr>
        <w:pStyle w:val="Standardntext"/>
        <w:numPr>
          <w:ilvl w:val="0"/>
          <w:numId w:val="6"/>
        </w:numPr>
        <w:rPr>
          <w:lang w:val="cs-CZ"/>
        </w:rPr>
      </w:pPr>
      <w:r>
        <w:rPr>
          <w:lang w:val="cs-CZ"/>
        </w:rPr>
        <w:t>v klíčové</w:t>
      </w:r>
      <w:r w:rsidRPr="00C422C6">
        <w:rPr>
          <w:lang w:val="cs-CZ"/>
        </w:rPr>
        <w:t xml:space="preserve"> oblast</w:t>
      </w:r>
      <w:r>
        <w:rPr>
          <w:lang w:val="cs-CZ"/>
        </w:rPr>
        <w:t>i</w:t>
      </w:r>
      <w:r w:rsidRPr="00C422C6">
        <w:rPr>
          <w:lang w:val="cs-CZ"/>
        </w:rPr>
        <w:t xml:space="preserve"> změn </w:t>
      </w:r>
      <w:r>
        <w:rPr>
          <w:lang w:val="cs-CZ"/>
        </w:rPr>
        <w:t>„</w:t>
      </w:r>
      <w:r w:rsidRPr="00C422C6">
        <w:rPr>
          <w:lang w:val="cs-CZ"/>
        </w:rPr>
        <w:t>E: Rozvoj eGovernmentu a eBusinessu pro zvýšení konkurenceschopnosti (rozvoj ICT a digitální agenda)</w:t>
      </w:r>
      <w:r>
        <w:rPr>
          <w:lang w:val="cs-CZ"/>
        </w:rPr>
        <w:t>“ jde o dva strategické cíle</w:t>
      </w:r>
    </w:p>
    <w:p w:rsidR="00912FDC" w:rsidRDefault="00C422C6" w:rsidP="00912FDC">
      <w:pPr>
        <w:pStyle w:val="Standardntext"/>
        <w:numPr>
          <w:ilvl w:val="1"/>
          <w:numId w:val="6"/>
        </w:numPr>
        <w:rPr>
          <w:lang w:val="cs-CZ"/>
        </w:rPr>
      </w:pPr>
      <w:r w:rsidRPr="00C422C6">
        <w:rPr>
          <w:lang w:val="cs-CZ"/>
        </w:rPr>
        <w:t>E.2: Rozvoj eBusinessu a ICT v</w:t>
      </w:r>
      <w:r w:rsidR="00912FDC">
        <w:rPr>
          <w:lang w:val="cs-CZ"/>
        </w:rPr>
        <w:t> </w:t>
      </w:r>
      <w:r w:rsidRPr="00C422C6">
        <w:rPr>
          <w:lang w:val="cs-CZ"/>
        </w:rPr>
        <w:t>podnikání</w:t>
      </w:r>
    </w:p>
    <w:p w:rsidR="00912FDC" w:rsidRPr="00912FDC" w:rsidRDefault="00912FDC" w:rsidP="00912FDC">
      <w:pPr>
        <w:pStyle w:val="Standardntext"/>
        <w:rPr>
          <w:lang w:val="cs-CZ"/>
        </w:rPr>
      </w:pPr>
      <w:r w:rsidRPr="00912FDC">
        <w:rPr>
          <w:lang w:val="cs-CZ"/>
        </w:rPr>
        <w:t>eBusiness a ICT v podnikání jako motor inovací a impuls pro zvýšení efektivity podnikání a rozvoj nových oborů se zaměřením na perspektivní obory využívající ICT ke zvýšení přidané hodnoty výsledných produktů a tím i vyšší konkurenceschopnosti ekonomiky jako celku.</w:t>
      </w:r>
    </w:p>
    <w:p w:rsidR="00C422C6" w:rsidRDefault="00C422C6" w:rsidP="00C422C6">
      <w:pPr>
        <w:pStyle w:val="Standardntext"/>
        <w:numPr>
          <w:ilvl w:val="1"/>
          <w:numId w:val="6"/>
        </w:numPr>
        <w:rPr>
          <w:lang w:val="cs-CZ"/>
        </w:rPr>
      </w:pPr>
      <w:r w:rsidRPr="00C422C6">
        <w:rPr>
          <w:lang w:val="cs-CZ"/>
        </w:rPr>
        <w:t>E.3: Rozvoj Infrastruktury v</w:t>
      </w:r>
      <w:r w:rsidR="00912FDC">
        <w:rPr>
          <w:lang w:val="cs-CZ"/>
        </w:rPr>
        <w:t> </w:t>
      </w:r>
      <w:r w:rsidRPr="00C422C6">
        <w:rPr>
          <w:lang w:val="cs-CZ"/>
        </w:rPr>
        <w:t>ICT</w:t>
      </w:r>
    </w:p>
    <w:p w:rsidR="00912FDC" w:rsidRDefault="00912FDC" w:rsidP="00912FDC">
      <w:pPr>
        <w:pStyle w:val="Standardntext"/>
        <w:rPr>
          <w:lang w:val="cs-CZ"/>
        </w:rPr>
      </w:pPr>
      <w:r w:rsidRPr="00912FDC">
        <w:rPr>
          <w:lang w:val="cs-CZ"/>
        </w:rPr>
        <w:t>Kvalitní, kapacitní a high-end infrastruktura odpovídající nejnovějším poznatkům a technologiím jako základ pro rozvoj využití ICT napříč celou společností. Dostatečná kapacita, technologické zázemí a bezpečnost veřejných datových center a sítí poskytujících zázemí jak pro fungování eGovernmentu, tak pro rozvoj využití ICT ve všech perspektivních oborech. Kapacitní, technologicky adekvátně vybavená výzkumná centra nezbytná pro vývoj, testování a rozvoj nových možností využití ICT ve veřejné správě a ekonomice, disponující odbornými personálními kapacitami schopnými napomoci při plnění cílů rozvoje eGovernmentu a eBusinessu.</w:t>
      </w:r>
    </w:p>
    <w:p w:rsidR="009B59BB" w:rsidRPr="00A567D7" w:rsidRDefault="00D27461" w:rsidP="00912FDC">
      <w:pPr>
        <w:pStyle w:val="Standardntext"/>
        <w:rPr>
          <w:lang w:val="cs-CZ"/>
        </w:rPr>
      </w:pPr>
      <w:r w:rsidRPr="00D27461">
        <w:rPr>
          <w:lang w:val="cs-CZ"/>
        </w:rPr>
        <w:t>Naplňování cílů definovaných v Národní RIS3 strategii bude průběžně sledováno a vyhodnocováno externím nezávislým subjektem ve spolupráci s dotčenými realizátory intervencí za využití speciálních datových šetření a dopadových a dalších srovnávacích analýz a evaluací</w:t>
      </w:r>
      <w:r>
        <w:rPr>
          <w:lang w:val="cs-CZ"/>
        </w:rPr>
        <w:t>.</w:t>
      </w:r>
    </w:p>
    <w:p w:rsidR="0086240B" w:rsidRPr="00325B55" w:rsidRDefault="0086240B" w:rsidP="0086240B">
      <w:pPr>
        <w:pStyle w:val="Standardntext"/>
      </w:pPr>
      <w:r w:rsidRPr="00325B55">
        <w:t xml:space="preserve">OP PIK bude jedním z hlavních implementačních nástrojů, který bude přispívat k naplňování relevantních cílů RIS3. Její aplikace bude prováděna především v prioritních osách 1, 4 a částečně v prioritní ose 2. </w:t>
      </w:r>
      <w:r w:rsidR="00803A69">
        <w:rPr>
          <w:lang w:val="cs-CZ"/>
        </w:rPr>
        <w:t>Jednotlivé v</w:t>
      </w:r>
      <w:r w:rsidRPr="00325B55">
        <w:t xml:space="preserve">azby na </w:t>
      </w:r>
      <w:r w:rsidR="006D6E9E">
        <w:rPr>
          <w:lang w:val="cs-CZ"/>
        </w:rPr>
        <w:t>specifické</w:t>
      </w:r>
      <w:r w:rsidR="006D6E9E" w:rsidRPr="00325B55">
        <w:t xml:space="preserve"> </w:t>
      </w:r>
      <w:r w:rsidRPr="00325B55">
        <w:t xml:space="preserve">cíle RIS3 jsou </w:t>
      </w:r>
      <w:r w:rsidR="00803A69">
        <w:rPr>
          <w:lang w:val="cs-CZ"/>
        </w:rPr>
        <w:t xml:space="preserve">vždy </w:t>
      </w:r>
      <w:r w:rsidRPr="00325B55">
        <w:t>uvedeny v oddíle 2 u relevantních specifických cílů.</w:t>
      </w:r>
    </w:p>
    <w:p w:rsidR="0086240B" w:rsidRPr="00325B55" w:rsidRDefault="0086240B" w:rsidP="0086240B">
      <w:pPr>
        <w:pStyle w:val="Standardntext"/>
        <w:keepNext/>
        <w:keepLines/>
      </w:pPr>
      <w:r w:rsidRPr="00325B55">
        <w:rPr>
          <w:b/>
        </w:rPr>
        <w:t xml:space="preserve">Strategie mezinárodní konkurenceschopnosti </w:t>
      </w:r>
      <w:r w:rsidR="00E96BA3" w:rsidRPr="00E96BA3">
        <w:rPr>
          <w:b/>
        </w:rPr>
        <w:t>České republiky pro období 2012-2020</w:t>
      </w:r>
      <w:r w:rsidRPr="00325B55">
        <w:rPr>
          <w:b/>
        </w:rPr>
        <w:t xml:space="preserve"> </w:t>
      </w:r>
      <w:r w:rsidRPr="00325B55">
        <w:t>(dále také „SMK“)</w:t>
      </w:r>
    </w:p>
    <w:p w:rsidR="0086240B" w:rsidRPr="00325B55" w:rsidRDefault="0086240B" w:rsidP="0086240B">
      <w:pPr>
        <w:pStyle w:val="Standardntext"/>
      </w:pPr>
      <w:r w:rsidRPr="00325B55">
        <w:t xml:space="preserve">Strategie mezinárodní konkurenceschopnosti ČR, schválená usnesením vlády ČR ze dne 27. září 2011 č. 713, je složena z více než čtyřiceti klíčových a několika stovek dílčích opatření, která mají přispět k vytvoření podmínek pro kreativní podnikání, inovace a růst. Cílem strategie je posunout Českou republiku během následujících let do první dvacítky zemí podle indexu globální konkurenceschopnosti. Česká republika se tedy musí posunout od rozvojového modelu založeného z velké části na levné pracovní síle k systému založenému na kvalitních institucích a infrastruktuře, ve kterém bude maximálně využíván potenciál připravených pracovních sil a ve kterém bude motorem ekonomiky tvořivé podnikání a inovace. Strategie mezinárodní konkurenceschopnosti je konzistentní se strategií Evropa 2020 a Národním programem reforem ČR. </w:t>
      </w:r>
    </w:p>
    <w:p w:rsidR="0086240B" w:rsidRPr="00325B55" w:rsidRDefault="0086240B" w:rsidP="0086240B">
      <w:pPr>
        <w:pStyle w:val="Standardntext"/>
      </w:pPr>
      <w:r w:rsidRPr="00325B55">
        <w:t xml:space="preserve">Kohezní politika a jednotlivé operační programy ČR, včetně OP PIK, se stanou významným nástrojem realizace navržených opatření SMK ČR. Všechny věcně zaměřené priority OP PIK jsou z hlediska svého zaměření v souladu s cíli i nástroji Strategie mezinárodní konkurenceschopnosti, kde jsou z hlediska věcného zaměření relevantní zejména pilíře </w:t>
      </w:r>
      <w:r w:rsidRPr="00325B55">
        <w:rPr>
          <w:i/>
        </w:rPr>
        <w:t>Inovace</w:t>
      </w:r>
      <w:r w:rsidRPr="00325B55">
        <w:t xml:space="preserve"> a </w:t>
      </w:r>
      <w:r w:rsidRPr="00325B55">
        <w:rPr>
          <w:i/>
        </w:rPr>
        <w:t>Infrastruktura</w:t>
      </w:r>
      <w:r w:rsidRPr="00325B55">
        <w:t>.</w:t>
      </w:r>
    </w:p>
    <w:p w:rsidR="0086240B" w:rsidRPr="00325B55" w:rsidRDefault="0086240B" w:rsidP="0086240B">
      <w:pPr>
        <w:pStyle w:val="Standardntext"/>
      </w:pPr>
      <w:r w:rsidRPr="00325B55">
        <w:lastRenderedPageBreak/>
        <w:t xml:space="preserve">V případě pilíře </w:t>
      </w:r>
      <w:r w:rsidRPr="00325B55">
        <w:rPr>
          <w:i/>
        </w:rPr>
        <w:t>Infrastruktura</w:t>
      </w:r>
      <w:r w:rsidRPr="00325B55">
        <w:t xml:space="preserve"> patří mezi klíčové národní priority zajištění energetické bezpečnosti v podobě opatření v oblasti výstavby zálohových zdrojů, posilování energetických sítí, změny jsou nutné i v oblasti teplárenství. Cílem je ekonomicky udržitelný rozvoj obnovitelných zdrojů energie, zvyšování energetické účinnosti a úspor a snižování environmentální zátěže plynoucí z energetiky životnímu prostředí. Nicméně vliv na konkurenceschopnost má také infrastruktura v oblasti elektronických komunikací – zejména širokopásmové systémy přístupu k internetu. Prioritou ČR je proto rozšíření přístupu k vysokorychlostnímu internetu, a to jak ve všech obydlených, tak v méně dostupných lokalitách, aby byla zvýšena možnost podnikání s využitím internetu. OP PIK přispěje svou prioritní osou 3 k plnění energetických potřeb identifikovaných Strategií mezinárodní konkurenceschopnost, resp. prioritní osou 4 k plnění potřeb v oblasti elektrotechnických komunikací.</w:t>
      </w:r>
    </w:p>
    <w:p w:rsidR="0086240B" w:rsidRPr="00325B55" w:rsidRDefault="0086240B" w:rsidP="0086240B">
      <w:pPr>
        <w:pStyle w:val="Standardntext"/>
      </w:pPr>
      <w:r w:rsidRPr="00325B55">
        <w:t xml:space="preserve">Pokud jde o pilíř </w:t>
      </w:r>
      <w:r w:rsidRPr="00325B55">
        <w:rPr>
          <w:i/>
        </w:rPr>
        <w:t>Inovace</w:t>
      </w:r>
      <w:r w:rsidRPr="00325B55">
        <w:t>, jedním z klíčových cílů ČR je podle SMK zvýšení spolupráce a zejména transfer znalostí mezi podnikovým a VaV sektorem. S tím souvisí potřeba zvýšit inovační poptávku prostřednictvím kvalitních služeb, které budou podporovat začínající podnikatele při využívání inovací. Mezi potřebné služby pro inovační podnikaní řadí SMK např. pre-seed grantové schéma, program Knowledge transfer partnership, zakázky výzkumu a vývoje pro potřeby veřejného sektoru – pre-commercial public procurement či foresightové aktivity analyzující vývoj světové poptávky. Neméně důležitá je z pohledu SMK rovněž spolupráce mezi podniky, tzn. rozvoj klastrů a jiných kooperačních uskupení k rozvoji spolupráce podporující inovace. Jedná se o národní priority, které se promítají především v prioritní ose 1 OP PIK, ale částečně také prioritní osy 2.</w:t>
      </w:r>
    </w:p>
    <w:p w:rsidR="0086240B" w:rsidRPr="00325B55" w:rsidRDefault="0086240B" w:rsidP="0086240B">
      <w:pPr>
        <w:pStyle w:val="Standardntext"/>
      </w:pPr>
      <w:r w:rsidRPr="00325B55">
        <w:t xml:space="preserve">Tyto prioritní osy mají vazbu i na další pilíře SMK. Pilíř </w:t>
      </w:r>
      <w:r w:rsidRPr="00325B55">
        <w:rPr>
          <w:i/>
        </w:rPr>
        <w:t>Finanční trhy</w:t>
      </w:r>
      <w:r w:rsidRPr="00325B55">
        <w:t xml:space="preserve"> uvádí jako jednu z národních potřeb nezbytnost hledat cesty k podpoře rozvoje kapitálového trhu a dalších segmentů finančního sektoru, které by sloužily jako alternativní zdroje financování pro podnikatelské záměry, jmenovitě nástroje typu seed fond. Mezi klíčové cíle identifikované v pilíři </w:t>
      </w:r>
      <w:r w:rsidRPr="00325B55">
        <w:rPr>
          <w:i/>
        </w:rPr>
        <w:t>Efektivnost trhu zboží a služeb a zkvalitňování charakteristik podnikání</w:t>
      </w:r>
      <w:r w:rsidRPr="00325B55">
        <w:t xml:space="preserve"> patří potřeba zvýšit schopnost producentů identifikovat koncové trhy a rozvoj netechnických kompetencí podniků souvisejících se získáváním nových trhů. Nástrojem by se měly stát kvalitní služby pro komercializaci, internacionalizaci, transfer technologií a patentovou ochranu. V oblasti využívání energetických služeb, která se týká prioritní osy 3 OP PIK, identifikuje výše uvedený pilíř SMK potřebu rozvoje metody Energy Performance Contracting (EPC).</w:t>
      </w:r>
    </w:p>
    <w:p w:rsidR="0086240B" w:rsidRPr="00325B55" w:rsidRDefault="0086240B" w:rsidP="0086240B">
      <w:pPr>
        <w:pStyle w:val="Standardntext"/>
        <w:rPr>
          <w:b/>
        </w:rPr>
      </w:pPr>
      <w:r w:rsidRPr="00325B55">
        <w:rPr>
          <w:b/>
        </w:rPr>
        <w:t>Strategie regionálního rozvoje ČR 2014 – 2020</w:t>
      </w:r>
      <w:r w:rsidRPr="00325B55">
        <w:t xml:space="preserve"> (dále také „SRR“)</w:t>
      </w:r>
    </w:p>
    <w:p w:rsidR="0086240B" w:rsidRPr="00325B55" w:rsidRDefault="0086240B" w:rsidP="0086240B">
      <w:pPr>
        <w:pStyle w:val="Standardntext"/>
      </w:pPr>
      <w:r w:rsidRPr="00325B55">
        <w:t xml:space="preserve">Strategie regionálního rozvoje ČR, schválená usnesením vlády ČR ze dne 15. května 2013 č. 344, je zpracována v souladu s cíli regionální politiky EU. Ve strategii jsou formulovány souhrnně cíle, problémové okruhy a priority, které je třeba zabezpečovat při zajišťování politiky regionálního rozvoje v České republice. Priority Strategie regionálního rozvoje jednoznačně směřují ke snižování existujících regionálních rozdílů, a to aktivní politikou směrování prostředků do podpory optimálního využívání rozvojového potenciálu regionů a politikou alokace prostředků na dodatečné odstraňování negativních sociálních dopadů ekonomického útlumu strukturálně postižených regionů. </w:t>
      </w:r>
    </w:p>
    <w:p w:rsidR="0086240B" w:rsidRPr="00325B55" w:rsidRDefault="0086240B" w:rsidP="0086240B">
      <w:pPr>
        <w:pStyle w:val="Standardntext"/>
      </w:pPr>
      <w:r w:rsidRPr="00325B55">
        <w:t xml:space="preserve">Globálním cílem SRR je zajistit dynamický a vyvážený rozvoj území ČR se zřetelem na kvalitu života a životního prostředí, přispět ke snižování regionálních rozdílů a zároveň umožnit využití místního potenciálu pro posílení konkurenceschopnosti jednotlivých územně správních celků. Globální cíl strategie je rozveden ve čtyřech základních cílech regionální politiky korespondujících s prioritními oblastmi SRR (1) podpořit zvyšování konkurenceschopnosti a využití ekonomického potenciálu regionů, (2) zmírnit prohlubování </w:t>
      </w:r>
      <w:r w:rsidRPr="00325B55">
        <w:lastRenderedPageBreak/>
        <w:t xml:space="preserve">negativních regionálních rozdílů (3), posílit environmentální udržitelnost a (4) optimalizovat institucionální rámec pro rozvoj regionů. </w:t>
      </w:r>
    </w:p>
    <w:p w:rsidR="0086240B" w:rsidRPr="00325B55" w:rsidRDefault="0086240B" w:rsidP="0086240B">
      <w:pPr>
        <w:pStyle w:val="Standardntext"/>
      </w:pPr>
      <w:r w:rsidRPr="00325B55">
        <w:t>Strategie regionálního rozvoje ČR 2014 – 2020 je jedním z hlavních východisek pro zohlednění územní dimenze v OP PIK (blíže viz oddíl 4). Z hlediska strategického zaměření OP PIK je podstatné, že SRR specifikuje následující priority regionální politiky ČR:</w:t>
      </w:r>
    </w:p>
    <w:p w:rsidR="0086240B" w:rsidRPr="00325B55" w:rsidRDefault="0086240B" w:rsidP="0086240B">
      <w:pPr>
        <w:pStyle w:val="Standardntext"/>
        <w:numPr>
          <w:ilvl w:val="0"/>
          <w:numId w:val="5"/>
        </w:numPr>
      </w:pPr>
      <w:r w:rsidRPr="00325B55">
        <w:t>podpora transferu znalostí mezi výzkumným a podnikatelským sektorem zahrnující podporu podnikatelských inkubátorů, vědeckotechnických parků, inovačních center, klastrů apod.,</w:t>
      </w:r>
    </w:p>
    <w:p w:rsidR="0086240B" w:rsidRPr="00325B55" w:rsidRDefault="0086240B" w:rsidP="0086240B">
      <w:pPr>
        <w:pStyle w:val="Standardntext"/>
        <w:numPr>
          <w:ilvl w:val="0"/>
          <w:numId w:val="5"/>
        </w:numPr>
      </w:pPr>
      <w:r w:rsidRPr="00325B55">
        <w:t>vytváření příznivých podmínek pro vznik a rozvoj malých a středních podniků (podnikatelské inkubátory, areály), usnadnění vstupu do podnikání, zvýšení technologické úrovně firem pořízením moderních strojů, zařízení, know-how a licencí,</w:t>
      </w:r>
    </w:p>
    <w:p w:rsidR="0086240B" w:rsidRPr="00325B55" w:rsidRDefault="0086240B" w:rsidP="0086240B">
      <w:pPr>
        <w:pStyle w:val="Standardntext"/>
        <w:numPr>
          <w:ilvl w:val="0"/>
          <w:numId w:val="5"/>
        </w:numPr>
      </w:pPr>
      <w:r w:rsidRPr="00325B55">
        <w:t>rozšíření a zkvalitnění různých typů podnikatelské infrastruktury,</w:t>
      </w:r>
    </w:p>
    <w:p w:rsidR="0086240B" w:rsidRPr="00325B55" w:rsidRDefault="0086240B" w:rsidP="0086240B">
      <w:pPr>
        <w:pStyle w:val="Standardntext"/>
        <w:numPr>
          <w:ilvl w:val="0"/>
          <w:numId w:val="5"/>
        </w:numPr>
      </w:pPr>
      <w:r w:rsidRPr="00325B55">
        <w:t>revitalizace brownfieldů pro výrobní aktivity,</w:t>
      </w:r>
    </w:p>
    <w:p w:rsidR="0086240B" w:rsidRPr="00325B55" w:rsidRDefault="0086240B" w:rsidP="0086240B">
      <w:pPr>
        <w:pStyle w:val="Standardntext"/>
        <w:numPr>
          <w:ilvl w:val="0"/>
          <w:numId w:val="5"/>
        </w:numPr>
      </w:pPr>
      <w:r w:rsidRPr="00325B55">
        <w:t>zapojení zaměstnavatelů do odborného vzdělávání,</w:t>
      </w:r>
    </w:p>
    <w:p w:rsidR="0086240B" w:rsidRPr="00325B55" w:rsidRDefault="0086240B" w:rsidP="0086240B">
      <w:pPr>
        <w:pStyle w:val="Standardntext"/>
        <w:numPr>
          <w:ilvl w:val="0"/>
          <w:numId w:val="5"/>
        </w:numPr>
      </w:pPr>
      <w:r w:rsidRPr="00325B55">
        <w:t>využívání obnovitelných zdrojů energie a úspor energie ve vazbě na místní podmínky a krajinný potenciál,</w:t>
      </w:r>
    </w:p>
    <w:p w:rsidR="0086240B" w:rsidRPr="00325B55" w:rsidRDefault="0086240B" w:rsidP="0086240B">
      <w:pPr>
        <w:pStyle w:val="Standardntext"/>
        <w:numPr>
          <w:ilvl w:val="0"/>
          <w:numId w:val="5"/>
        </w:numPr>
      </w:pPr>
      <w:r w:rsidRPr="00325B55">
        <w:t>výstavba a modernizace energetických sítí a zajištění bezpečnosti dodávek energií,</w:t>
      </w:r>
    </w:p>
    <w:p w:rsidR="0086240B" w:rsidRPr="00325B55" w:rsidRDefault="0086240B" w:rsidP="0086240B">
      <w:pPr>
        <w:pStyle w:val="Standardntext"/>
        <w:numPr>
          <w:ilvl w:val="0"/>
          <w:numId w:val="5"/>
        </w:numPr>
      </w:pPr>
      <w:r w:rsidRPr="00325B55">
        <w:t>podpora inovativních přístupů k materiálovému využití druhotných surovin,</w:t>
      </w:r>
    </w:p>
    <w:p w:rsidR="0086240B" w:rsidRPr="00325B55" w:rsidRDefault="0086240B" w:rsidP="0086240B">
      <w:pPr>
        <w:pStyle w:val="Standardntext"/>
        <w:numPr>
          <w:ilvl w:val="0"/>
          <w:numId w:val="5"/>
        </w:numPr>
      </w:pPr>
      <w:r w:rsidRPr="00325B55">
        <w:t>aplikace inovativních technik v průmyslových sektorech.</w:t>
      </w:r>
    </w:p>
    <w:p w:rsidR="0086240B" w:rsidRPr="00325B55" w:rsidRDefault="0086240B" w:rsidP="0086240B">
      <w:pPr>
        <w:pStyle w:val="Standardntext"/>
        <w:keepNext/>
        <w:keepLines/>
        <w:rPr>
          <w:b/>
        </w:rPr>
      </w:pPr>
      <w:r w:rsidRPr="00325B55">
        <w:rPr>
          <w:b/>
        </w:rPr>
        <w:t xml:space="preserve">Strategický rámec udržitelného rozvoje ČR </w:t>
      </w:r>
      <w:r w:rsidRPr="00325B55">
        <w:t>(dále také „SRUR“)</w:t>
      </w:r>
    </w:p>
    <w:p w:rsidR="0086240B" w:rsidRPr="00325B55" w:rsidRDefault="0086240B" w:rsidP="0086240B">
      <w:pPr>
        <w:pStyle w:val="Standardntext"/>
        <w:keepNext/>
        <w:keepLines/>
      </w:pPr>
      <w:r w:rsidRPr="00325B55">
        <w:t>Strategický rámec udržitelného rozvoje ČR, schválený usnesením vlády ČR ze dne 11. ledna 2010 č. 37, slouží jako dlouhodobý rámec pro politické rozhodování v kontextu mezinárodních závazků, které ČR přijala nebo hodlá přijmout v rámci svého členství v OSN, OECD a EU při respektování specifických podmínek a potřeb ČR. Cílem Strategického rámce je tedy vymezit klíčová témata a problémy udržitelného rozvoje České republiky a nalézt příslušná opatření k jejich řešení. Mnohá z těchto opatření jsou obsažena v již existujících a schválených koncepčních dokumentech.</w:t>
      </w:r>
    </w:p>
    <w:p w:rsidR="0086240B" w:rsidRPr="00325B55" w:rsidRDefault="0086240B" w:rsidP="0086240B">
      <w:pPr>
        <w:pStyle w:val="Standardntext"/>
      </w:pPr>
      <w:r w:rsidRPr="00325B55">
        <w:t xml:space="preserve">Všechny věcně zaměřené prioritní osy OP PIK mají četné vazby na prioritní osu </w:t>
      </w:r>
      <w:r w:rsidRPr="00325B55">
        <w:rPr>
          <w:i/>
        </w:rPr>
        <w:t>Rozvoj území</w:t>
      </w:r>
      <w:r w:rsidRPr="00325B55">
        <w:t xml:space="preserve"> SRUR, neboť tato za jeden z klíčových cílů považuje vytváření podmínek pro dynamický hospodářský rozvoj regionů zahrnující podporu podnikatelského prostředí a rozvoj služeb, rozvoj inovačního potenciálu, podporu vývoje a používání nízkoemisních a energeticky nenáročných technologií, obnovu a revitalizaci již jednou urbanizovaných území (brownfieldy), modernizaci rozvodných energetických soustav a obnovu potrubních sítí ve městech či rozvoj informačních technologií v regionech.</w:t>
      </w:r>
    </w:p>
    <w:p w:rsidR="0086240B" w:rsidRPr="00325B55" w:rsidRDefault="0086240B" w:rsidP="0086240B">
      <w:pPr>
        <w:pStyle w:val="Standardntext"/>
      </w:pPr>
      <w:r w:rsidRPr="00325B55">
        <w:t xml:space="preserve">Prioritní osy 1-3 OP PIK budou rovněž naplňovat národní priority identifikované prioritní osou </w:t>
      </w:r>
      <w:r w:rsidRPr="00325B55">
        <w:rPr>
          <w:i/>
        </w:rPr>
        <w:t>Ekonomika a inovace</w:t>
      </w:r>
      <w:r w:rsidRPr="00325B55">
        <w:t xml:space="preserve"> SRUR. Jde zejména o podporu dynamiky národní ekonomiky a posilování konkurenceschopnosti (např. opatření směřující k zahájení podnikání a zintenzivnění aktivity MSP, podpora technologií s vyšší přidanou hodnotou, podporu rozvoje služeb, využívání environmentálních technologií podporou ekoinovačního procesu), zajištění energetické bezpečnosti státu a zvyšování energetické a surovinové efektivity hospodářství (např. opatření na zvýšení úspor energie v jednotlivých sektorech národního hospodářství, podpora využívání efektivních a environmentálně šetrných technologií, uplatňování systému separace a následného materiálového využití druhotných surovin, optimální využití OZE) a dále rozvoj lidských zdrojů, podpora vzdělávání, výzkumu a vývoje (např. podpora </w:t>
      </w:r>
      <w:r w:rsidRPr="00325B55">
        <w:lastRenderedPageBreak/>
        <w:t>průmyslového výzkumu a vývoje, zlepšení spolupráce výzkumných a vývojových pracovišť s podnikatelskou sférou pro urychlené zavádění nových poznatků a nových technologií do praxe, ochrana duševního vlastnictví, podpora podnikatelských inkubátorů, programy zapojení studentů VŠ do inovativních procesů firem, poradenství nutné v prvních fázích začátku podnikání).</w:t>
      </w:r>
    </w:p>
    <w:p w:rsidR="0086240B" w:rsidRPr="00325B55" w:rsidRDefault="0086240B" w:rsidP="0086240B">
      <w:pPr>
        <w:pStyle w:val="Standardntext"/>
        <w:keepNext/>
        <w:keepLines/>
        <w:rPr>
          <w:b/>
        </w:rPr>
      </w:pPr>
      <w:r w:rsidRPr="00325B55">
        <w:rPr>
          <w:b/>
        </w:rPr>
        <w:t>Národní inovační strategie Č</w:t>
      </w:r>
      <w:r w:rsidR="00E96BA3">
        <w:rPr>
          <w:b/>
          <w:lang w:val="cs-CZ"/>
        </w:rPr>
        <w:t>eské republiky</w:t>
      </w:r>
      <w:r w:rsidRPr="00325B55">
        <w:rPr>
          <w:b/>
        </w:rPr>
        <w:t xml:space="preserve"> </w:t>
      </w:r>
      <w:r w:rsidRPr="00325B55">
        <w:t>(dále také „NIS“)</w:t>
      </w:r>
    </w:p>
    <w:p w:rsidR="0086240B" w:rsidRPr="00325B55" w:rsidRDefault="0086240B" w:rsidP="0086240B">
      <w:pPr>
        <w:pStyle w:val="Standardntext"/>
        <w:keepNext/>
        <w:keepLines/>
      </w:pPr>
      <w:r w:rsidRPr="00325B55">
        <w:t>Národní inovační strategie ČR, schválená usnesením vlády ČR ze dne 27. září 2011 č. 714, reaguje na doporučení obsažená v dokumentu Unie inovací přijatém Evropskou komisí. Globálním cílem NIS je posílení významu inovací a využívání špičkových technologií jako zdroje konkurenceschopnosti ČR a zvyšování jejich přínosů pro dlouhodobý hospodářský růst, pro tvorbu kvalitních pracovních míst a pro rozvoj kvality života na území ČR. Dokument je rozdělen do čtyř hlavních částí zabývajících se excelentním výzkumem, spoluprací mezi podnikovým a akademickým sektorem při transferu znalostí, podporou inovačního podnikání a lidmi jako nositeli nových nápadů a iniciátory změn.</w:t>
      </w:r>
    </w:p>
    <w:p w:rsidR="0086240B" w:rsidRPr="00325B55" w:rsidRDefault="0086240B" w:rsidP="0086240B">
      <w:pPr>
        <w:pStyle w:val="Standardntext"/>
      </w:pPr>
      <w:r w:rsidRPr="00325B55">
        <w:t>Všechny věcně zaměřené prioritní osy OP PIK jsou obsahově v souladu s cíli NIS. Nejsilnější vazbu na NIS vykazuje prioritní osa 1 a také první dva specifické cíle prioritní osy 2 Operačního programu. Tato vazba se vztahuje k následujícím cílům NIS: rozvoj kvalitních asistenčních služeb stimulujících a usnadňujících spolupráci výzkumných institucí s podniky a komercializace výsledků výzkumu, rozvoj personálních kapacit a služeb již vybudovaných podnikatelských inkubátorů, vědecko-technických parků apod., podpora proof of concept aktivit a Knowledge Transfer Partnership, podpora regionálních nástrojů podpory spolupráce transferu technologií mezi podnikovým a akademickým sektorem (např. inovační vouchery). Značný důraz je kladen na zvýšení inovační poptávky v podnikovém sektoru (zejména MSP) spočívající mj. v rozvoji špičkových poradenských služeb jako je technologický foresight, mentoring, koučing, služby pro ochranu a nakládání s duševním vlastnictvím, účast na zahraničních veletrzích apod. Jedním ze zdrojů financování inovačních aktivit a projektů začínajících firem by se měly stát investice ve formě kapitálových vstupů soukromých investorů, což je praxe, která v ČR dnes téměř neexistuje. Vzhledem k tomu, že mnoho příležitostí pro inovace je v institucích veřejného sektoru, doporučuje NIS implementaci nástroje „public procurement“ stojícího na principu nákupu inovativních řešení pro potřeby veřejné správy.</w:t>
      </w:r>
    </w:p>
    <w:p w:rsidR="0086240B" w:rsidRPr="00325B55" w:rsidRDefault="0086240B" w:rsidP="0086240B">
      <w:pPr>
        <w:pStyle w:val="Standardntext"/>
        <w:rPr>
          <w:b/>
        </w:rPr>
      </w:pPr>
      <w:r w:rsidRPr="00325B55">
        <w:rPr>
          <w:b/>
        </w:rPr>
        <w:t xml:space="preserve">Národní priority orientovaného výzkumu, experimentálního vývoje a inovací </w:t>
      </w:r>
      <w:r w:rsidRPr="00325B55">
        <w:t>(Dále také „Priority VaVaI“)</w:t>
      </w:r>
    </w:p>
    <w:p w:rsidR="0086240B" w:rsidRPr="00325B55" w:rsidRDefault="0086240B" w:rsidP="0086240B">
      <w:pPr>
        <w:pStyle w:val="Standardntext"/>
        <w:keepNext/>
        <w:keepLines/>
      </w:pPr>
      <w:r w:rsidRPr="00325B55">
        <w:t>Priority VaVaI, schválené usnesením vlády ČR ze dne 19. července 2012 č. 552, obsahují popis jednotlivých prioritních oblastí a vazby mezi těmito oblastmi a definují několik systémových opatření. Dokument rovněž obsahuje vyjádření k předpokladu rozdělení výdajů na VaVaI ze státního rozpočtu</w:t>
      </w:r>
      <w:r w:rsidRPr="00325B55">
        <w:rPr>
          <w:rStyle w:val="Znakapoznpodarou"/>
        </w:rPr>
        <w:footnoteReference w:id="5"/>
      </w:r>
      <w:r w:rsidRPr="00325B55">
        <w:t xml:space="preserve"> na jednotlivé oblasti a definuje období, kdy budou prováděna hodnocení plnění a aktualizace priorit. </w:t>
      </w:r>
    </w:p>
    <w:p w:rsidR="0086240B" w:rsidRPr="00325B55" w:rsidRDefault="0086240B" w:rsidP="0086240B">
      <w:pPr>
        <w:pStyle w:val="Standardntext"/>
      </w:pPr>
      <w:r w:rsidRPr="00325B55">
        <w:t xml:space="preserve">OP PIK se orientuje zejména na první dvě priority: </w:t>
      </w:r>
      <w:r w:rsidRPr="00325B55">
        <w:rPr>
          <w:i/>
        </w:rPr>
        <w:t>Konkurenceschopná ekonomika založená na znalostech</w:t>
      </w:r>
      <w:r w:rsidRPr="00325B55">
        <w:t xml:space="preserve"> a </w:t>
      </w:r>
      <w:r w:rsidRPr="00325B55">
        <w:rPr>
          <w:i/>
        </w:rPr>
        <w:t>Udržitelnost ekonomiky a materiálových zdrojů</w:t>
      </w:r>
      <w:r w:rsidRPr="00325B55">
        <w:t xml:space="preserve">, které budou naplňovány prostřednictvím prioritní osy 1, resp. prioritní osy 3 Operačního programu. Konkrétně jde o následující cíle VaVaI: zefektivnění produkce a procesů v rámci existujících kapacit české ekonomiky, rozvoj netechnických kompetencí podniků, podpora opatření směřující k posílení kapacity, spolehlivosti a bezpečnosti páteřních přenosových a distribučních sítí elektřiny (rovněž prostřednictvím rozvoje a zavedení chytrých sítí), akumulace elektrické energie </w:t>
      </w:r>
      <w:r w:rsidRPr="00325B55">
        <w:lastRenderedPageBreak/>
        <w:t>včetně využití vodní energie, vysokoúčinná kogenerace ve zdrojích soustav centrálního zásobování teplem, distribuovaná kombinovaná výroba elektřiny, tepla a chladu ze všech typů zdrojů, využití elektrické energie v dopravě jako náhrada fosilních zdrojů či výzkum a vývoj nových energeticky úsporných průmyslových technologií.</w:t>
      </w:r>
    </w:p>
    <w:p w:rsidR="0086240B" w:rsidRPr="00325B55" w:rsidRDefault="0086240B" w:rsidP="0086240B">
      <w:pPr>
        <w:pStyle w:val="Standardntext"/>
        <w:rPr>
          <w:b/>
        </w:rPr>
      </w:pPr>
      <w:r w:rsidRPr="00325B55">
        <w:rPr>
          <w:b/>
        </w:rPr>
        <w:t xml:space="preserve">Aktualizace Národní politiky výzkumu, vývoje a inovací České republiky na léta 2009 až 2015 s výhledem do roku 2020 </w:t>
      </w:r>
      <w:r w:rsidRPr="00325B55">
        <w:t>(dále také „NP VaVaI“)</w:t>
      </w:r>
    </w:p>
    <w:p w:rsidR="0086240B" w:rsidRPr="00325B55" w:rsidRDefault="0086240B" w:rsidP="0086240B">
      <w:pPr>
        <w:pStyle w:val="Standardntext"/>
      </w:pPr>
      <w:r w:rsidRPr="00325B55">
        <w:t>Aktualizace NP VaVaI, schválená usnesením vlády ČR ze dne 24. dubna 2013 č. 294, navazuje na zhodnocení stavu plnění cílů a opatření, které byly stanoveny v roce 2009. Hlavním cílem aktualizované NP VaVaI je vytvořit kvalitní podmínky pro tvorbu nových poznatků a jejich využívání v inovacích. Materiál zastřešuje odpovídající strategicko-koncepční dokumenty v ČR a je v souladu s dokumenty přijatými na úrovni EU. Dokument je rozdělen do čtyř částí, které jsou zaměřeny na zajištění kvalitních lidských zdrojů, vytváření prostředí pro efektivní šíření a využívání znalostí, zvyšování inovační výkonnosti podniků a zlepšení koordinace systému řízení v ČR. Prioritní roli má v Aktualizované NP VaVaI oblast lidských zdrojů, protože mimo jiné úzce souvisí s potřebou kvalitních výzkumných pracovníků pro současné i nově budované infrastruktury výzkumu a vývoje.</w:t>
      </w:r>
    </w:p>
    <w:p w:rsidR="0086240B" w:rsidRPr="00325B55" w:rsidRDefault="0086240B" w:rsidP="0086240B">
      <w:pPr>
        <w:pStyle w:val="Standardntext"/>
      </w:pPr>
      <w:r w:rsidRPr="00325B55">
        <w:t>Cíle Aktualizace NP VaVaI bude naplňovat zejména prioritní osa 1 OP PIK. Mezi tyto cíle patří z pohledu OP PIK zejména rozvoj infrastruktury pro VaVaI v podnikovém sektoru (např. podnikatelské inkubátory, vědecko-technické parky), podpora aktivity Knowledge Transfer Partnership, podpora aplikovaného průmyslového výzkumu (včetně KETs), financování inovačních projektů MSP prostřednictvím veřejných zakázek na nákup inovativních řešení/produktů pro potřeby veřejné správy, podpora aktivit napomáhajících v zapojení subjektů z ČR do mezinárodního výzkumu (zejména do programu Horizont 2020), rozvoj poradenských služeb podnikům (zejména MSP), které vytvoří podmínky pro zvýšení jejich inovační výkonnosti (např. služby v oblasti využívání rizikového kapitálu, internacionalizace, technologický foresight).</w:t>
      </w:r>
    </w:p>
    <w:p w:rsidR="0086240B" w:rsidRPr="00E96BA3" w:rsidRDefault="0086240B" w:rsidP="0086240B">
      <w:pPr>
        <w:pStyle w:val="Standardntext"/>
        <w:rPr>
          <w:b/>
          <w:lang w:val="cs-CZ"/>
        </w:rPr>
      </w:pPr>
      <w:r w:rsidRPr="00325B55">
        <w:rPr>
          <w:b/>
        </w:rPr>
        <w:t>Národní kosmický plán</w:t>
      </w:r>
      <w:r w:rsidR="00E96BA3">
        <w:rPr>
          <w:b/>
          <w:lang w:val="cs-CZ"/>
        </w:rPr>
        <w:t xml:space="preserve"> </w:t>
      </w:r>
      <w:r w:rsidR="00E96BA3" w:rsidRPr="00E96BA3">
        <w:rPr>
          <w:b/>
          <w:lang w:val="cs-CZ"/>
        </w:rPr>
        <w:t>2014-2019</w:t>
      </w:r>
      <w:bookmarkStart w:id="1" w:name="_GoBack"/>
      <w:bookmarkEnd w:id="1"/>
    </w:p>
    <w:p w:rsidR="0086240B" w:rsidRPr="00325B55" w:rsidRDefault="0086240B" w:rsidP="0086240B">
      <w:pPr>
        <w:pStyle w:val="Standardntext"/>
      </w:pPr>
      <w:r w:rsidRPr="00325B55">
        <w:t>Národní kosmický plán je strategickým dokumentem vlády</w:t>
      </w:r>
      <w:r w:rsidRPr="00325B55">
        <w:rPr>
          <w:rStyle w:val="Znakapoznpodarou"/>
        </w:rPr>
        <w:footnoteReference w:id="6"/>
      </w:r>
      <w:r w:rsidRPr="00325B55">
        <w:t xml:space="preserve"> a představuje podklad pro další rozhodování o dalším směřování ČR v oblasti kosmických aktivit, tj. podklad pro zaměření kosmických aktivit ČR, pro rozhodování o účasti na evropských a mezinárodních projektech nebo o podpoře takové účasti, pro nastavení státní politiky podpory inovací apod. Národní kosmický plán vymezuje souvislosti, pokud jde o kosmické aktivity a navrhuje způsoby a opatření vedoucí k maximalizaci návratnosti investic z veřejných zdrojů. Jedná se tedy o plán rozvoje českého průmyslu a akademické sféry a jejich zapojení do mezinárodní kosmické komunity, jehož hlavním cílem je zvýšení konkurenceschopnosti českého průmyslu a jeho technologické a inovační úrovně.</w:t>
      </w:r>
    </w:p>
    <w:p w:rsidR="0086240B" w:rsidRPr="00325B55" w:rsidRDefault="0086240B" w:rsidP="0086240B">
      <w:pPr>
        <w:pStyle w:val="Standardntext"/>
        <w:rPr>
          <w:i/>
          <w:iCs/>
        </w:rPr>
      </w:pPr>
      <w:r w:rsidRPr="00325B55">
        <w:t xml:space="preserve">Národní komický plán navazuje na Strategii Evropa 2020, konkrétně stěžejní iniciativu „Průmyslová politika pro éru globalizace“ a stěžejní iniciativu „Inovace v Unii“ a rovněž na Sdělení EK </w:t>
      </w:r>
      <w:r w:rsidRPr="00325B55">
        <w:rPr>
          <w:i/>
          <w:iCs/>
        </w:rPr>
        <w:t>„Kosmická průmyslová politika EU. Uvolnění potenciálu pro hospodářský růst v kosmickém odvětví“</w:t>
      </w:r>
      <w:r w:rsidRPr="00325B55">
        <w:rPr>
          <w:rStyle w:val="Znakapoznpodarou"/>
          <w:iCs/>
        </w:rPr>
        <w:footnoteReference w:id="7"/>
      </w:r>
      <w:r w:rsidRPr="00325B55">
        <w:rPr>
          <w:i/>
          <w:iCs/>
        </w:rPr>
        <w:t>.</w:t>
      </w:r>
    </w:p>
    <w:p w:rsidR="0086240B" w:rsidRPr="00325B55" w:rsidRDefault="0086240B" w:rsidP="0086240B">
      <w:pPr>
        <w:pStyle w:val="Standardntext"/>
      </w:pPr>
      <w:r w:rsidRPr="00325B55">
        <w:t xml:space="preserve">S ohledem na charakter kosmických aktivit, tj. průřezovost, vysokou přidanou hodnotu, dynamicky rostoucí objem trhu v Evropě i ve světě, má Národní kosmický plán vazbu na prioritní osu 1 OP PIK. </w:t>
      </w:r>
    </w:p>
    <w:p w:rsidR="0086240B" w:rsidRPr="00325B55" w:rsidRDefault="0086240B" w:rsidP="0086240B">
      <w:pPr>
        <w:pStyle w:val="Standardntext"/>
      </w:pPr>
      <w:r w:rsidRPr="00325B55">
        <w:rPr>
          <w:b/>
        </w:rPr>
        <w:lastRenderedPageBreak/>
        <w:t xml:space="preserve">Koncepce podpory malých a středních podnikatelů na období let 2014-2020 </w:t>
      </w:r>
      <w:r w:rsidRPr="00325B55">
        <w:t>(dále také „Koncepce podpory MSP“)</w:t>
      </w:r>
    </w:p>
    <w:p w:rsidR="0086240B" w:rsidRPr="00325B55" w:rsidRDefault="0086240B" w:rsidP="0086240B">
      <w:pPr>
        <w:pStyle w:val="Standardntext"/>
      </w:pPr>
      <w:r w:rsidRPr="00325B55">
        <w:t>Koncepce podpory MSP, schválená usnesením vlády ČR ze dne 12. prosince 2012 č. 923, představuje zásadní strategický dokument pro přípravu budoucího programovacího období kohezní politiky EU v oblasti podnikání. Koncepce podpory MSP jako prioritní označuje zaměření podpory na posilování konkurenceschopnosti MSP prostřednictvím vytváření a šíření inovací, rozvoje podnikatelského prostředí, snižování administrativní zátěže a zvyšování kvality poradenských služeb pro MSP. Důležitou oblastí podpory v rámci posilování konkurenceschopnosti s pozitivními dopady v oblasti životního prostředí bude snižování energetické náročnosti podnikání malých a středních podniků, a to především ve vztahu k využití obnovitelných a druhotných energetických zdrojů.</w:t>
      </w:r>
    </w:p>
    <w:p w:rsidR="0086240B" w:rsidRPr="00325B55" w:rsidRDefault="0086240B" w:rsidP="0086240B">
      <w:pPr>
        <w:pStyle w:val="Standardntext"/>
      </w:pPr>
      <w:r w:rsidRPr="00325B55">
        <w:t>Všechny věcně zaměřené prioritní osy OP PIK budou naplňovat relevantní cíle a opatření Koncepce podpory MSP. V relevantních prioritních osách OP PIK budou rovněž vzata v úvahu opatření Akčního plánu podnikání 2020</w:t>
      </w:r>
      <w:r w:rsidRPr="00325B55">
        <w:rPr>
          <w:rStyle w:val="Znakapoznpodarou"/>
        </w:rPr>
        <w:footnoteReference w:id="8"/>
      </w:r>
      <w:r w:rsidRPr="00325B55">
        <w:t xml:space="preserve"> v oblasti dalšího rozvoje podnikání, jako hybné síly ekonomického růstu a vytváření pracovních míst.</w:t>
      </w:r>
    </w:p>
    <w:p w:rsidR="0086240B" w:rsidRPr="00325B55" w:rsidRDefault="0086240B" w:rsidP="0086240B">
      <w:pPr>
        <w:pStyle w:val="Standardntext"/>
      </w:pPr>
      <w:r w:rsidRPr="00325B55">
        <w:t>Operační program má vazbu na následující opatření akcentovaná Koncepcí podpory MSP. Z hlediska prioritní osy 1 OP PIK jde především o podporu transferů znalostí a technologií, včetně rozvoje vědeckotechnických parků, podnikatelských inkubátorů a jejich služeb, rozvoj klastrů, podporu vlastních výzkumných a vývojových kapacit podniků, včetně podpory investic do technologického a laboratorního vybavení, rozvoj spolupráce MSP a výzkumných organizací, podporu komercionalizace výsledků VaV a užší propojení VaV výzkumných organizací s poptávkou MSP.</w:t>
      </w:r>
    </w:p>
    <w:p w:rsidR="0086240B" w:rsidRPr="00325B55" w:rsidRDefault="0086240B" w:rsidP="0086240B">
      <w:pPr>
        <w:pStyle w:val="Standardntext"/>
      </w:pPr>
      <w:r w:rsidRPr="00325B55">
        <w:t>Mezi klíčová opatření Koncepce podpory MSP, která jsou jedním z výchozích prvků prioritní osy 2 OP PIK, patří především podpora začínajících MSP pomocí finančních nástrojů, podpora inovativních poradenských služeb pro podnikání založené na znalostech jako je mentoring, technologický scouting, koučing či technologický foresighting, podpora účastí MSP na specializovaných veletrzích a výstavách, podpora podnikatelské infrastruktury, včetně rozvoje průmyslových zón a parků, rekonstrukce podnikatelských objektů a regenerace brownfieldů a podpora infrastruktury pro firemní vzdělávání a školení, včetně rozvoje školicích středisek.</w:t>
      </w:r>
    </w:p>
    <w:p w:rsidR="0086240B" w:rsidRPr="00325B55" w:rsidRDefault="0086240B" w:rsidP="0086240B">
      <w:pPr>
        <w:pStyle w:val="Standardntext"/>
      </w:pPr>
      <w:r w:rsidRPr="00325B55">
        <w:t>Prioritní osa 3 Operačního programu reaguje na následující priority Koncepce podpory MSP: výstavba nových a rekonstrukce stávajících zařízení na výrobu a rozvod elektrické energie a tepla vyrobené s využitím obnovitelných a druhotných zdrojů energie, snižování energetické náročnosti výrobních a technologických procesů, zlepšování tepelně technických vlastností budov, modernizace, rekonstrukce a snižování ztrát v rozvodech elektřiny a tepla, podpora vyššího využívání druhotných surovin, zvyšování energetické účinnosti zaváděním kombinované výroby elektřiny a tepla atd.</w:t>
      </w:r>
    </w:p>
    <w:p w:rsidR="0086240B" w:rsidRPr="00325B55" w:rsidRDefault="0086240B" w:rsidP="0086240B">
      <w:pPr>
        <w:pStyle w:val="Standardntext"/>
      </w:pPr>
      <w:r w:rsidRPr="00325B55">
        <w:t>Podpora rozvoje ICT v malých a středních podnicích a rozvoj center progresivních ICT služeb jsou opatření Koncepce podpory MSP, která jsou zároveň relevantní z hlediska prioritní osy 4 OP PIK.</w:t>
      </w:r>
    </w:p>
    <w:p w:rsidR="0086240B" w:rsidRPr="00325B55" w:rsidRDefault="0086240B" w:rsidP="0086240B">
      <w:pPr>
        <w:pStyle w:val="Standardntext"/>
        <w:rPr>
          <w:b/>
        </w:rPr>
      </w:pPr>
      <w:r w:rsidRPr="00325B55">
        <w:rPr>
          <w:b/>
        </w:rPr>
        <w:t xml:space="preserve">Státní energetická koncepce ČR </w:t>
      </w:r>
      <w:r w:rsidRPr="00325B55">
        <w:t>(dále také „SEK“)</w:t>
      </w:r>
    </w:p>
    <w:p w:rsidR="0086240B" w:rsidRPr="00325B55" w:rsidRDefault="0086240B" w:rsidP="0086240B">
      <w:pPr>
        <w:pStyle w:val="Standardntext"/>
      </w:pPr>
      <w:r w:rsidRPr="00325B55">
        <w:t xml:space="preserve">Státní energetická koncepce ČR je dokumentem, který stanovuje strategické priority a cíle státu v energetickém sektoru s výhledem na 30 let a popisuje konkrétní realizační nástroje energetické politiky státu. Aktualizace SEK, kterou vzala vláda ČR na vědomí usnesením ze dne 7. listopadu 2012 č. 803, obsahuje scénář předpokládaných základních trendů vývoje </w:t>
      </w:r>
      <w:r w:rsidRPr="00325B55">
        <w:lastRenderedPageBreak/>
        <w:t xml:space="preserve">energetiky s horizontem do roku 2050. Výhled do roku 2030 má charakter podrobné strategie a mezi roky 2030 a 2050 má charakter strategické vize. </w:t>
      </w:r>
    </w:p>
    <w:p w:rsidR="0086240B" w:rsidRPr="00325B55" w:rsidRDefault="0086240B" w:rsidP="0086240B">
      <w:pPr>
        <w:pStyle w:val="Standardntext"/>
      </w:pPr>
      <w:r w:rsidRPr="00325B55">
        <w:t>Relevantní priority Aktualizace SEK budou naplňovány prostřednictvím prioritní osy 3 OP PIK. Těmito prioritami jsou především rozvoj ekonomicky efektivních OZE, rekonstrukce zařízení a technologií za účelem zvýšení energetické účinnosti, úspory tepla v budovách, podpora využívání metody Energy Performance Contracting (energetické služby se zárukou), obnova a modernizace přenosové soustavy a zvyšování její odolnosti při vzniku krizových situací, obnova a posílení distribučních soustav a implementace řídicích systémů inteligentních sítí zajišťující připojení a řízení provozu distribuovaných zdrojů, lokální akumulace, rozvoj tepelných čerpadel a efektivní řízení spotřeby, dále podpora výzkumu a vývoje zaměřeného na zvýšení účinnosti energetických zdrojů, včetně rozvoje elektromobility, maximalizace energetického využití druhotných zdrojů energie, obnova soustav zásobování teplem vedoucí ke snížení ztrát v distribuci tepla a přechod výtopen na kogenerační výrobu.</w:t>
      </w:r>
    </w:p>
    <w:p w:rsidR="0086240B" w:rsidRPr="00325B55" w:rsidRDefault="0086240B" w:rsidP="0086240B">
      <w:pPr>
        <w:pStyle w:val="Standardntext"/>
        <w:rPr>
          <w:b/>
        </w:rPr>
      </w:pPr>
      <w:r w:rsidRPr="00325B55">
        <w:rPr>
          <w:b/>
        </w:rPr>
        <w:t xml:space="preserve">Národní akční plán České republiky pro energii z obnovitelných zdrojů </w:t>
      </w:r>
      <w:r w:rsidRPr="00325B55">
        <w:t>(dále také „NAP pro OZE“)</w:t>
      </w:r>
    </w:p>
    <w:p w:rsidR="0086240B" w:rsidRPr="00325B55" w:rsidRDefault="0086240B" w:rsidP="0086240B">
      <w:pPr>
        <w:pStyle w:val="Standardntext"/>
      </w:pPr>
      <w:r w:rsidRPr="00325B55">
        <w:t xml:space="preserve">NAP pro OZE, schválen usnesením vlády ČR ze dne 25. srpna 2010 č. 603 (jeho aktualizace schválena usnesením vlády ČR ze dne 7. listopadu 2012 č. 804), je naplněním Rozhodnutí Komise 2009/548/ES ze dne 30. června 2009, kterým se stanoví vzor pro národní akční plány pro energii z obnovitelných zdrojů podle směrnice Evropského parlamentu a Rady 2009/28/ES. NAP pro OZE, který je součástí SEK, stanovuje cíl podílu energie z obnovitelných zdrojů na hrubé konečné spotřebě energie ve výši 13 % do r. 2020, což vyplývá ze závazku daného členstvím ČR v EU. </w:t>
      </w:r>
    </w:p>
    <w:p w:rsidR="0086240B" w:rsidRPr="00325B55" w:rsidRDefault="0086240B" w:rsidP="0086240B">
      <w:pPr>
        <w:pStyle w:val="Standardntext"/>
      </w:pPr>
      <w:r w:rsidRPr="00325B55">
        <w:t>K naplnění cílů NAP pro OZE, který podporu realizace opatření z ESIF přímo předpokládá, přispějí aktivity v rámci prioritní osy 3 OP PIK, zejména specifický cíl 3.1.</w:t>
      </w:r>
    </w:p>
    <w:p w:rsidR="00700525" w:rsidRPr="00700525" w:rsidRDefault="00700525" w:rsidP="00700525">
      <w:pPr>
        <w:pStyle w:val="Standardntext"/>
        <w:rPr>
          <w:b/>
        </w:rPr>
      </w:pPr>
      <w:r w:rsidRPr="00700525">
        <w:rPr>
          <w:b/>
        </w:rPr>
        <w:t>Národní akční plán energetické účinnosti ČR</w:t>
      </w:r>
    </w:p>
    <w:p w:rsidR="00700525" w:rsidRPr="00700525" w:rsidRDefault="00700525" w:rsidP="00700525">
      <w:pPr>
        <w:pStyle w:val="Standardntext"/>
      </w:pPr>
      <w:r w:rsidRPr="00700525">
        <w:t>Národní akční plán energetické účinnosti ČR dle čl. 24 odst. 2 směrnice Evropského parlamentu a Rady 2012/27/EU ze dne 25. října 2012 o energetické účinnosti (</w:t>
      </w:r>
      <w:hyperlink r:id="rId10" w:history="1">
        <w:r w:rsidRPr="00700525">
          <w:t>http://ec.europa.eu/energy/efficiency/eed/neep_en.htm</w:t>
        </w:r>
      </w:hyperlink>
      <w:r w:rsidRPr="00700525">
        <w:t xml:space="preserve">), zaslán Evropské komisi dne 2. května 2014 zahrnuje významná opatření zaměřená ke zvýšení energetické účinnosti a očekávané nebo dosažené úspory energie, včetně úspor při dodávkách, přenosu či přepravě a distribuci energie, jakož i v konečném využití energie s cílem splnit vnitrostátní cíle energetické účinnosti podle čl. 3 odst. 1. </w:t>
      </w:r>
    </w:p>
    <w:p w:rsidR="0086240B" w:rsidRPr="00325B55" w:rsidRDefault="00700525" w:rsidP="0086240B">
      <w:pPr>
        <w:pStyle w:val="Standardntext"/>
        <w:rPr>
          <w:b/>
        </w:rPr>
      </w:pPr>
      <w:r w:rsidRPr="00700525">
        <w:t>Současně byl také EK zaslán materiál „Politická opatření zaváděná za účelem dosažení úspor energie u konečných zákazníků v ČR dle čl. 7 odst. 9 a čl. 20 odst. 6 Směrnice Evropského parlamentu a Rady 2012/27/EU ze dne 25. října 2012 o energetické účinnosti“ (</w:t>
      </w:r>
      <w:hyperlink r:id="rId11" w:history="1">
        <w:r w:rsidRPr="00700525">
          <w:t>http://ec.europa.eu/energy/efficiency/eed/article7_en.htm</w:t>
        </w:r>
      </w:hyperlink>
      <w:r w:rsidRPr="00700525">
        <w:t>), který obsahuje cílová odvětví naplňování čl. 7 směrnice.</w:t>
      </w:r>
      <w:r>
        <w:t xml:space="preserve"> </w:t>
      </w:r>
      <w:r w:rsidR="0086240B" w:rsidRPr="00325B55">
        <w:rPr>
          <w:b/>
        </w:rPr>
        <w:t>Politika druhotných surovin ČR</w:t>
      </w:r>
    </w:p>
    <w:p w:rsidR="0086240B" w:rsidRPr="00325B55" w:rsidRDefault="0086240B" w:rsidP="0086240B">
      <w:pPr>
        <w:pStyle w:val="Standardntext"/>
      </w:pPr>
      <w:r w:rsidRPr="00325B55">
        <w:t>Politika druhotných surovin ČR, kterou vzala vláda ČŘ na vědomí usnesením ze dne 16. října 2013 č. 773 a schválila její hlavní cíle, je samostatnou částí nové Surovinové politiky ČR. Cílem Politiky druhotných surovin ČR je mj. podpora inovací zabezpečující získávání druhotných surovin v kvalitě vhodné pro další využití v průmyslu a podpora využívání druhotných surovin jako nástroje pro snižování energetické a materiálové náročnosti průmyslové výroby.</w:t>
      </w:r>
    </w:p>
    <w:p w:rsidR="0086240B" w:rsidRPr="00325B55" w:rsidRDefault="0086240B" w:rsidP="0086240B">
      <w:pPr>
        <w:pStyle w:val="Standardntext"/>
      </w:pPr>
      <w:r w:rsidRPr="00325B55">
        <w:t xml:space="preserve">Na základě těchto cílů bylo formulováno zaměření vybraných aktivit specifického cíle 3.4 prioritní osy 3 OP PIK; z hlediska ekoinovací lze sledovat vazbu také na prioritní osu 1. </w:t>
      </w:r>
      <w:r w:rsidRPr="00325B55">
        <w:lastRenderedPageBreak/>
        <w:t>Dokument obsahuje výčet potenciálně využitelných nástrojů v podmínkách ČR, přičemž u relevantních nástrojů přímo předpokládá využití finančních prostředků z OP PIK.</w:t>
      </w:r>
    </w:p>
    <w:p w:rsidR="0086240B" w:rsidRPr="00325B55" w:rsidRDefault="0086240B" w:rsidP="0086240B">
      <w:pPr>
        <w:pStyle w:val="Standardntext"/>
        <w:rPr>
          <w:b/>
        </w:rPr>
      </w:pPr>
      <w:r w:rsidRPr="00325B55">
        <w:rPr>
          <w:b/>
        </w:rPr>
        <w:t>Aktualizovaná Státní politika v elektronických komunikacích: Digitální Česko v. 2.0, Cesta k digitální ekonomice</w:t>
      </w:r>
      <w:r w:rsidRPr="00325B55">
        <w:t xml:space="preserve"> (dále také „Digitální Česko 2“)</w:t>
      </w:r>
    </w:p>
    <w:p w:rsidR="0086240B" w:rsidRPr="00325B55" w:rsidRDefault="0086240B" w:rsidP="0086240B">
      <w:pPr>
        <w:pStyle w:val="Standardntext"/>
      </w:pPr>
      <w:r w:rsidRPr="00325B55">
        <w:t xml:space="preserve">Strategický dokument Digitální Česko 2, schválený usnesením vlády ČR ze dne 20. března 2013 č. 203, je postaven na třech pilířích, a to podpoře budování kvalitní internetové infrastruktury, rozvoji digitálních služeb a zvyšování digitální gramotnosti. Hlavním cílem je podpořit potenciál České republiky v oblasti rozvoje moderních informačních a komunikačních technologií a služeb, které jsou jejich prostřednictvím poskytovány. V souladu s Digitální agendou pro Evropu si vláda stanovuje cíl rozvoje vysokorychlostních přístupových sítí k internetu umožňujících přenosové rychlosti min. 30 Mbit/s do roku 2020 pro všechny obyvatele a 100 Mbit/s minimálně pro polovinu domácností. Mezi další cíle Digitálního Česka 2 patří také posílení samoregulačních mechanismů digitální ekonomiky, zvyšování dostupnosti ICT pro všechny bez ohledu na lokalitu, sociální postavení nebo zdravotní postižení a dále podpora celoživotního vzdělávání za účelem posílení digitální gramotnosti. </w:t>
      </w:r>
    </w:p>
    <w:p w:rsidR="0086240B" w:rsidRDefault="0086240B" w:rsidP="00157238">
      <w:pPr>
        <w:pStyle w:val="Standardntext"/>
        <w:rPr>
          <w:lang w:val="cs-CZ"/>
        </w:rPr>
      </w:pPr>
      <w:r w:rsidRPr="00325B55">
        <w:t>Relevantní opatření Digitálního Česka 2 budou naplňována v rámci prioritní osy 4 OP PIK, jmenovitě prostřednictvím specifického cíle 4.1. Digitální Česko 2 považuje za vhodnou a dlouhodobě perspektivní infrastrukturu, která umožňuje plnohodnotné vysokorychlostní připojení k internetu, kabelovou technologii s optickými vlákny (při současném respektování principu technologické neutrality). Technologie založené na optickém připojení jsou zároveň podle tohoto strategického dokumentu ideální například pro cloudové služby, což vytváří vhodné předpoklady pro implementaci aktivit druhého specifického cíle prioritní osy 4 Operačního programu.</w:t>
      </w:r>
    </w:p>
    <w:p w:rsidR="0086240B" w:rsidRPr="00157238" w:rsidRDefault="0086240B" w:rsidP="00157238">
      <w:pPr>
        <w:pStyle w:val="Standardntext"/>
        <w:rPr>
          <w:lang w:val="cs-CZ"/>
        </w:rPr>
      </w:pPr>
    </w:p>
    <w:p w:rsidR="0086240B" w:rsidRPr="00C82EEA" w:rsidRDefault="0086240B" w:rsidP="00157238"/>
    <w:p w:rsidR="00997B09" w:rsidRDefault="00997B09">
      <w:pPr>
        <w:jc w:val="both"/>
        <w:rPr>
          <w:sz w:val="24"/>
        </w:rPr>
      </w:pPr>
    </w:p>
    <w:sectPr w:rsidR="00997B09" w:rsidSect="0015723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2C6" w:rsidRDefault="00C422C6" w:rsidP="000E7465">
      <w:r>
        <w:separator/>
      </w:r>
    </w:p>
  </w:endnote>
  <w:endnote w:type="continuationSeparator" w:id="0">
    <w:p w:rsidR="00C422C6" w:rsidRDefault="00C422C6" w:rsidP="000E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C6" w:rsidRDefault="00C422C6" w:rsidP="000E7465">
    <w:pPr>
      <w:pStyle w:val="Zpat"/>
      <w:tabs>
        <w:tab w:val="clear" w:pos="9072"/>
      </w:tabs>
      <w:jc w:val="right"/>
    </w:pPr>
    <w:r>
      <w:fldChar w:fldCharType="begin"/>
    </w:r>
    <w:r>
      <w:instrText>PAGE   \* MERGEFORMAT</w:instrText>
    </w:r>
    <w:r>
      <w:fldChar w:fldCharType="separate"/>
    </w:r>
    <w:r w:rsidR="00E96BA3">
      <w:rPr>
        <w:noProof/>
      </w:rPr>
      <w:t>14</w:t>
    </w:r>
    <w:r>
      <w:fldChar w:fldCharType="end"/>
    </w:r>
  </w:p>
  <w:p w:rsidR="00C422C6" w:rsidRDefault="00C422C6" w:rsidP="000E7465">
    <w:pPr>
      <w:pStyle w:val="Zpat"/>
      <w:tabs>
        <w:tab w:val="left" w:pos="6274"/>
        <w:tab w:val="left" w:pos="6585"/>
        <w:tab w:val="left" w:pos="7515"/>
        <w:tab w:val="left" w:pos="7719"/>
        <w:tab w:val="left" w:pos="8370"/>
      </w:tabs>
    </w:pPr>
  </w:p>
  <w:p w:rsidR="00C422C6" w:rsidRDefault="00C422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2C6" w:rsidRDefault="00C422C6" w:rsidP="000E7465">
      <w:r>
        <w:separator/>
      </w:r>
    </w:p>
  </w:footnote>
  <w:footnote w:type="continuationSeparator" w:id="0">
    <w:p w:rsidR="00C422C6" w:rsidRDefault="00C422C6" w:rsidP="000E7465">
      <w:r>
        <w:continuationSeparator/>
      </w:r>
    </w:p>
  </w:footnote>
  <w:footnote w:id="1">
    <w:p w:rsidR="00C422C6" w:rsidRPr="00325B55" w:rsidRDefault="00C422C6" w:rsidP="0086240B">
      <w:pPr>
        <w:pStyle w:val="Poznmkapodarou"/>
      </w:pPr>
      <w:r w:rsidRPr="00325B55">
        <w:rPr>
          <w:rStyle w:val="Znakapoznpodarou"/>
        </w:rPr>
        <w:footnoteRef/>
      </w:r>
      <w:r w:rsidRPr="00325B55">
        <w:t xml:space="preserve"> Usnesení vládního Výboru pro Evropskou unii ze dne 16. dubna 2014 č. 10.</w:t>
      </w:r>
    </w:p>
  </w:footnote>
  <w:footnote w:id="2">
    <w:p w:rsidR="00C422C6" w:rsidRPr="00325B55" w:rsidRDefault="00C422C6" w:rsidP="0086240B">
      <w:pPr>
        <w:pStyle w:val="Poznmkapodarou"/>
      </w:pPr>
      <w:r w:rsidRPr="00325B55">
        <w:rPr>
          <w:rStyle w:val="Znakapoznpodarou"/>
        </w:rPr>
        <w:footnoteRef/>
      </w:r>
      <w:r w:rsidRPr="00325B55">
        <w:t xml:space="preserve"> Existence RIS3 je zároveň jednou z tzv. tematických předběžných podmínek.</w:t>
      </w:r>
    </w:p>
  </w:footnote>
  <w:footnote w:id="3">
    <w:p w:rsidR="00F66D65" w:rsidRDefault="00F66D65" w:rsidP="002A6625">
      <w:pPr>
        <w:pStyle w:val="Textpoznpodarou"/>
        <w:jc w:val="both"/>
      </w:pPr>
      <w:r>
        <w:rPr>
          <w:rStyle w:val="Znakapoznpodarou"/>
        </w:rPr>
        <w:footnoteRef/>
      </w:r>
      <w:r>
        <w:t xml:space="preserve"> </w:t>
      </w:r>
      <w:r w:rsidR="00D40BCD">
        <w:t>N</w:t>
      </w:r>
      <w:r w:rsidRPr="00F66D65">
        <w:t xml:space="preserve">ejedná </w:t>
      </w:r>
      <w:r w:rsidR="00F56261">
        <w:t xml:space="preserve">se </w:t>
      </w:r>
      <w:r w:rsidRPr="00F66D65">
        <w:t xml:space="preserve">o definitivní výčet, nýbrž o přehled dosud identifikovaných aplikačních oblastí, které by neměly zůstat opomenuty. Průběžné doplňování a upřesňování by mělo být setrvalou součástí procesu entrepreneurial discovery, který bude z národní úrovně koordinován po celou dobu implementace </w:t>
      </w:r>
      <w:r>
        <w:t>RIS</w:t>
      </w:r>
      <w:r w:rsidRPr="00F66D65">
        <w:t xml:space="preserve">3 z úrovně národního </w:t>
      </w:r>
      <w:r>
        <w:t>RI</w:t>
      </w:r>
      <w:r w:rsidRPr="00F66D65">
        <w:t>S3 manažera</w:t>
      </w:r>
      <w:r>
        <w:t>.</w:t>
      </w:r>
    </w:p>
  </w:footnote>
  <w:footnote w:id="4">
    <w:p w:rsidR="00157238" w:rsidRDefault="00157238" w:rsidP="00157238">
      <w:pPr>
        <w:pStyle w:val="Textpoznpodarou"/>
      </w:pPr>
      <w:r w:rsidRPr="00D40BCD">
        <w:rPr>
          <w:rStyle w:val="Znakapoznpodarou"/>
        </w:rPr>
        <w:footnoteRef/>
      </w:r>
      <w:r w:rsidRPr="00D40BCD">
        <w:t xml:space="preserve"> Jedná se o odvětví aplikací, která se odlišují od priorit definovaných z národní úrovně a současně jsou alespoň jedním krajem identifikovány jako oblast jeho inteligentní specializace.</w:t>
      </w:r>
    </w:p>
  </w:footnote>
  <w:footnote w:id="5">
    <w:p w:rsidR="00C422C6" w:rsidRPr="00325B55" w:rsidRDefault="00C422C6" w:rsidP="0086240B">
      <w:pPr>
        <w:pStyle w:val="Poznmkapodarou"/>
      </w:pPr>
      <w:r w:rsidRPr="00325B55">
        <w:rPr>
          <w:rStyle w:val="Znakapoznpodarou"/>
        </w:rPr>
        <w:footnoteRef/>
      </w:r>
      <w:r w:rsidRPr="00325B55">
        <w:t xml:space="preserve"> Podpora VaVaI z výdajů státního rozpočtu ČR podle zákona č. 130/2002 Sb., resp. dle § 3. odst. 3, písm. c) tohoto zákona. </w:t>
      </w:r>
    </w:p>
  </w:footnote>
  <w:footnote w:id="6">
    <w:p w:rsidR="00C422C6" w:rsidRPr="00325B55" w:rsidRDefault="00C422C6" w:rsidP="0086240B">
      <w:pPr>
        <w:pStyle w:val="Poznmkapodarou"/>
      </w:pPr>
      <w:r w:rsidRPr="00325B55">
        <w:rPr>
          <w:rStyle w:val="Znakapoznpodarou"/>
        </w:rPr>
        <w:footnoteRef/>
      </w:r>
      <w:r w:rsidRPr="00325B55">
        <w:t xml:space="preserve"> Usnesení vládního Výboru pro Evropskou unii ze dne 3. května 2010 č. 14.</w:t>
      </w:r>
    </w:p>
  </w:footnote>
  <w:footnote w:id="7">
    <w:p w:rsidR="00C422C6" w:rsidRPr="00325B55" w:rsidRDefault="00C422C6" w:rsidP="0086240B">
      <w:pPr>
        <w:pStyle w:val="Poznmkapodarou"/>
      </w:pPr>
      <w:r w:rsidRPr="00325B55">
        <w:rPr>
          <w:rStyle w:val="Znakapoznpodarou"/>
        </w:rPr>
        <w:footnoteRef/>
      </w:r>
      <w:r w:rsidRPr="00325B55">
        <w:t xml:space="preserve"> COM(2013) 108 final.</w:t>
      </w:r>
    </w:p>
  </w:footnote>
  <w:footnote w:id="8">
    <w:p w:rsidR="00C422C6" w:rsidRPr="00325B55" w:rsidRDefault="00C422C6" w:rsidP="0086240B">
      <w:pPr>
        <w:pStyle w:val="Poznmkapodarou"/>
      </w:pPr>
      <w:r w:rsidRPr="00325B55">
        <w:rPr>
          <w:rStyle w:val="Znakapoznpodarou"/>
        </w:rPr>
        <w:footnoteRef/>
      </w:r>
      <w:r w:rsidRPr="00325B55">
        <w:t xml:space="preserve"> COM(2012) 795 final, Akční plán podnikání 2020, Opětovné probuzení podnikatelského ducha v Evropě.</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440C1"/>
    <w:multiLevelType w:val="hybridMultilevel"/>
    <w:tmpl w:val="E0B8AF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E12502"/>
    <w:multiLevelType w:val="hybridMultilevel"/>
    <w:tmpl w:val="A41EA4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60D1889"/>
    <w:multiLevelType w:val="hybridMultilevel"/>
    <w:tmpl w:val="062C3D42"/>
    <w:lvl w:ilvl="0" w:tplc="E690B814">
      <w:start w:val="1"/>
      <w:numFmt w:val="bullet"/>
      <w:lvlText w:val=""/>
      <w:lvlJc w:val="left"/>
      <w:pPr>
        <w:ind w:left="720" w:hanging="360"/>
      </w:pPr>
      <w:rPr>
        <w:rFonts w:ascii="Symbol" w:hAnsi="Symbol" w:hint="default"/>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2223B1"/>
    <w:multiLevelType w:val="multilevel"/>
    <w:tmpl w:val="DA023246"/>
    <w:lvl w:ilvl="0">
      <w:start w:val="1"/>
      <w:numFmt w:val="decimal"/>
      <w:pStyle w:val="Nadpis1"/>
      <w:lvlText w:val="ODDÍL %1"/>
      <w:lvlJc w:val="left"/>
      <w:pPr>
        <w:ind w:left="716" w:hanging="432"/>
      </w:pPr>
      <w:rPr>
        <w:rFonts w:hint="default"/>
        <w:spacing w:val="20"/>
        <w:sz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A.2.%4"/>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nsid w:val="55BB30EB"/>
    <w:multiLevelType w:val="hybridMultilevel"/>
    <w:tmpl w:val="75F47E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A130D86"/>
    <w:multiLevelType w:val="hybridMultilevel"/>
    <w:tmpl w:val="DDC20692"/>
    <w:lvl w:ilvl="0" w:tplc="0405000B">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5"/>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465"/>
    <w:rsid w:val="000C47D4"/>
    <w:rsid w:val="000C70A9"/>
    <w:rsid w:val="000E7465"/>
    <w:rsid w:val="00117A40"/>
    <w:rsid w:val="00157238"/>
    <w:rsid w:val="0016294B"/>
    <w:rsid w:val="001C3EA9"/>
    <w:rsid w:val="002A6625"/>
    <w:rsid w:val="002F54AE"/>
    <w:rsid w:val="003247D2"/>
    <w:rsid w:val="00340BAD"/>
    <w:rsid w:val="00386E0A"/>
    <w:rsid w:val="004076A9"/>
    <w:rsid w:val="004A1C88"/>
    <w:rsid w:val="005E2EAD"/>
    <w:rsid w:val="005F3191"/>
    <w:rsid w:val="00636420"/>
    <w:rsid w:val="00644466"/>
    <w:rsid w:val="006463F9"/>
    <w:rsid w:val="006D6E9E"/>
    <w:rsid w:val="00700525"/>
    <w:rsid w:val="007800DF"/>
    <w:rsid w:val="00792E88"/>
    <w:rsid w:val="007C2464"/>
    <w:rsid w:val="00803A69"/>
    <w:rsid w:val="00850C9C"/>
    <w:rsid w:val="0086240B"/>
    <w:rsid w:val="0088437E"/>
    <w:rsid w:val="00912FDC"/>
    <w:rsid w:val="00997B09"/>
    <w:rsid w:val="009B59BB"/>
    <w:rsid w:val="00A567D7"/>
    <w:rsid w:val="00A80AFB"/>
    <w:rsid w:val="00B46202"/>
    <w:rsid w:val="00B50CC4"/>
    <w:rsid w:val="00C02D35"/>
    <w:rsid w:val="00C422C6"/>
    <w:rsid w:val="00C55452"/>
    <w:rsid w:val="00C82EEA"/>
    <w:rsid w:val="00D27461"/>
    <w:rsid w:val="00D40BCD"/>
    <w:rsid w:val="00D96590"/>
    <w:rsid w:val="00E96BA3"/>
    <w:rsid w:val="00ED422B"/>
    <w:rsid w:val="00F56261"/>
    <w:rsid w:val="00F63502"/>
    <w:rsid w:val="00F66D65"/>
    <w:rsid w:val="00FB54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7465"/>
    <w:pPr>
      <w:overflowPunct w:val="0"/>
      <w:autoSpaceDE w:val="0"/>
      <w:autoSpaceDN w:val="0"/>
      <w:adjustRightInd w:val="0"/>
      <w:textAlignment w:val="baseline"/>
    </w:p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0E7465"/>
    <w:pPr>
      <w:keepNext/>
      <w:pageBreakBefore/>
      <w:numPr>
        <w:numId w:val="1"/>
      </w:numPr>
      <w:overflowPunct/>
      <w:autoSpaceDE/>
      <w:autoSpaceDN/>
      <w:adjustRightInd/>
      <w:spacing w:before="120" w:after="240" w:line="276" w:lineRule="auto"/>
      <w:ind w:left="432"/>
      <w:jc w:val="both"/>
      <w:textAlignment w:val="auto"/>
      <w:outlineLvl w:val="0"/>
    </w:pPr>
    <w:rPr>
      <w:rFonts w:ascii="Calibri" w:hAnsi="Calibri"/>
      <w:b/>
      <w:bCs/>
      <w:smallCaps/>
      <w:kern w:val="32"/>
      <w:sz w:val="28"/>
      <w:szCs w:val="32"/>
      <w:lang w:val="x-none" w:eastAsia="x-none"/>
    </w:rPr>
  </w:style>
  <w:style w:type="paragraph" w:styleId="Nadpis2">
    <w:name w:val="heading 2"/>
    <w:basedOn w:val="Normln"/>
    <w:next w:val="Normln"/>
    <w:link w:val="Nadpis2Char"/>
    <w:qFormat/>
    <w:rsid w:val="000E7465"/>
    <w:pPr>
      <w:keepNext/>
      <w:numPr>
        <w:ilvl w:val="1"/>
        <w:numId w:val="1"/>
      </w:numPr>
      <w:overflowPunct/>
      <w:autoSpaceDE/>
      <w:autoSpaceDN/>
      <w:adjustRightInd/>
      <w:spacing w:before="240" w:after="240" w:line="276" w:lineRule="auto"/>
      <w:jc w:val="both"/>
      <w:textAlignment w:val="auto"/>
      <w:outlineLvl w:val="1"/>
    </w:pPr>
    <w:rPr>
      <w:rFonts w:ascii="Calibri" w:hAnsi="Calibri"/>
      <w:b/>
      <w:bCs/>
      <w:iCs/>
      <w:sz w:val="26"/>
      <w:szCs w:val="28"/>
      <w:lang w:val="x-none" w:eastAsia="x-none"/>
    </w:rPr>
  </w:style>
  <w:style w:type="paragraph" w:styleId="Nadpis3">
    <w:name w:val="heading 3"/>
    <w:basedOn w:val="Normln"/>
    <w:next w:val="Normln"/>
    <w:link w:val="Nadpis3Char"/>
    <w:uiPriority w:val="9"/>
    <w:qFormat/>
    <w:rsid w:val="000E7465"/>
    <w:pPr>
      <w:keepNext/>
      <w:keepLines/>
      <w:numPr>
        <w:ilvl w:val="2"/>
        <w:numId w:val="1"/>
      </w:numPr>
      <w:overflowPunct/>
      <w:autoSpaceDE/>
      <w:autoSpaceDN/>
      <w:adjustRightInd/>
      <w:spacing w:before="240" w:after="240" w:line="276" w:lineRule="auto"/>
      <w:jc w:val="both"/>
      <w:textAlignment w:val="auto"/>
      <w:outlineLvl w:val="2"/>
    </w:pPr>
    <w:rPr>
      <w:rFonts w:ascii="Calibri" w:hAnsi="Calibri"/>
      <w:b/>
      <w:bCs/>
      <w:color w:val="365F91"/>
      <w:sz w:val="24"/>
      <w:lang w:val="x-none" w:eastAsia="x-none"/>
    </w:rPr>
  </w:style>
  <w:style w:type="paragraph" w:styleId="Nadpis4">
    <w:name w:val="heading 4"/>
    <w:basedOn w:val="Normln"/>
    <w:next w:val="Normln"/>
    <w:link w:val="Nadpis4Char"/>
    <w:uiPriority w:val="9"/>
    <w:qFormat/>
    <w:rsid w:val="000E7465"/>
    <w:pPr>
      <w:keepNext/>
      <w:keepLines/>
      <w:numPr>
        <w:ilvl w:val="3"/>
        <w:numId w:val="1"/>
      </w:numPr>
      <w:overflowPunct/>
      <w:autoSpaceDE/>
      <w:autoSpaceDN/>
      <w:adjustRightInd/>
      <w:spacing w:before="360" w:after="120" w:line="276" w:lineRule="auto"/>
      <w:jc w:val="both"/>
      <w:textAlignment w:val="auto"/>
      <w:outlineLvl w:val="3"/>
    </w:pPr>
    <w:rPr>
      <w:rFonts w:ascii="Calibri" w:hAnsi="Calibri"/>
      <w:b/>
      <w:bCs/>
      <w:i/>
      <w:iCs/>
      <w:sz w:val="24"/>
      <w:lang w:val="x-none" w:eastAsia="x-none"/>
    </w:rPr>
  </w:style>
  <w:style w:type="paragraph" w:styleId="Nadpis5">
    <w:name w:val="heading 5"/>
    <w:basedOn w:val="Normln"/>
    <w:next w:val="Normln"/>
    <w:link w:val="Nadpis5Char"/>
    <w:uiPriority w:val="9"/>
    <w:qFormat/>
    <w:rsid w:val="000E7465"/>
    <w:pPr>
      <w:keepNext/>
      <w:keepLines/>
      <w:numPr>
        <w:ilvl w:val="4"/>
        <w:numId w:val="1"/>
      </w:numPr>
      <w:overflowPunct/>
      <w:autoSpaceDE/>
      <w:autoSpaceDN/>
      <w:adjustRightInd/>
      <w:spacing w:before="200" w:after="120" w:line="276" w:lineRule="auto"/>
      <w:jc w:val="both"/>
      <w:textAlignment w:val="auto"/>
      <w:outlineLvl w:val="4"/>
    </w:pPr>
    <w:rPr>
      <w:rFonts w:ascii="Calibri" w:hAnsi="Calibri"/>
      <w:color w:val="365F91"/>
      <w:sz w:val="24"/>
      <w:lang w:val="x-none" w:eastAsia="x-none"/>
    </w:rPr>
  </w:style>
  <w:style w:type="paragraph" w:styleId="Nadpis6">
    <w:name w:val="heading 6"/>
    <w:basedOn w:val="Normln"/>
    <w:next w:val="Normln"/>
    <w:link w:val="Nadpis6Char"/>
    <w:uiPriority w:val="9"/>
    <w:qFormat/>
    <w:rsid w:val="000E7465"/>
    <w:pPr>
      <w:keepNext/>
      <w:keepLines/>
      <w:numPr>
        <w:ilvl w:val="5"/>
        <w:numId w:val="1"/>
      </w:numPr>
      <w:overflowPunct/>
      <w:autoSpaceDE/>
      <w:autoSpaceDN/>
      <w:adjustRightInd/>
      <w:spacing w:before="200" w:line="276" w:lineRule="auto"/>
      <w:jc w:val="both"/>
      <w:textAlignment w:val="auto"/>
      <w:outlineLvl w:val="5"/>
    </w:pPr>
    <w:rPr>
      <w:rFonts w:ascii="Cambria" w:hAnsi="Cambria"/>
      <w:i/>
      <w:iCs/>
      <w:color w:val="243F60"/>
      <w:sz w:val="24"/>
      <w:lang w:val="x-none" w:eastAsia="x-none"/>
    </w:rPr>
  </w:style>
  <w:style w:type="paragraph" w:styleId="Nadpis7">
    <w:name w:val="heading 7"/>
    <w:basedOn w:val="Normln"/>
    <w:next w:val="Normln"/>
    <w:link w:val="Nadpis7Char"/>
    <w:uiPriority w:val="9"/>
    <w:qFormat/>
    <w:rsid w:val="000E7465"/>
    <w:pPr>
      <w:keepNext/>
      <w:keepLines/>
      <w:numPr>
        <w:ilvl w:val="6"/>
        <w:numId w:val="1"/>
      </w:numPr>
      <w:overflowPunct/>
      <w:autoSpaceDE/>
      <w:autoSpaceDN/>
      <w:adjustRightInd/>
      <w:spacing w:before="200" w:line="276" w:lineRule="auto"/>
      <w:jc w:val="both"/>
      <w:textAlignment w:val="auto"/>
      <w:outlineLvl w:val="6"/>
    </w:pPr>
    <w:rPr>
      <w:rFonts w:ascii="Cambria" w:hAnsi="Cambria"/>
      <w:i/>
      <w:iCs/>
      <w:color w:val="404040"/>
      <w:sz w:val="24"/>
      <w:lang w:val="x-none" w:eastAsia="x-none"/>
    </w:rPr>
  </w:style>
  <w:style w:type="paragraph" w:styleId="Nadpis8">
    <w:name w:val="heading 8"/>
    <w:basedOn w:val="Normln"/>
    <w:next w:val="Normln"/>
    <w:link w:val="Nadpis8Char"/>
    <w:uiPriority w:val="9"/>
    <w:qFormat/>
    <w:rsid w:val="000E7465"/>
    <w:pPr>
      <w:keepNext/>
      <w:keepLines/>
      <w:numPr>
        <w:ilvl w:val="7"/>
        <w:numId w:val="1"/>
      </w:numPr>
      <w:overflowPunct/>
      <w:autoSpaceDE/>
      <w:autoSpaceDN/>
      <w:adjustRightInd/>
      <w:spacing w:before="200" w:line="276" w:lineRule="auto"/>
      <w:jc w:val="both"/>
      <w:textAlignment w:val="auto"/>
      <w:outlineLvl w:val="7"/>
    </w:pPr>
    <w:rPr>
      <w:rFonts w:ascii="Cambria" w:hAnsi="Cambria"/>
      <w:color w:val="404040"/>
      <w:lang w:val="x-none" w:eastAsia="x-none"/>
    </w:rPr>
  </w:style>
  <w:style w:type="paragraph" w:styleId="Nadpis9">
    <w:name w:val="heading 9"/>
    <w:basedOn w:val="Normln"/>
    <w:next w:val="Normln"/>
    <w:link w:val="Nadpis9Char"/>
    <w:uiPriority w:val="9"/>
    <w:qFormat/>
    <w:rsid w:val="000E7465"/>
    <w:pPr>
      <w:keepNext/>
      <w:keepLines/>
      <w:numPr>
        <w:ilvl w:val="8"/>
        <w:numId w:val="1"/>
      </w:numPr>
      <w:overflowPunct/>
      <w:autoSpaceDE/>
      <w:autoSpaceDN/>
      <w:adjustRightInd/>
      <w:spacing w:before="200" w:line="276" w:lineRule="auto"/>
      <w:jc w:val="both"/>
      <w:textAlignment w:val="auto"/>
      <w:outlineLvl w:val="8"/>
    </w:pPr>
    <w:rPr>
      <w:rFonts w:ascii="Cambria"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0E7465"/>
    <w:rPr>
      <w:rFonts w:ascii="Calibri" w:hAnsi="Calibri"/>
      <w:b/>
      <w:bCs/>
      <w:smallCaps/>
      <w:kern w:val="32"/>
      <w:sz w:val="28"/>
      <w:szCs w:val="32"/>
      <w:lang w:val="x-none" w:eastAsia="x-none"/>
    </w:rPr>
  </w:style>
  <w:style w:type="character" w:customStyle="1" w:styleId="Nadpis2Char">
    <w:name w:val="Nadpis 2 Char"/>
    <w:basedOn w:val="Standardnpsmoodstavce"/>
    <w:link w:val="Nadpis2"/>
    <w:rsid w:val="000E7465"/>
    <w:rPr>
      <w:rFonts w:ascii="Calibri" w:hAnsi="Calibri"/>
      <w:b/>
      <w:bCs/>
      <w:iCs/>
      <w:sz w:val="26"/>
      <w:szCs w:val="28"/>
      <w:lang w:val="x-none" w:eastAsia="x-none"/>
    </w:rPr>
  </w:style>
  <w:style w:type="character" w:customStyle="1" w:styleId="Nadpis3Char">
    <w:name w:val="Nadpis 3 Char"/>
    <w:basedOn w:val="Standardnpsmoodstavce"/>
    <w:link w:val="Nadpis3"/>
    <w:uiPriority w:val="9"/>
    <w:rsid w:val="000E7465"/>
    <w:rPr>
      <w:rFonts w:ascii="Calibri" w:hAnsi="Calibri"/>
      <w:b/>
      <w:bCs/>
      <w:color w:val="365F91"/>
      <w:sz w:val="24"/>
      <w:lang w:val="x-none" w:eastAsia="x-none"/>
    </w:rPr>
  </w:style>
  <w:style w:type="character" w:customStyle="1" w:styleId="Nadpis4Char">
    <w:name w:val="Nadpis 4 Char"/>
    <w:basedOn w:val="Standardnpsmoodstavce"/>
    <w:link w:val="Nadpis4"/>
    <w:uiPriority w:val="9"/>
    <w:rsid w:val="000E7465"/>
    <w:rPr>
      <w:rFonts w:ascii="Calibri" w:hAnsi="Calibri"/>
      <w:b/>
      <w:bCs/>
      <w:i/>
      <w:iCs/>
      <w:sz w:val="24"/>
      <w:lang w:val="x-none" w:eastAsia="x-none"/>
    </w:rPr>
  </w:style>
  <w:style w:type="character" w:customStyle="1" w:styleId="Nadpis5Char">
    <w:name w:val="Nadpis 5 Char"/>
    <w:basedOn w:val="Standardnpsmoodstavce"/>
    <w:link w:val="Nadpis5"/>
    <w:uiPriority w:val="9"/>
    <w:rsid w:val="000E7465"/>
    <w:rPr>
      <w:rFonts w:ascii="Calibri" w:hAnsi="Calibri"/>
      <w:color w:val="365F91"/>
      <w:sz w:val="24"/>
      <w:lang w:val="x-none" w:eastAsia="x-none"/>
    </w:rPr>
  </w:style>
  <w:style w:type="character" w:customStyle="1" w:styleId="Nadpis6Char">
    <w:name w:val="Nadpis 6 Char"/>
    <w:basedOn w:val="Standardnpsmoodstavce"/>
    <w:link w:val="Nadpis6"/>
    <w:uiPriority w:val="9"/>
    <w:rsid w:val="000E7465"/>
    <w:rPr>
      <w:rFonts w:ascii="Cambria" w:hAnsi="Cambria"/>
      <w:i/>
      <w:iCs/>
      <w:color w:val="243F60"/>
      <w:sz w:val="24"/>
      <w:lang w:val="x-none" w:eastAsia="x-none"/>
    </w:rPr>
  </w:style>
  <w:style w:type="character" w:customStyle="1" w:styleId="Nadpis7Char">
    <w:name w:val="Nadpis 7 Char"/>
    <w:basedOn w:val="Standardnpsmoodstavce"/>
    <w:link w:val="Nadpis7"/>
    <w:uiPriority w:val="9"/>
    <w:rsid w:val="000E7465"/>
    <w:rPr>
      <w:rFonts w:ascii="Cambria" w:hAnsi="Cambria"/>
      <w:i/>
      <w:iCs/>
      <w:color w:val="404040"/>
      <w:sz w:val="24"/>
      <w:lang w:val="x-none" w:eastAsia="x-none"/>
    </w:rPr>
  </w:style>
  <w:style w:type="character" w:customStyle="1" w:styleId="Nadpis8Char">
    <w:name w:val="Nadpis 8 Char"/>
    <w:basedOn w:val="Standardnpsmoodstavce"/>
    <w:link w:val="Nadpis8"/>
    <w:uiPriority w:val="9"/>
    <w:rsid w:val="000E7465"/>
    <w:rPr>
      <w:rFonts w:ascii="Cambria" w:hAnsi="Cambria"/>
      <w:color w:val="404040"/>
      <w:lang w:val="x-none" w:eastAsia="x-none"/>
    </w:rPr>
  </w:style>
  <w:style w:type="character" w:customStyle="1" w:styleId="Nadpis9Char">
    <w:name w:val="Nadpis 9 Char"/>
    <w:basedOn w:val="Standardnpsmoodstavce"/>
    <w:link w:val="Nadpis9"/>
    <w:uiPriority w:val="9"/>
    <w:rsid w:val="000E7465"/>
    <w:rPr>
      <w:rFonts w:ascii="Cambria" w:hAnsi="Cambria"/>
      <w:i/>
      <w:iCs/>
      <w:color w:val="404040"/>
      <w:lang w:val="x-none" w:eastAsia="x-none"/>
    </w:rPr>
  </w:style>
  <w:style w:type="paragraph" w:styleId="Titulek">
    <w:name w:val="caption"/>
    <w:basedOn w:val="Normln"/>
    <w:next w:val="Normln"/>
    <w:qFormat/>
    <w:rsid w:val="000E7465"/>
    <w:pPr>
      <w:spacing w:before="240" w:after="120"/>
      <w:jc w:val="both"/>
    </w:pPr>
    <w:rPr>
      <w:rFonts w:ascii="Calibri" w:hAnsi="Calibri"/>
      <w:b/>
      <w:bCs/>
      <w:color w:val="4F81BD"/>
      <w:sz w:val="24"/>
      <w:szCs w:val="18"/>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
    <w:uiPriority w:val="99"/>
    <w:rsid w:val="000E7465"/>
    <w:rPr>
      <w:vertAlign w:val="superscript"/>
    </w:rPr>
  </w:style>
  <w:style w:type="paragraph" w:customStyle="1" w:styleId="Poznmkapodarou">
    <w:name w:val="Poznámka pod čarou"/>
    <w:basedOn w:val="Normln"/>
    <w:link w:val="PoznmkapodarouChar"/>
    <w:qFormat/>
    <w:rsid w:val="000E7465"/>
    <w:pPr>
      <w:tabs>
        <w:tab w:val="left" w:pos="708"/>
      </w:tabs>
      <w:suppressAutoHyphens/>
      <w:autoSpaceDN/>
      <w:adjustRightInd/>
      <w:spacing w:after="60" w:line="200" w:lineRule="atLeast"/>
      <w:jc w:val="both"/>
    </w:pPr>
    <w:rPr>
      <w:lang w:val="x-none" w:eastAsia="x-none"/>
    </w:rPr>
  </w:style>
  <w:style w:type="paragraph" w:customStyle="1" w:styleId="Standardntext">
    <w:name w:val="Standardní text"/>
    <w:basedOn w:val="Normln"/>
    <w:link w:val="StandardntextChar"/>
    <w:qFormat/>
    <w:rsid w:val="000E7465"/>
    <w:pPr>
      <w:spacing w:after="120"/>
      <w:jc w:val="both"/>
    </w:pPr>
    <w:rPr>
      <w:sz w:val="24"/>
      <w:szCs w:val="24"/>
      <w:lang w:val="x-none" w:eastAsia="x-none"/>
    </w:rPr>
  </w:style>
  <w:style w:type="character" w:customStyle="1" w:styleId="PoznmkapodarouChar">
    <w:name w:val="Poznámka pod čarou Char"/>
    <w:link w:val="Poznmkapodarou"/>
    <w:rsid w:val="000E7465"/>
    <w:rPr>
      <w:lang w:val="x-none" w:eastAsia="x-none"/>
    </w:rPr>
  </w:style>
  <w:style w:type="character" w:customStyle="1" w:styleId="StandardntextChar">
    <w:name w:val="Standardní text Char"/>
    <w:link w:val="Standardntext"/>
    <w:rsid w:val="000E7465"/>
    <w:rPr>
      <w:sz w:val="24"/>
      <w:szCs w:val="24"/>
      <w:lang w:val="x-none" w:eastAsia="x-none"/>
    </w:rPr>
  </w:style>
  <w:style w:type="paragraph" w:customStyle="1" w:styleId="Tabulka">
    <w:name w:val="Tabulka"/>
    <w:basedOn w:val="Normln"/>
    <w:link w:val="TabulkaChar"/>
    <w:qFormat/>
    <w:rsid w:val="000E7465"/>
    <w:pPr>
      <w:overflowPunct/>
      <w:spacing w:before="60" w:after="60"/>
      <w:jc w:val="center"/>
      <w:textAlignment w:val="auto"/>
    </w:pPr>
    <w:rPr>
      <w:sz w:val="22"/>
      <w:szCs w:val="22"/>
      <w:lang w:val="x-none" w:eastAsia="x-none"/>
    </w:rPr>
  </w:style>
  <w:style w:type="character" w:customStyle="1" w:styleId="TabulkaChar">
    <w:name w:val="Tabulka Char"/>
    <w:link w:val="Tabulka"/>
    <w:rsid w:val="000E7465"/>
    <w:rPr>
      <w:sz w:val="22"/>
      <w:szCs w:val="22"/>
      <w:lang w:val="x-none" w:eastAsia="x-none"/>
    </w:rPr>
  </w:style>
  <w:style w:type="table" w:styleId="Stednstnovn2zvraznn1">
    <w:name w:val="Medium Shading 2 Accent 1"/>
    <w:basedOn w:val="Normlntabulka"/>
    <w:uiPriority w:val="64"/>
    <w:rsid w:val="000E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bubliny">
    <w:name w:val="Balloon Text"/>
    <w:basedOn w:val="Normln"/>
    <w:link w:val="TextbublinyChar"/>
    <w:uiPriority w:val="99"/>
    <w:semiHidden/>
    <w:unhideWhenUsed/>
    <w:rsid w:val="000E7465"/>
    <w:rPr>
      <w:rFonts w:ascii="Tahoma" w:hAnsi="Tahoma" w:cs="Tahoma"/>
      <w:sz w:val="16"/>
      <w:szCs w:val="16"/>
    </w:rPr>
  </w:style>
  <w:style w:type="character" w:customStyle="1" w:styleId="TextbublinyChar">
    <w:name w:val="Text bubliny Char"/>
    <w:basedOn w:val="Standardnpsmoodstavce"/>
    <w:link w:val="Textbubliny"/>
    <w:uiPriority w:val="99"/>
    <w:semiHidden/>
    <w:rsid w:val="000E7465"/>
    <w:rPr>
      <w:rFonts w:ascii="Tahoma" w:hAnsi="Tahoma" w:cs="Tahoma"/>
      <w:sz w:val="16"/>
      <w:szCs w:val="16"/>
    </w:rPr>
  </w:style>
  <w:style w:type="paragraph" w:styleId="Zhlav">
    <w:name w:val="header"/>
    <w:basedOn w:val="Normln"/>
    <w:link w:val="ZhlavChar"/>
    <w:uiPriority w:val="99"/>
    <w:unhideWhenUsed/>
    <w:rsid w:val="000E7465"/>
    <w:pPr>
      <w:tabs>
        <w:tab w:val="center" w:pos="4536"/>
        <w:tab w:val="right" w:pos="9072"/>
      </w:tabs>
    </w:pPr>
  </w:style>
  <w:style w:type="character" w:customStyle="1" w:styleId="ZhlavChar">
    <w:name w:val="Záhlaví Char"/>
    <w:basedOn w:val="Standardnpsmoodstavce"/>
    <w:link w:val="Zhlav"/>
    <w:uiPriority w:val="99"/>
    <w:rsid w:val="000E7465"/>
  </w:style>
  <w:style w:type="paragraph" w:styleId="Zpat">
    <w:name w:val="footer"/>
    <w:basedOn w:val="Normln"/>
    <w:link w:val="ZpatChar"/>
    <w:uiPriority w:val="99"/>
    <w:unhideWhenUsed/>
    <w:rsid w:val="000E7465"/>
    <w:pPr>
      <w:tabs>
        <w:tab w:val="center" w:pos="4536"/>
        <w:tab w:val="right" w:pos="9072"/>
      </w:tabs>
    </w:pPr>
  </w:style>
  <w:style w:type="character" w:customStyle="1" w:styleId="ZpatChar">
    <w:name w:val="Zápatí Char"/>
    <w:basedOn w:val="Standardnpsmoodstavce"/>
    <w:link w:val="Zpat"/>
    <w:uiPriority w:val="99"/>
    <w:rsid w:val="000E7465"/>
  </w:style>
  <w:style w:type="character" w:customStyle="1" w:styleId="TextkomenteChar">
    <w:name w:val="Text komentáře Char"/>
    <w:link w:val="Textkomente"/>
    <w:uiPriority w:val="99"/>
    <w:rsid w:val="0086240B"/>
    <w:rPr>
      <w:rFonts w:ascii="Calibri" w:hAnsi="Calibri"/>
    </w:rPr>
  </w:style>
  <w:style w:type="paragraph" w:styleId="Textkomente">
    <w:name w:val="annotation text"/>
    <w:basedOn w:val="Normln"/>
    <w:link w:val="TextkomenteChar"/>
    <w:uiPriority w:val="99"/>
    <w:unhideWhenUsed/>
    <w:rsid w:val="0086240B"/>
    <w:pPr>
      <w:overflowPunct/>
      <w:autoSpaceDE/>
      <w:autoSpaceDN/>
      <w:adjustRightInd/>
      <w:spacing w:before="200" w:after="200"/>
      <w:jc w:val="both"/>
      <w:textAlignment w:val="auto"/>
    </w:pPr>
    <w:rPr>
      <w:rFonts w:ascii="Calibri" w:hAnsi="Calibri"/>
    </w:rPr>
  </w:style>
  <w:style w:type="character" w:customStyle="1" w:styleId="TextkomenteChar1">
    <w:name w:val="Text komentáře Char1"/>
    <w:basedOn w:val="Standardnpsmoodstavce"/>
    <w:uiPriority w:val="99"/>
    <w:semiHidden/>
    <w:rsid w:val="0086240B"/>
  </w:style>
  <w:style w:type="character" w:styleId="Odkaznakoment">
    <w:name w:val="annotation reference"/>
    <w:uiPriority w:val="99"/>
    <w:rsid w:val="0086240B"/>
    <w:rPr>
      <w:sz w:val="16"/>
      <w:szCs w:val="16"/>
    </w:rPr>
  </w:style>
  <w:style w:type="paragraph" w:styleId="Pedmtkomente">
    <w:name w:val="annotation subject"/>
    <w:basedOn w:val="Textkomente"/>
    <w:next w:val="Textkomente"/>
    <w:link w:val="PedmtkomenteChar"/>
    <w:uiPriority w:val="99"/>
    <w:semiHidden/>
    <w:unhideWhenUsed/>
    <w:rsid w:val="005F3191"/>
    <w:pPr>
      <w:overflowPunct w:val="0"/>
      <w:autoSpaceDE w:val="0"/>
      <w:autoSpaceDN w:val="0"/>
      <w:adjustRightInd w:val="0"/>
      <w:spacing w:before="0" w:after="0"/>
      <w:jc w:val="left"/>
      <w:textAlignment w:val="baseline"/>
    </w:pPr>
    <w:rPr>
      <w:rFonts w:ascii="Times New Roman" w:hAnsi="Times New Roman"/>
      <w:b/>
      <w:bCs/>
    </w:rPr>
  </w:style>
  <w:style w:type="character" w:customStyle="1" w:styleId="PedmtkomenteChar">
    <w:name w:val="Předmět komentáře Char"/>
    <w:basedOn w:val="TextkomenteChar"/>
    <w:link w:val="Pedmtkomente"/>
    <w:uiPriority w:val="99"/>
    <w:semiHidden/>
    <w:rsid w:val="005F3191"/>
    <w:rPr>
      <w:rFonts w:ascii="Calibri" w:hAnsi="Calibri"/>
      <w:b/>
      <w:bCs/>
    </w:rPr>
  </w:style>
  <w:style w:type="paragraph" w:styleId="Obsah2">
    <w:name w:val="toc 2"/>
    <w:basedOn w:val="Normln"/>
    <w:next w:val="Normln"/>
    <w:autoRedefine/>
    <w:uiPriority w:val="39"/>
    <w:unhideWhenUsed/>
    <w:rsid w:val="00A567D7"/>
    <w:pPr>
      <w:tabs>
        <w:tab w:val="right" w:leader="dot" w:pos="9072"/>
      </w:tabs>
      <w:overflowPunct/>
      <w:autoSpaceDE/>
      <w:autoSpaceDN/>
      <w:adjustRightInd/>
      <w:spacing w:after="100" w:line="276" w:lineRule="auto"/>
      <w:ind w:left="220"/>
      <w:jc w:val="both"/>
      <w:textAlignment w:val="auto"/>
    </w:pPr>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A567D7"/>
    <w:pPr>
      <w:ind w:left="720"/>
      <w:contextualSpacing/>
    </w:p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rsid w:val="007C2464"/>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7C2464"/>
  </w:style>
  <w:style w:type="character" w:styleId="Hypertextovodkaz">
    <w:name w:val="Hyperlink"/>
    <w:basedOn w:val="Standardnpsmoodstavce"/>
    <w:uiPriority w:val="99"/>
    <w:semiHidden/>
    <w:unhideWhenUsed/>
    <w:rsid w:val="0070052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7465"/>
    <w:pPr>
      <w:overflowPunct w:val="0"/>
      <w:autoSpaceDE w:val="0"/>
      <w:autoSpaceDN w:val="0"/>
      <w:adjustRightInd w:val="0"/>
      <w:textAlignment w:val="baseline"/>
    </w:p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0E7465"/>
    <w:pPr>
      <w:keepNext/>
      <w:pageBreakBefore/>
      <w:numPr>
        <w:numId w:val="1"/>
      </w:numPr>
      <w:overflowPunct/>
      <w:autoSpaceDE/>
      <w:autoSpaceDN/>
      <w:adjustRightInd/>
      <w:spacing w:before="120" w:after="240" w:line="276" w:lineRule="auto"/>
      <w:ind w:left="432"/>
      <w:jc w:val="both"/>
      <w:textAlignment w:val="auto"/>
      <w:outlineLvl w:val="0"/>
    </w:pPr>
    <w:rPr>
      <w:rFonts w:ascii="Calibri" w:hAnsi="Calibri"/>
      <w:b/>
      <w:bCs/>
      <w:smallCaps/>
      <w:kern w:val="32"/>
      <w:sz w:val="28"/>
      <w:szCs w:val="32"/>
      <w:lang w:val="x-none" w:eastAsia="x-none"/>
    </w:rPr>
  </w:style>
  <w:style w:type="paragraph" w:styleId="Nadpis2">
    <w:name w:val="heading 2"/>
    <w:basedOn w:val="Normln"/>
    <w:next w:val="Normln"/>
    <w:link w:val="Nadpis2Char"/>
    <w:qFormat/>
    <w:rsid w:val="000E7465"/>
    <w:pPr>
      <w:keepNext/>
      <w:numPr>
        <w:ilvl w:val="1"/>
        <w:numId w:val="1"/>
      </w:numPr>
      <w:overflowPunct/>
      <w:autoSpaceDE/>
      <w:autoSpaceDN/>
      <w:adjustRightInd/>
      <w:spacing w:before="240" w:after="240" w:line="276" w:lineRule="auto"/>
      <w:jc w:val="both"/>
      <w:textAlignment w:val="auto"/>
      <w:outlineLvl w:val="1"/>
    </w:pPr>
    <w:rPr>
      <w:rFonts w:ascii="Calibri" w:hAnsi="Calibri"/>
      <w:b/>
      <w:bCs/>
      <w:iCs/>
      <w:sz w:val="26"/>
      <w:szCs w:val="28"/>
      <w:lang w:val="x-none" w:eastAsia="x-none"/>
    </w:rPr>
  </w:style>
  <w:style w:type="paragraph" w:styleId="Nadpis3">
    <w:name w:val="heading 3"/>
    <w:basedOn w:val="Normln"/>
    <w:next w:val="Normln"/>
    <w:link w:val="Nadpis3Char"/>
    <w:uiPriority w:val="9"/>
    <w:qFormat/>
    <w:rsid w:val="000E7465"/>
    <w:pPr>
      <w:keepNext/>
      <w:keepLines/>
      <w:numPr>
        <w:ilvl w:val="2"/>
        <w:numId w:val="1"/>
      </w:numPr>
      <w:overflowPunct/>
      <w:autoSpaceDE/>
      <w:autoSpaceDN/>
      <w:adjustRightInd/>
      <w:spacing w:before="240" w:after="240" w:line="276" w:lineRule="auto"/>
      <w:jc w:val="both"/>
      <w:textAlignment w:val="auto"/>
      <w:outlineLvl w:val="2"/>
    </w:pPr>
    <w:rPr>
      <w:rFonts w:ascii="Calibri" w:hAnsi="Calibri"/>
      <w:b/>
      <w:bCs/>
      <w:color w:val="365F91"/>
      <w:sz w:val="24"/>
      <w:lang w:val="x-none" w:eastAsia="x-none"/>
    </w:rPr>
  </w:style>
  <w:style w:type="paragraph" w:styleId="Nadpis4">
    <w:name w:val="heading 4"/>
    <w:basedOn w:val="Normln"/>
    <w:next w:val="Normln"/>
    <w:link w:val="Nadpis4Char"/>
    <w:uiPriority w:val="9"/>
    <w:qFormat/>
    <w:rsid w:val="000E7465"/>
    <w:pPr>
      <w:keepNext/>
      <w:keepLines/>
      <w:numPr>
        <w:ilvl w:val="3"/>
        <w:numId w:val="1"/>
      </w:numPr>
      <w:overflowPunct/>
      <w:autoSpaceDE/>
      <w:autoSpaceDN/>
      <w:adjustRightInd/>
      <w:spacing w:before="360" w:after="120" w:line="276" w:lineRule="auto"/>
      <w:jc w:val="both"/>
      <w:textAlignment w:val="auto"/>
      <w:outlineLvl w:val="3"/>
    </w:pPr>
    <w:rPr>
      <w:rFonts w:ascii="Calibri" w:hAnsi="Calibri"/>
      <w:b/>
      <w:bCs/>
      <w:i/>
      <w:iCs/>
      <w:sz w:val="24"/>
      <w:lang w:val="x-none" w:eastAsia="x-none"/>
    </w:rPr>
  </w:style>
  <w:style w:type="paragraph" w:styleId="Nadpis5">
    <w:name w:val="heading 5"/>
    <w:basedOn w:val="Normln"/>
    <w:next w:val="Normln"/>
    <w:link w:val="Nadpis5Char"/>
    <w:uiPriority w:val="9"/>
    <w:qFormat/>
    <w:rsid w:val="000E7465"/>
    <w:pPr>
      <w:keepNext/>
      <w:keepLines/>
      <w:numPr>
        <w:ilvl w:val="4"/>
        <w:numId w:val="1"/>
      </w:numPr>
      <w:overflowPunct/>
      <w:autoSpaceDE/>
      <w:autoSpaceDN/>
      <w:adjustRightInd/>
      <w:spacing w:before="200" w:after="120" w:line="276" w:lineRule="auto"/>
      <w:jc w:val="both"/>
      <w:textAlignment w:val="auto"/>
      <w:outlineLvl w:val="4"/>
    </w:pPr>
    <w:rPr>
      <w:rFonts w:ascii="Calibri" w:hAnsi="Calibri"/>
      <w:color w:val="365F91"/>
      <w:sz w:val="24"/>
      <w:lang w:val="x-none" w:eastAsia="x-none"/>
    </w:rPr>
  </w:style>
  <w:style w:type="paragraph" w:styleId="Nadpis6">
    <w:name w:val="heading 6"/>
    <w:basedOn w:val="Normln"/>
    <w:next w:val="Normln"/>
    <w:link w:val="Nadpis6Char"/>
    <w:uiPriority w:val="9"/>
    <w:qFormat/>
    <w:rsid w:val="000E7465"/>
    <w:pPr>
      <w:keepNext/>
      <w:keepLines/>
      <w:numPr>
        <w:ilvl w:val="5"/>
        <w:numId w:val="1"/>
      </w:numPr>
      <w:overflowPunct/>
      <w:autoSpaceDE/>
      <w:autoSpaceDN/>
      <w:adjustRightInd/>
      <w:spacing w:before="200" w:line="276" w:lineRule="auto"/>
      <w:jc w:val="both"/>
      <w:textAlignment w:val="auto"/>
      <w:outlineLvl w:val="5"/>
    </w:pPr>
    <w:rPr>
      <w:rFonts w:ascii="Cambria" w:hAnsi="Cambria"/>
      <w:i/>
      <w:iCs/>
      <w:color w:val="243F60"/>
      <w:sz w:val="24"/>
      <w:lang w:val="x-none" w:eastAsia="x-none"/>
    </w:rPr>
  </w:style>
  <w:style w:type="paragraph" w:styleId="Nadpis7">
    <w:name w:val="heading 7"/>
    <w:basedOn w:val="Normln"/>
    <w:next w:val="Normln"/>
    <w:link w:val="Nadpis7Char"/>
    <w:uiPriority w:val="9"/>
    <w:qFormat/>
    <w:rsid w:val="000E7465"/>
    <w:pPr>
      <w:keepNext/>
      <w:keepLines/>
      <w:numPr>
        <w:ilvl w:val="6"/>
        <w:numId w:val="1"/>
      </w:numPr>
      <w:overflowPunct/>
      <w:autoSpaceDE/>
      <w:autoSpaceDN/>
      <w:adjustRightInd/>
      <w:spacing w:before="200" w:line="276" w:lineRule="auto"/>
      <w:jc w:val="both"/>
      <w:textAlignment w:val="auto"/>
      <w:outlineLvl w:val="6"/>
    </w:pPr>
    <w:rPr>
      <w:rFonts w:ascii="Cambria" w:hAnsi="Cambria"/>
      <w:i/>
      <w:iCs/>
      <w:color w:val="404040"/>
      <w:sz w:val="24"/>
      <w:lang w:val="x-none" w:eastAsia="x-none"/>
    </w:rPr>
  </w:style>
  <w:style w:type="paragraph" w:styleId="Nadpis8">
    <w:name w:val="heading 8"/>
    <w:basedOn w:val="Normln"/>
    <w:next w:val="Normln"/>
    <w:link w:val="Nadpis8Char"/>
    <w:uiPriority w:val="9"/>
    <w:qFormat/>
    <w:rsid w:val="000E7465"/>
    <w:pPr>
      <w:keepNext/>
      <w:keepLines/>
      <w:numPr>
        <w:ilvl w:val="7"/>
        <w:numId w:val="1"/>
      </w:numPr>
      <w:overflowPunct/>
      <w:autoSpaceDE/>
      <w:autoSpaceDN/>
      <w:adjustRightInd/>
      <w:spacing w:before="200" w:line="276" w:lineRule="auto"/>
      <w:jc w:val="both"/>
      <w:textAlignment w:val="auto"/>
      <w:outlineLvl w:val="7"/>
    </w:pPr>
    <w:rPr>
      <w:rFonts w:ascii="Cambria" w:hAnsi="Cambria"/>
      <w:color w:val="404040"/>
      <w:lang w:val="x-none" w:eastAsia="x-none"/>
    </w:rPr>
  </w:style>
  <w:style w:type="paragraph" w:styleId="Nadpis9">
    <w:name w:val="heading 9"/>
    <w:basedOn w:val="Normln"/>
    <w:next w:val="Normln"/>
    <w:link w:val="Nadpis9Char"/>
    <w:uiPriority w:val="9"/>
    <w:qFormat/>
    <w:rsid w:val="000E7465"/>
    <w:pPr>
      <w:keepNext/>
      <w:keepLines/>
      <w:numPr>
        <w:ilvl w:val="8"/>
        <w:numId w:val="1"/>
      </w:numPr>
      <w:overflowPunct/>
      <w:autoSpaceDE/>
      <w:autoSpaceDN/>
      <w:adjustRightInd/>
      <w:spacing w:before="200" w:line="276" w:lineRule="auto"/>
      <w:jc w:val="both"/>
      <w:textAlignment w:val="auto"/>
      <w:outlineLvl w:val="8"/>
    </w:pPr>
    <w:rPr>
      <w:rFonts w:ascii="Cambria"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0E7465"/>
    <w:rPr>
      <w:rFonts w:ascii="Calibri" w:hAnsi="Calibri"/>
      <w:b/>
      <w:bCs/>
      <w:smallCaps/>
      <w:kern w:val="32"/>
      <w:sz w:val="28"/>
      <w:szCs w:val="32"/>
      <w:lang w:val="x-none" w:eastAsia="x-none"/>
    </w:rPr>
  </w:style>
  <w:style w:type="character" w:customStyle="1" w:styleId="Nadpis2Char">
    <w:name w:val="Nadpis 2 Char"/>
    <w:basedOn w:val="Standardnpsmoodstavce"/>
    <w:link w:val="Nadpis2"/>
    <w:rsid w:val="000E7465"/>
    <w:rPr>
      <w:rFonts w:ascii="Calibri" w:hAnsi="Calibri"/>
      <w:b/>
      <w:bCs/>
      <w:iCs/>
      <w:sz w:val="26"/>
      <w:szCs w:val="28"/>
      <w:lang w:val="x-none" w:eastAsia="x-none"/>
    </w:rPr>
  </w:style>
  <w:style w:type="character" w:customStyle="1" w:styleId="Nadpis3Char">
    <w:name w:val="Nadpis 3 Char"/>
    <w:basedOn w:val="Standardnpsmoodstavce"/>
    <w:link w:val="Nadpis3"/>
    <w:uiPriority w:val="9"/>
    <w:rsid w:val="000E7465"/>
    <w:rPr>
      <w:rFonts w:ascii="Calibri" w:hAnsi="Calibri"/>
      <w:b/>
      <w:bCs/>
      <w:color w:val="365F91"/>
      <w:sz w:val="24"/>
      <w:lang w:val="x-none" w:eastAsia="x-none"/>
    </w:rPr>
  </w:style>
  <w:style w:type="character" w:customStyle="1" w:styleId="Nadpis4Char">
    <w:name w:val="Nadpis 4 Char"/>
    <w:basedOn w:val="Standardnpsmoodstavce"/>
    <w:link w:val="Nadpis4"/>
    <w:uiPriority w:val="9"/>
    <w:rsid w:val="000E7465"/>
    <w:rPr>
      <w:rFonts w:ascii="Calibri" w:hAnsi="Calibri"/>
      <w:b/>
      <w:bCs/>
      <w:i/>
      <w:iCs/>
      <w:sz w:val="24"/>
      <w:lang w:val="x-none" w:eastAsia="x-none"/>
    </w:rPr>
  </w:style>
  <w:style w:type="character" w:customStyle="1" w:styleId="Nadpis5Char">
    <w:name w:val="Nadpis 5 Char"/>
    <w:basedOn w:val="Standardnpsmoodstavce"/>
    <w:link w:val="Nadpis5"/>
    <w:uiPriority w:val="9"/>
    <w:rsid w:val="000E7465"/>
    <w:rPr>
      <w:rFonts w:ascii="Calibri" w:hAnsi="Calibri"/>
      <w:color w:val="365F91"/>
      <w:sz w:val="24"/>
      <w:lang w:val="x-none" w:eastAsia="x-none"/>
    </w:rPr>
  </w:style>
  <w:style w:type="character" w:customStyle="1" w:styleId="Nadpis6Char">
    <w:name w:val="Nadpis 6 Char"/>
    <w:basedOn w:val="Standardnpsmoodstavce"/>
    <w:link w:val="Nadpis6"/>
    <w:uiPriority w:val="9"/>
    <w:rsid w:val="000E7465"/>
    <w:rPr>
      <w:rFonts w:ascii="Cambria" w:hAnsi="Cambria"/>
      <w:i/>
      <w:iCs/>
      <w:color w:val="243F60"/>
      <w:sz w:val="24"/>
      <w:lang w:val="x-none" w:eastAsia="x-none"/>
    </w:rPr>
  </w:style>
  <w:style w:type="character" w:customStyle="1" w:styleId="Nadpis7Char">
    <w:name w:val="Nadpis 7 Char"/>
    <w:basedOn w:val="Standardnpsmoodstavce"/>
    <w:link w:val="Nadpis7"/>
    <w:uiPriority w:val="9"/>
    <w:rsid w:val="000E7465"/>
    <w:rPr>
      <w:rFonts w:ascii="Cambria" w:hAnsi="Cambria"/>
      <w:i/>
      <w:iCs/>
      <w:color w:val="404040"/>
      <w:sz w:val="24"/>
      <w:lang w:val="x-none" w:eastAsia="x-none"/>
    </w:rPr>
  </w:style>
  <w:style w:type="character" w:customStyle="1" w:styleId="Nadpis8Char">
    <w:name w:val="Nadpis 8 Char"/>
    <w:basedOn w:val="Standardnpsmoodstavce"/>
    <w:link w:val="Nadpis8"/>
    <w:uiPriority w:val="9"/>
    <w:rsid w:val="000E7465"/>
    <w:rPr>
      <w:rFonts w:ascii="Cambria" w:hAnsi="Cambria"/>
      <w:color w:val="404040"/>
      <w:lang w:val="x-none" w:eastAsia="x-none"/>
    </w:rPr>
  </w:style>
  <w:style w:type="character" w:customStyle="1" w:styleId="Nadpis9Char">
    <w:name w:val="Nadpis 9 Char"/>
    <w:basedOn w:val="Standardnpsmoodstavce"/>
    <w:link w:val="Nadpis9"/>
    <w:uiPriority w:val="9"/>
    <w:rsid w:val="000E7465"/>
    <w:rPr>
      <w:rFonts w:ascii="Cambria" w:hAnsi="Cambria"/>
      <w:i/>
      <w:iCs/>
      <w:color w:val="404040"/>
      <w:lang w:val="x-none" w:eastAsia="x-none"/>
    </w:rPr>
  </w:style>
  <w:style w:type="paragraph" w:styleId="Titulek">
    <w:name w:val="caption"/>
    <w:basedOn w:val="Normln"/>
    <w:next w:val="Normln"/>
    <w:qFormat/>
    <w:rsid w:val="000E7465"/>
    <w:pPr>
      <w:spacing w:before="240" w:after="120"/>
      <w:jc w:val="both"/>
    </w:pPr>
    <w:rPr>
      <w:rFonts w:ascii="Calibri" w:hAnsi="Calibri"/>
      <w:b/>
      <w:bCs/>
      <w:color w:val="4F81BD"/>
      <w:sz w:val="24"/>
      <w:szCs w:val="18"/>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
    <w:uiPriority w:val="99"/>
    <w:rsid w:val="000E7465"/>
    <w:rPr>
      <w:vertAlign w:val="superscript"/>
    </w:rPr>
  </w:style>
  <w:style w:type="paragraph" w:customStyle="1" w:styleId="Poznmkapodarou">
    <w:name w:val="Poznámka pod čarou"/>
    <w:basedOn w:val="Normln"/>
    <w:link w:val="PoznmkapodarouChar"/>
    <w:qFormat/>
    <w:rsid w:val="000E7465"/>
    <w:pPr>
      <w:tabs>
        <w:tab w:val="left" w:pos="708"/>
      </w:tabs>
      <w:suppressAutoHyphens/>
      <w:autoSpaceDN/>
      <w:adjustRightInd/>
      <w:spacing w:after="60" w:line="200" w:lineRule="atLeast"/>
      <w:jc w:val="both"/>
    </w:pPr>
    <w:rPr>
      <w:lang w:val="x-none" w:eastAsia="x-none"/>
    </w:rPr>
  </w:style>
  <w:style w:type="paragraph" w:customStyle="1" w:styleId="Standardntext">
    <w:name w:val="Standardní text"/>
    <w:basedOn w:val="Normln"/>
    <w:link w:val="StandardntextChar"/>
    <w:qFormat/>
    <w:rsid w:val="000E7465"/>
    <w:pPr>
      <w:spacing w:after="120"/>
      <w:jc w:val="both"/>
    </w:pPr>
    <w:rPr>
      <w:sz w:val="24"/>
      <w:szCs w:val="24"/>
      <w:lang w:val="x-none" w:eastAsia="x-none"/>
    </w:rPr>
  </w:style>
  <w:style w:type="character" w:customStyle="1" w:styleId="PoznmkapodarouChar">
    <w:name w:val="Poznámka pod čarou Char"/>
    <w:link w:val="Poznmkapodarou"/>
    <w:rsid w:val="000E7465"/>
    <w:rPr>
      <w:lang w:val="x-none" w:eastAsia="x-none"/>
    </w:rPr>
  </w:style>
  <w:style w:type="character" w:customStyle="1" w:styleId="StandardntextChar">
    <w:name w:val="Standardní text Char"/>
    <w:link w:val="Standardntext"/>
    <w:rsid w:val="000E7465"/>
    <w:rPr>
      <w:sz w:val="24"/>
      <w:szCs w:val="24"/>
      <w:lang w:val="x-none" w:eastAsia="x-none"/>
    </w:rPr>
  </w:style>
  <w:style w:type="paragraph" w:customStyle="1" w:styleId="Tabulka">
    <w:name w:val="Tabulka"/>
    <w:basedOn w:val="Normln"/>
    <w:link w:val="TabulkaChar"/>
    <w:qFormat/>
    <w:rsid w:val="000E7465"/>
    <w:pPr>
      <w:overflowPunct/>
      <w:spacing w:before="60" w:after="60"/>
      <w:jc w:val="center"/>
      <w:textAlignment w:val="auto"/>
    </w:pPr>
    <w:rPr>
      <w:sz w:val="22"/>
      <w:szCs w:val="22"/>
      <w:lang w:val="x-none" w:eastAsia="x-none"/>
    </w:rPr>
  </w:style>
  <w:style w:type="character" w:customStyle="1" w:styleId="TabulkaChar">
    <w:name w:val="Tabulka Char"/>
    <w:link w:val="Tabulka"/>
    <w:rsid w:val="000E7465"/>
    <w:rPr>
      <w:sz w:val="22"/>
      <w:szCs w:val="22"/>
      <w:lang w:val="x-none" w:eastAsia="x-none"/>
    </w:rPr>
  </w:style>
  <w:style w:type="table" w:styleId="Stednstnovn2zvraznn1">
    <w:name w:val="Medium Shading 2 Accent 1"/>
    <w:basedOn w:val="Normlntabulka"/>
    <w:uiPriority w:val="64"/>
    <w:rsid w:val="000E746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bubliny">
    <w:name w:val="Balloon Text"/>
    <w:basedOn w:val="Normln"/>
    <w:link w:val="TextbublinyChar"/>
    <w:uiPriority w:val="99"/>
    <w:semiHidden/>
    <w:unhideWhenUsed/>
    <w:rsid w:val="000E7465"/>
    <w:rPr>
      <w:rFonts w:ascii="Tahoma" w:hAnsi="Tahoma" w:cs="Tahoma"/>
      <w:sz w:val="16"/>
      <w:szCs w:val="16"/>
    </w:rPr>
  </w:style>
  <w:style w:type="character" w:customStyle="1" w:styleId="TextbublinyChar">
    <w:name w:val="Text bubliny Char"/>
    <w:basedOn w:val="Standardnpsmoodstavce"/>
    <w:link w:val="Textbubliny"/>
    <w:uiPriority w:val="99"/>
    <w:semiHidden/>
    <w:rsid w:val="000E7465"/>
    <w:rPr>
      <w:rFonts w:ascii="Tahoma" w:hAnsi="Tahoma" w:cs="Tahoma"/>
      <w:sz w:val="16"/>
      <w:szCs w:val="16"/>
    </w:rPr>
  </w:style>
  <w:style w:type="paragraph" w:styleId="Zhlav">
    <w:name w:val="header"/>
    <w:basedOn w:val="Normln"/>
    <w:link w:val="ZhlavChar"/>
    <w:uiPriority w:val="99"/>
    <w:unhideWhenUsed/>
    <w:rsid w:val="000E7465"/>
    <w:pPr>
      <w:tabs>
        <w:tab w:val="center" w:pos="4536"/>
        <w:tab w:val="right" w:pos="9072"/>
      </w:tabs>
    </w:pPr>
  </w:style>
  <w:style w:type="character" w:customStyle="1" w:styleId="ZhlavChar">
    <w:name w:val="Záhlaví Char"/>
    <w:basedOn w:val="Standardnpsmoodstavce"/>
    <w:link w:val="Zhlav"/>
    <w:uiPriority w:val="99"/>
    <w:rsid w:val="000E7465"/>
  </w:style>
  <w:style w:type="paragraph" w:styleId="Zpat">
    <w:name w:val="footer"/>
    <w:basedOn w:val="Normln"/>
    <w:link w:val="ZpatChar"/>
    <w:uiPriority w:val="99"/>
    <w:unhideWhenUsed/>
    <w:rsid w:val="000E7465"/>
    <w:pPr>
      <w:tabs>
        <w:tab w:val="center" w:pos="4536"/>
        <w:tab w:val="right" w:pos="9072"/>
      </w:tabs>
    </w:pPr>
  </w:style>
  <w:style w:type="character" w:customStyle="1" w:styleId="ZpatChar">
    <w:name w:val="Zápatí Char"/>
    <w:basedOn w:val="Standardnpsmoodstavce"/>
    <w:link w:val="Zpat"/>
    <w:uiPriority w:val="99"/>
    <w:rsid w:val="000E7465"/>
  </w:style>
  <w:style w:type="character" w:customStyle="1" w:styleId="TextkomenteChar">
    <w:name w:val="Text komentáře Char"/>
    <w:link w:val="Textkomente"/>
    <w:uiPriority w:val="99"/>
    <w:rsid w:val="0086240B"/>
    <w:rPr>
      <w:rFonts w:ascii="Calibri" w:hAnsi="Calibri"/>
    </w:rPr>
  </w:style>
  <w:style w:type="paragraph" w:styleId="Textkomente">
    <w:name w:val="annotation text"/>
    <w:basedOn w:val="Normln"/>
    <w:link w:val="TextkomenteChar"/>
    <w:uiPriority w:val="99"/>
    <w:unhideWhenUsed/>
    <w:rsid w:val="0086240B"/>
    <w:pPr>
      <w:overflowPunct/>
      <w:autoSpaceDE/>
      <w:autoSpaceDN/>
      <w:adjustRightInd/>
      <w:spacing w:before="200" w:after="200"/>
      <w:jc w:val="both"/>
      <w:textAlignment w:val="auto"/>
    </w:pPr>
    <w:rPr>
      <w:rFonts w:ascii="Calibri" w:hAnsi="Calibri"/>
    </w:rPr>
  </w:style>
  <w:style w:type="character" w:customStyle="1" w:styleId="TextkomenteChar1">
    <w:name w:val="Text komentáře Char1"/>
    <w:basedOn w:val="Standardnpsmoodstavce"/>
    <w:uiPriority w:val="99"/>
    <w:semiHidden/>
    <w:rsid w:val="0086240B"/>
  </w:style>
  <w:style w:type="character" w:styleId="Odkaznakoment">
    <w:name w:val="annotation reference"/>
    <w:uiPriority w:val="99"/>
    <w:rsid w:val="0086240B"/>
    <w:rPr>
      <w:sz w:val="16"/>
      <w:szCs w:val="16"/>
    </w:rPr>
  </w:style>
  <w:style w:type="paragraph" w:styleId="Pedmtkomente">
    <w:name w:val="annotation subject"/>
    <w:basedOn w:val="Textkomente"/>
    <w:next w:val="Textkomente"/>
    <w:link w:val="PedmtkomenteChar"/>
    <w:uiPriority w:val="99"/>
    <w:semiHidden/>
    <w:unhideWhenUsed/>
    <w:rsid w:val="005F3191"/>
    <w:pPr>
      <w:overflowPunct w:val="0"/>
      <w:autoSpaceDE w:val="0"/>
      <w:autoSpaceDN w:val="0"/>
      <w:adjustRightInd w:val="0"/>
      <w:spacing w:before="0" w:after="0"/>
      <w:jc w:val="left"/>
      <w:textAlignment w:val="baseline"/>
    </w:pPr>
    <w:rPr>
      <w:rFonts w:ascii="Times New Roman" w:hAnsi="Times New Roman"/>
      <w:b/>
      <w:bCs/>
    </w:rPr>
  </w:style>
  <w:style w:type="character" w:customStyle="1" w:styleId="PedmtkomenteChar">
    <w:name w:val="Předmět komentáře Char"/>
    <w:basedOn w:val="TextkomenteChar"/>
    <w:link w:val="Pedmtkomente"/>
    <w:uiPriority w:val="99"/>
    <w:semiHidden/>
    <w:rsid w:val="005F3191"/>
    <w:rPr>
      <w:rFonts w:ascii="Calibri" w:hAnsi="Calibri"/>
      <w:b/>
      <w:bCs/>
    </w:rPr>
  </w:style>
  <w:style w:type="paragraph" w:styleId="Obsah2">
    <w:name w:val="toc 2"/>
    <w:basedOn w:val="Normln"/>
    <w:next w:val="Normln"/>
    <w:autoRedefine/>
    <w:uiPriority w:val="39"/>
    <w:unhideWhenUsed/>
    <w:rsid w:val="00A567D7"/>
    <w:pPr>
      <w:tabs>
        <w:tab w:val="right" w:leader="dot" w:pos="9072"/>
      </w:tabs>
      <w:overflowPunct/>
      <w:autoSpaceDE/>
      <w:autoSpaceDN/>
      <w:adjustRightInd/>
      <w:spacing w:after="100" w:line="276" w:lineRule="auto"/>
      <w:ind w:left="220"/>
      <w:jc w:val="both"/>
      <w:textAlignment w:val="auto"/>
    </w:pPr>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A567D7"/>
    <w:pPr>
      <w:ind w:left="720"/>
      <w:contextualSpacing/>
    </w:p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rsid w:val="007C2464"/>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7C2464"/>
  </w:style>
  <w:style w:type="character" w:styleId="Hypertextovodkaz">
    <w:name w:val="Hyperlink"/>
    <w:basedOn w:val="Standardnpsmoodstavce"/>
    <w:uiPriority w:val="99"/>
    <w:semiHidden/>
    <w:unhideWhenUsed/>
    <w:rsid w:val="007005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06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nergy/efficiency/eed/article7_en.htm" TargetMode="External"/><Relationship Id="rId5" Type="http://schemas.openxmlformats.org/officeDocument/2006/relationships/settings" Target="settings.xml"/><Relationship Id="rId10" Type="http://schemas.openxmlformats.org/officeDocument/2006/relationships/hyperlink" Target="http://ec.europa.eu/energy/efficiency/eed/neep_en.htm"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036C3-F1E0-483B-898F-F05C6E157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124935FE.dotm</Template>
  <TotalTime>307</TotalTime>
  <Pages>17</Pages>
  <Words>6846</Words>
  <Characters>44665</Characters>
  <Application>Microsoft Office Word</Application>
  <DocSecurity>0</DocSecurity>
  <Lines>372</Lines>
  <Paragraphs>102</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51409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Ptáčník</dc:creator>
  <cp:lastModifiedBy>Martin Ptáčník</cp:lastModifiedBy>
  <cp:revision>37</cp:revision>
  <dcterms:created xsi:type="dcterms:W3CDTF">2014-06-30T07:51:00Z</dcterms:created>
  <dcterms:modified xsi:type="dcterms:W3CDTF">2014-11-14T06:41:00Z</dcterms:modified>
</cp:coreProperties>
</file>