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711" w:rsidRPr="00BF6711" w:rsidRDefault="00A14B83" w:rsidP="00A060C0">
      <w:pPr>
        <w:jc w:val="center"/>
        <w:rPr>
          <w:b/>
          <w:sz w:val="24"/>
        </w:rPr>
      </w:pPr>
      <w:r>
        <w:rPr>
          <w:b/>
          <w:sz w:val="24"/>
        </w:rPr>
        <w:t xml:space="preserve">Informace </w:t>
      </w:r>
      <w:r w:rsidR="00CB534A">
        <w:rPr>
          <w:b/>
          <w:sz w:val="24"/>
        </w:rPr>
        <w:t xml:space="preserve">Řídícího orgánu OP PIK </w:t>
      </w:r>
      <w:r>
        <w:rPr>
          <w:b/>
          <w:sz w:val="24"/>
        </w:rPr>
        <w:t xml:space="preserve">k procesu </w:t>
      </w:r>
      <w:r w:rsidRPr="00A14B83">
        <w:rPr>
          <w:b/>
          <w:sz w:val="24"/>
        </w:rPr>
        <w:t>posuzování vlivů</w:t>
      </w:r>
      <w:r>
        <w:rPr>
          <w:b/>
          <w:sz w:val="24"/>
        </w:rPr>
        <w:t xml:space="preserve"> </w:t>
      </w:r>
      <w:r w:rsidR="00CB534A">
        <w:rPr>
          <w:b/>
          <w:sz w:val="24"/>
        </w:rPr>
        <w:t xml:space="preserve">operačního programu </w:t>
      </w:r>
      <w:r w:rsidRPr="00A14B83">
        <w:rPr>
          <w:b/>
          <w:sz w:val="24"/>
        </w:rPr>
        <w:t>na životní prostředí</w:t>
      </w:r>
    </w:p>
    <w:p w:rsidR="00BF6711" w:rsidRDefault="00BF6711">
      <w:pPr>
        <w:jc w:val="both"/>
        <w:rPr>
          <w:sz w:val="24"/>
        </w:rPr>
      </w:pPr>
    </w:p>
    <w:p w:rsidR="00BF6711" w:rsidRPr="00A060C0" w:rsidRDefault="00BF6711">
      <w:pPr>
        <w:jc w:val="both"/>
        <w:rPr>
          <w:i/>
          <w:sz w:val="24"/>
        </w:rPr>
      </w:pPr>
      <w:r w:rsidRPr="00A060C0">
        <w:rPr>
          <w:i/>
          <w:sz w:val="24"/>
        </w:rPr>
        <w:t xml:space="preserve">Níže jsou obsaženy informace z hlediska </w:t>
      </w:r>
      <w:r w:rsidR="00EF67BF" w:rsidRPr="00A060C0">
        <w:rPr>
          <w:i/>
          <w:sz w:val="24"/>
        </w:rPr>
        <w:t xml:space="preserve">procesu </w:t>
      </w:r>
      <w:r w:rsidR="00A060C0" w:rsidRPr="00A060C0">
        <w:rPr>
          <w:i/>
          <w:sz w:val="24"/>
        </w:rPr>
        <w:t>posuzování vlivů OP PIK na životní prostřed</w:t>
      </w:r>
      <w:r w:rsidR="00A060C0">
        <w:rPr>
          <w:i/>
          <w:sz w:val="24"/>
        </w:rPr>
        <w:t>í (</w:t>
      </w:r>
      <w:r w:rsidR="00EF67BF" w:rsidRPr="00A060C0">
        <w:rPr>
          <w:i/>
          <w:sz w:val="24"/>
        </w:rPr>
        <w:t>SEA OP PIK</w:t>
      </w:r>
      <w:r w:rsidR="00A060C0">
        <w:rPr>
          <w:i/>
          <w:sz w:val="24"/>
        </w:rPr>
        <w:t>)</w:t>
      </w:r>
      <w:r w:rsidR="00CB534A">
        <w:rPr>
          <w:i/>
          <w:sz w:val="24"/>
        </w:rPr>
        <w:t xml:space="preserve"> zpracované v souladu s</w:t>
      </w:r>
      <w:r w:rsidRPr="00A060C0">
        <w:rPr>
          <w:i/>
          <w:sz w:val="24"/>
        </w:rPr>
        <w:t xml:space="preserve"> odst. 4 přílohy 1 Prováděcího dokumentu k ex-ante evaluaci (EK, leden 2013)</w:t>
      </w:r>
      <w:r w:rsidR="00CB534A">
        <w:rPr>
          <w:i/>
          <w:sz w:val="24"/>
        </w:rPr>
        <w:t xml:space="preserve"> a čl. 55, odst. 4 nařízení č. 1303/2013 (obecné nařízení).</w:t>
      </w:r>
    </w:p>
    <w:p w:rsidR="00BF6711" w:rsidRDefault="00BF6711">
      <w:pPr>
        <w:jc w:val="both"/>
        <w:rPr>
          <w:sz w:val="24"/>
        </w:rPr>
      </w:pPr>
    </w:p>
    <w:p w:rsidR="00BF6711" w:rsidRDefault="00BF6711" w:rsidP="00BF6711">
      <w:pPr>
        <w:pStyle w:val="Odstavecseseznamem"/>
        <w:numPr>
          <w:ilvl w:val="0"/>
          <w:numId w:val="1"/>
        </w:numPr>
        <w:jc w:val="both"/>
        <w:rPr>
          <w:b/>
          <w:sz w:val="24"/>
        </w:rPr>
      </w:pPr>
      <w:r w:rsidRPr="007E5FC3">
        <w:rPr>
          <w:b/>
          <w:sz w:val="24"/>
        </w:rPr>
        <w:t>Netechnické shrnutí</w:t>
      </w:r>
      <w:r w:rsidR="00EF67BF">
        <w:rPr>
          <w:b/>
          <w:sz w:val="24"/>
        </w:rPr>
        <w:t xml:space="preserve"> informací uvedených ve zprávě o vlivu OP PIK na životní prostředí</w:t>
      </w:r>
      <w:r w:rsidRPr="007E5FC3">
        <w:rPr>
          <w:b/>
          <w:sz w:val="24"/>
        </w:rPr>
        <w:t xml:space="preserve"> </w:t>
      </w:r>
      <w:r w:rsidR="007E5FC3">
        <w:rPr>
          <w:b/>
          <w:sz w:val="24"/>
        </w:rPr>
        <w:t>–</w:t>
      </w:r>
      <w:r w:rsidR="00AA354F">
        <w:rPr>
          <w:b/>
          <w:sz w:val="24"/>
        </w:rPr>
        <w:t xml:space="preserve"> výňatek z </w:t>
      </w:r>
      <w:r w:rsidR="00EF67BF">
        <w:rPr>
          <w:b/>
          <w:sz w:val="24"/>
        </w:rPr>
        <w:t>„</w:t>
      </w:r>
      <w:r w:rsidR="007E5FC3">
        <w:rPr>
          <w:b/>
          <w:sz w:val="24"/>
        </w:rPr>
        <w:t>Vyhodnocení vlivů OP PIK dle zákona č. 100/2001 Sb., o posuzování vlivů na životní prostředí, ve znění pozdějších předpisů, včetně vyhodnocení vlivů koncepce na evropsky významné lokality a ptačí oblasti dle zákona č. 114/1992 Sb., o ochraně přírody a krajiny, ve znění pozdějších předpisů</w:t>
      </w:r>
      <w:r w:rsidR="00EF67BF">
        <w:rPr>
          <w:b/>
          <w:sz w:val="24"/>
        </w:rPr>
        <w:t>“</w:t>
      </w:r>
      <w:r w:rsidR="00AA354F">
        <w:rPr>
          <w:b/>
          <w:sz w:val="24"/>
        </w:rPr>
        <w:t xml:space="preserve"> (kapitola 13)</w:t>
      </w:r>
      <w:r w:rsidR="007E5FC3">
        <w:rPr>
          <w:rStyle w:val="Znakapoznpodarou"/>
          <w:b/>
          <w:sz w:val="24"/>
        </w:rPr>
        <w:footnoteReference w:id="1"/>
      </w:r>
    </w:p>
    <w:p w:rsidR="007E5FC3" w:rsidRPr="007E5FC3" w:rsidRDefault="007E5FC3" w:rsidP="007E5FC3">
      <w:pPr>
        <w:jc w:val="both"/>
        <w:rPr>
          <w:b/>
          <w:sz w:val="24"/>
        </w:rPr>
      </w:pPr>
    </w:p>
    <w:p w:rsidR="00BF6711" w:rsidRPr="00BF6711" w:rsidRDefault="00BF6711" w:rsidP="004A6DE2">
      <w:pPr>
        <w:spacing w:after="120"/>
        <w:jc w:val="both"/>
        <w:rPr>
          <w:sz w:val="24"/>
        </w:rPr>
      </w:pPr>
      <w:r w:rsidRPr="00BF6711">
        <w:rPr>
          <w:sz w:val="24"/>
        </w:rPr>
        <w:t>Operační program Podnikání a inovace pro konkurenceschopnost 2014-2020 (dále také „OP PIK“) je koncepční dokument vypracovaný Řídícím orgánem OP PIK (Ministerstvem průmyslu a obchodu) ve spolupráci s partnery, který stanovuje cíle a priority pro efektivní využívání Evropského fondu pro regionální rozvoj (dále také „EFRR“) za účelem dosažení konkurenceschopné a udržitelné ekonomiky založené na znalostech a inovacích. OP PIK je realizován v rámci cíle Investice pro růst a zaměstnanost spadajícího pod politiku soudržnosti EU. V rámci tohoto cíle bude OP PIK svou realizací přispívat k naplňování tematických cílů 1 až 4 a tematického cíle 7 definovaných v čl. 9 obecného nařízení.</w:t>
      </w:r>
    </w:p>
    <w:p w:rsidR="00BF6711" w:rsidRPr="00BF6711" w:rsidRDefault="00BF6711" w:rsidP="004A6DE2">
      <w:pPr>
        <w:spacing w:after="120"/>
        <w:jc w:val="both"/>
        <w:rPr>
          <w:sz w:val="24"/>
        </w:rPr>
      </w:pPr>
      <w:r w:rsidRPr="00BF6711">
        <w:rPr>
          <w:sz w:val="24"/>
        </w:rPr>
        <w:t>Operační program byl zpracován v souladu s čl. 27 obecného nařízení, který stanovuje jeho obsah, a zároveň v souladu se šablonami Evropské komise (dále také „EK“).</w:t>
      </w:r>
    </w:p>
    <w:p w:rsidR="00BF6711" w:rsidRPr="00BF6711" w:rsidRDefault="00BF6711" w:rsidP="004A6DE2">
      <w:pPr>
        <w:spacing w:after="120"/>
        <w:jc w:val="both"/>
        <w:rPr>
          <w:sz w:val="24"/>
        </w:rPr>
      </w:pPr>
      <w:r w:rsidRPr="00BF6711">
        <w:rPr>
          <w:sz w:val="24"/>
        </w:rPr>
        <w:t>Je primárně zaměřen na podporu malých a středních podniků (dále také „MSP“), nicméně z objektivních důvodů daných především specifiky české ekonomiky a z hlediska charakteru některých podporovaných aktivit programu budou mezi příjemce podpory v relevantních specifických cílech a v souladu s evropskou legislativou zařazeny také velké podniky, pro něž bude vyčleněno max. 25 % celkové finanční alokace OP PIK.</w:t>
      </w:r>
    </w:p>
    <w:p w:rsidR="00BF6711" w:rsidRPr="00BF6711" w:rsidRDefault="00BF6711" w:rsidP="004A6DE2">
      <w:pPr>
        <w:spacing w:after="120"/>
        <w:jc w:val="both"/>
        <w:rPr>
          <w:sz w:val="24"/>
        </w:rPr>
      </w:pPr>
      <w:r w:rsidRPr="00BF6711">
        <w:rPr>
          <w:sz w:val="24"/>
        </w:rPr>
        <w:t>OP PIK obsahuje v jednotlivých specifických cílech indikativní výčty podporovaných aktivit bez specifikace konkrétních projektů a územního průmětu. Z tohoto důvodu nebylo možné v rámci posouzení identifikovat specifické dopady (např. na konkrétní území či kvantifikovat emise) a hodnocení je tak zaměřeno především na určení možných rizik vzhledem k životnímu prostředí a zdraví obyvatel, plynoucích z provedení OP PIK, respektive na identifikaci příležitostí pro zlepšení stavu životního prostředí a zdraví obyvatel, které návrh OP PIK představuje.</w:t>
      </w:r>
    </w:p>
    <w:p w:rsidR="00BF6711" w:rsidRPr="00BF6711" w:rsidRDefault="00BF6711" w:rsidP="004A6DE2">
      <w:pPr>
        <w:spacing w:after="120"/>
        <w:jc w:val="both"/>
        <w:rPr>
          <w:sz w:val="24"/>
        </w:rPr>
      </w:pPr>
      <w:r w:rsidRPr="00BF6711">
        <w:rPr>
          <w:sz w:val="24"/>
        </w:rPr>
        <w:t>Je zpracováván v jedné variantě. Dále návrh OP PIK popisuje a odůvodňuje rozdělení finančních prostředků mezi jednotlivé prioritní osy.</w:t>
      </w:r>
    </w:p>
    <w:p w:rsidR="00BF6711" w:rsidRPr="00BF6711" w:rsidRDefault="00BF6711" w:rsidP="004A6DE2">
      <w:pPr>
        <w:spacing w:after="120"/>
        <w:jc w:val="both"/>
        <w:rPr>
          <w:sz w:val="24"/>
        </w:rPr>
      </w:pPr>
      <w:r w:rsidRPr="00BF6711">
        <w:rPr>
          <w:sz w:val="24"/>
        </w:rPr>
        <w:t>Obsah a rozsah vyhodnocení vlivů OP PIK na životní prostředí byl stanoven závěrem zjišťovacího řízení podle § 10d zákona č. 100/2001 Sb., o posuzování vlivů na životní prostředí, ve znění pozdějších předpisů, který byl vydán odborem posuzování vlivů na životní prostředí a integrované prevence MŽP dne 22. 10. 2013 pod č.j.: 76715/ENV/13. Samostatnou Přílohu 1 tvoří vyhodnocení vlivů na území Natura 2000. Přílohu 2 tvoří vyhodnocení vlivů na zdraví zpracované autorizovanou osobou.</w:t>
      </w:r>
    </w:p>
    <w:p w:rsidR="004A6DE2" w:rsidRPr="004A6DE2" w:rsidRDefault="00BF6711" w:rsidP="004A6DE2">
      <w:pPr>
        <w:spacing w:after="120"/>
        <w:jc w:val="both"/>
        <w:rPr>
          <w:sz w:val="24"/>
        </w:rPr>
      </w:pPr>
      <w:r w:rsidRPr="00BF6711">
        <w:rPr>
          <w:sz w:val="24"/>
        </w:rPr>
        <w:lastRenderedPageBreak/>
        <w:t>Proces vyhodnocování vlivů na životní prostředí byl zahájen v říjnu 2013, v době, kdy byla připravena pracovní verze OP PIK a dále probíhal souběžně s</w:t>
      </w:r>
      <w:r w:rsidR="004A6DE2">
        <w:rPr>
          <w:sz w:val="24"/>
        </w:rPr>
        <w:t xml:space="preserve"> </w:t>
      </w:r>
      <w:r w:rsidR="004A6DE2" w:rsidRPr="004A6DE2">
        <w:rPr>
          <w:sz w:val="24"/>
        </w:rPr>
        <w:t>projednáváním jednotlivých verzí a finalizací 6. verze dokumentu. V rámci přípravy SEA hodnocení se uskutečnil dne 25. 11. 2013 úvodní seminář k SEA hodnocení OP PIK za účasti zástupců MPO, členů týmu zpracovatelů SEA hodnocení OP PIK a ŘO a pozvaných účastníků z dotčené státní správy, odborné veřejnosti, zástupců NNO a dalších institucí. SEA hodnotitel se také účastnil přípravných jednání k definování environmentálních indikátorů v rámci přípravy Národního číselníku indikátorů pro programovací období 2014-2020.</w:t>
      </w:r>
    </w:p>
    <w:p w:rsidR="004A6DE2" w:rsidRPr="004A6DE2" w:rsidRDefault="004A6DE2" w:rsidP="004A6DE2">
      <w:pPr>
        <w:spacing w:after="120"/>
        <w:jc w:val="both"/>
        <w:rPr>
          <w:sz w:val="24"/>
        </w:rPr>
      </w:pPr>
      <w:r w:rsidRPr="004A6DE2">
        <w:rPr>
          <w:sz w:val="24"/>
        </w:rPr>
        <w:t>Základní rámec pro hodnocení OP PIK představuje sada témat ochrany životního prostředí. Tato témata jsou stanovena na základě požadavků zákona č. 100/2001 Sb., o posuzování vlivů na životní prostředí, ve znění pozdějších předpisů, a analýzy stavu životního prostředí v zájmovém území, a při zohlednění požadavků závěru zjišťovacího řízení. Při stanovení témat a zejména při hodnocení vlivů jednotlivých navržených opatření OP PIK na tato témata byly zohledněny i cíle relevantních koncepčních dokumentů s vazbou na problematiku životního prostředí a veřejného zdraví na mezinárodní a národní úrovni. Přehled relevantních dokumentů je uveden v kapitole 1.5. Přehled těchto cílů je uveden níže v kapitole 5.2.</w:t>
      </w:r>
    </w:p>
    <w:p w:rsidR="004A6DE2" w:rsidRPr="00391A2B" w:rsidRDefault="004A6DE2" w:rsidP="004A6DE2">
      <w:pPr>
        <w:spacing w:after="120"/>
        <w:jc w:val="both"/>
        <w:rPr>
          <w:sz w:val="24"/>
        </w:rPr>
      </w:pPr>
      <w:r w:rsidRPr="004A6DE2">
        <w:rPr>
          <w:sz w:val="24"/>
        </w:rPr>
        <w:t xml:space="preserve">Návrhová část OP PIK je hodnocena z hlediska, zda a jakým způsobem její naplňování ovlivní stav, případně trendy vývoje v rámci </w:t>
      </w:r>
      <w:r w:rsidRPr="00391A2B">
        <w:rPr>
          <w:sz w:val="24"/>
        </w:rPr>
        <w:t>daného tématu životního prostředí a rovněž zda přispívá k naplnění cílů ochrany životního prostředí stanovených relevantními strategickými dokumenty s vazbou na problematiku životního prostředí (viz kapitola 5.2). Kromě toho bylo samostatně provedeno též vyhodnocení OP PIK z hlediska veřejného zdraví, včetně souladu koncepce s cíli strategie Zdraví 2020 (viz kapitola 12 SEA dokumentace).</w:t>
      </w:r>
    </w:p>
    <w:p w:rsidR="004A6DE2" w:rsidRPr="00391A2B" w:rsidRDefault="004A6DE2" w:rsidP="004A6DE2">
      <w:pPr>
        <w:spacing w:after="120"/>
        <w:jc w:val="both"/>
        <w:rPr>
          <w:sz w:val="24"/>
        </w:rPr>
      </w:pPr>
      <w:r w:rsidRPr="00391A2B">
        <w:rPr>
          <w:sz w:val="24"/>
        </w:rPr>
        <w:t>Jako základní prvek návrhové části pro vyhodnocení možných vlivů OP PIK na jednotlivá témata životního prostředí byly vzaty jednotlivé specifické cíle, které představují hlavní strukturu návrhové části OP PIK.</w:t>
      </w:r>
    </w:p>
    <w:p w:rsidR="004A6DE2" w:rsidRPr="00391A2B" w:rsidRDefault="004A6DE2" w:rsidP="004A6DE2">
      <w:pPr>
        <w:spacing w:after="120"/>
        <w:jc w:val="both"/>
        <w:rPr>
          <w:sz w:val="24"/>
        </w:rPr>
      </w:pPr>
      <w:r w:rsidRPr="00391A2B">
        <w:rPr>
          <w:sz w:val="24"/>
        </w:rPr>
        <w:t>Hodnocení vlivů je zaměřeno na identifikaci možných příležitostí a rizik spojených s implementací OP PIK, nicméně jejich rozsah a význam nelze na úrovni OP PIK blíže specifikovat. Rámcové výsledky hodnocení jsou shrnuty v Tabulce 1, komentáře k jednotlivým výsledkům hodnocení následují dále v kapitole 6.2. Doporučení k minimalizaci identifikovaných rizik a nejistot vyplývajících z hodnocení jsou obsahem kapitoly 7.</w:t>
      </w:r>
    </w:p>
    <w:p w:rsidR="00BF6711" w:rsidRPr="00391A2B" w:rsidRDefault="004A6DE2" w:rsidP="004A6DE2">
      <w:pPr>
        <w:spacing w:after="120"/>
        <w:jc w:val="both"/>
        <w:rPr>
          <w:sz w:val="24"/>
        </w:rPr>
      </w:pPr>
      <w:r w:rsidRPr="00391A2B">
        <w:rPr>
          <w:sz w:val="24"/>
        </w:rPr>
        <w:t>Pro sledování vlivů implementace OP PIK na životní prostředí navrhnul zpracovatel SEA ve vazbě na jednotlivá témata životního prostředí, která byla v rámci hodnocení řešena, environmentální indikátory (Tabulka 2). Změny indikátorů je nutné sledovat v pravidelných (ročních) intervalech v průběhu celého programového období 2014-2020. K odhadu vlivu OP PIK na změny životního prostředí je nezbytné porovnat celkové změny životního prostředí v ČR s výstupy monitoringu jednotlivých programů a odhadnout tak příspěvek implementace OP PIK k těmto změnám.</w:t>
      </w:r>
    </w:p>
    <w:p w:rsidR="004A6DE2" w:rsidRPr="00391A2B" w:rsidRDefault="004A6DE2" w:rsidP="004A6DE2">
      <w:pPr>
        <w:spacing w:after="120"/>
        <w:jc w:val="both"/>
        <w:rPr>
          <w:sz w:val="24"/>
        </w:rPr>
      </w:pPr>
      <w:r w:rsidRPr="00391A2B">
        <w:rPr>
          <w:sz w:val="24"/>
        </w:rPr>
        <w:t>Dle požadavků EK bude současně u všech relevantních projektů sledován případný dopad (finanční příspěvek) na změnu klimatu.</w:t>
      </w:r>
    </w:p>
    <w:p w:rsidR="00811E29" w:rsidRDefault="004A6DE2" w:rsidP="003E1A9A">
      <w:pPr>
        <w:spacing w:after="120"/>
        <w:jc w:val="both"/>
        <w:rPr>
          <w:sz w:val="24"/>
        </w:rPr>
      </w:pPr>
      <w:r w:rsidRPr="00391A2B">
        <w:rPr>
          <w:sz w:val="24"/>
        </w:rPr>
        <w:t>Ze shrnutí dílčích výstupů vyhodnocení vlivů OP PIK na životní prostředí a veřejné zdraví vyplývá, že posuzovaná koncepce má potenciál k pozitivnímu ovlivnění životního prostředí, zahrnuje však i specifické cíle, jejichž naplňování je spojeno s riziky negativního vlivu na životní prostředí. V rámci vyhodnocení byla identifikována rizika negativních vlivů na životní prostředí zejména u opatření souvisejí</w:t>
      </w:r>
      <w:r w:rsidR="00EF67BF" w:rsidRPr="00391A2B">
        <w:rPr>
          <w:sz w:val="24"/>
        </w:rPr>
        <w:t>cí</w:t>
      </w:r>
      <w:r w:rsidRPr="00391A2B">
        <w:rPr>
          <w:sz w:val="24"/>
        </w:rPr>
        <w:t>ch s podporou inovací, rozvoje energetické infrastruktury a problematikou podpory využívání obnovitelných zdrojů energie. V kapitole 7 byla k jednotlivým potenciálním rizikům negativního ovlivnění životního prostředí</w:t>
      </w:r>
      <w:r w:rsidRPr="004A6DE2">
        <w:rPr>
          <w:sz w:val="24"/>
        </w:rPr>
        <w:t xml:space="preserve"> identifikovaným v rámci hodnocení navržena opatření pro předcházení, respektive minimalizaci těchto vlivů.</w:t>
      </w:r>
      <w:r w:rsidR="00811E29">
        <w:rPr>
          <w:sz w:val="24"/>
        </w:rPr>
        <w:br w:type="page"/>
      </w:r>
    </w:p>
    <w:p w:rsidR="00BF6711" w:rsidRPr="007E5FC3" w:rsidRDefault="00A14B83" w:rsidP="00A14B83">
      <w:pPr>
        <w:pStyle w:val="Odstavecseseznamem"/>
        <w:numPr>
          <w:ilvl w:val="0"/>
          <w:numId w:val="1"/>
        </w:numPr>
        <w:jc w:val="both"/>
        <w:rPr>
          <w:b/>
          <w:sz w:val="24"/>
        </w:rPr>
      </w:pPr>
      <w:r>
        <w:rPr>
          <w:b/>
          <w:sz w:val="24"/>
        </w:rPr>
        <w:lastRenderedPageBreak/>
        <w:t xml:space="preserve">Popis </w:t>
      </w:r>
      <w:r w:rsidRPr="00A14B83">
        <w:rPr>
          <w:b/>
          <w:sz w:val="24"/>
        </w:rPr>
        <w:t>opatření, která byla přijata v souvislosti s monitoringem potenciálních vlivů koncepce na životní prostředí</w:t>
      </w:r>
    </w:p>
    <w:p w:rsidR="007E5FC3" w:rsidRDefault="007E5FC3" w:rsidP="00EF67BF">
      <w:pPr>
        <w:jc w:val="center"/>
        <w:rPr>
          <w:sz w:val="24"/>
        </w:rPr>
      </w:pPr>
    </w:p>
    <w:p w:rsidR="00F21EE2" w:rsidRDefault="0073117A" w:rsidP="001157E9">
      <w:pPr>
        <w:spacing w:after="120"/>
        <w:jc w:val="both"/>
        <w:rPr>
          <w:sz w:val="24"/>
        </w:rPr>
      </w:pPr>
      <w:r w:rsidRPr="0073117A">
        <w:rPr>
          <w:sz w:val="24"/>
        </w:rPr>
        <w:t xml:space="preserve">Monitoring potenciálních vlivů OP PIK na životní prostředí je prováděn prostřednictvím sady environmentálních indikátorů, které jsou součástí indikátorové soustavy OP PIK. V souladu s Metodickým pokynem Ministerstva pro místní rozvoj </w:t>
      </w:r>
      <w:r w:rsidR="00CB534A">
        <w:rPr>
          <w:sz w:val="24"/>
        </w:rPr>
        <w:t xml:space="preserve">jsou </w:t>
      </w:r>
      <w:r w:rsidRPr="0073117A">
        <w:rPr>
          <w:sz w:val="24"/>
        </w:rPr>
        <w:t>pro monitorování a implementaci ESIF jsou environmentální indikátory následně naplňovány z projektové úrovně.</w:t>
      </w:r>
      <w:r w:rsidR="003F5F81">
        <w:rPr>
          <w:sz w:val="24"/>
        </w:rPr>
        <w:t xml:space="preserve"> </w:t>
      </w:r>
      <w:r w:rsidR="00F21EE2" w:rsidRPr="00F21EE2">
        <w:rPr>
          <w:sz w:val="24"/>
        </w:rPr>
        <w:t>Sada environmentálních indikátorů vychází z</w:t>
      </w:r>
      <w:r w:rsidR="003F5F81">
        <w:rPr>
          <w:sz w:val="24"/>
        </w:rPr>
        <w:t> </w:t>
      </w:r>
      <w:r w:rsidR="00F21EE2" w:rsidRPr="00F21EE2">
        <w:rPr>
          <w:sz w:val="24"/>
        </w:rPr>
        <w:t>návrhu</w:t>
      </w:r>
      <w:r w:rsidR="003F5F81">
        <w:rPr>
          <w:sz w:val="24"/>
        </w:rPr>
        <w:t xml:space="preserve"> zpracovatele SEA OP PIK</w:t>
      </w:r>
      <w:r w:rsidR="00F21EE2" w:rsidRPr="00F21EE2">
        <w:rPr>
          <w:sz w:val="24"/>
        </w:rPr>
        <w:t xml:space="preserve">, který byl </w:t>
      </w:r>
      <w:r w:rsidR="003F5F81">
        <w:rPr>
          <w:sz w:val="24"/>
        </w:rPr>
        <w:t>rovněž konzultován s Národním orgánem pro koordinaci, Ministerstvem životního prostředí</w:t>
      </w:r>
      <w:r w:rsidR="00F21EE2" w:rsidRPr="00F21EE2">
        <w:rPr>
          <w:sz w:val="24"/>
        </w:rPr>
        <w:t xml:space="preserve"> </w:t>
      </w:r>
      <w:r w:rsidR="00BF102A">
        <w:rPr>
          <w:sz w:val="24"/>
        </w:rPr>
        <w:t xml:space="preserve">(MŽP) </w:t>
      </w:r>
      <w:r w:rsidR="003F5F81">
        <w:rPr>
          <w:sz w:val="24"/>
        </w:rPr>
        <w:t>a ostatními řídícími orgány (blíže viz bod C</w:t>
      </w:r>
      <w:r w:rsidR="00CB534A">
        <w:rPr>
          <w:sz w:val="24"/>
        </w:rPr>
        <w:t xml:space="preserve"> dále v textu</w:t>
      </w:r>
      <w:r w:rsidR="003F5F81">
        <w:rPr>
          <w:sz w:val="24"/>
        </w:rPr>
        <w:t>).</w:t>
      </w:r>
    </w:p>
    <w:p w:rsidR="00F21EE2" w:rsidRDefault="001157E9" w:rsidP="001157E9">
      <w:pPr>
        <w:spacing w:after="120"/>
        <w:jc w:val="both"/>
        <w:rPr>
          <w:sz w:val="24"/>
        </w:rPr>
      </w:pPr>
      <w:r>
        <w:rPr>
          <w:sz w:val="24"/>
        </w:rPr>
        <w:t>V OP PIK budou sledovány tyto environmentální indikátory:</w:t>
      </w:r>
    </w:p>
    <w:tbl>
      <w:tblPr>
        <w:tblStyle w:val="Mkatabulky"/>
        <w:tblW w:w="9524" w:type="dxa"/>
        <w:tblLayout w:type="fixed"/>
        <w:tblLook w:val="04A0" w:firstRow="1" w:lastRow="0" w:firstColumn="1" w:lastColumn="0" w:noHBand="0" w:noVBand="1"/>
      </w:tblPr>
      <w:tblGrid>
        <w:gridCol w:w="1668"/>
        <w:gridCol w:w="2126"/>
        <w:gridCol w:w="1417"/>
        <w:gridCol w:w="1560"/>
        <w:gridCol w:w="2753"/>
      </w:tblGrid>
      <w:tr w:rsidR="00A6182B" w:rsidRPr="00A543E6" w:rsidTr="00A6182B">
        <w:tc>
          <w:tcPr>
            <w:tcW w:w="1668" w:type="dxa"/>
            <w:tcBorders>
              <w:bottom w:val="single" w:sz="12" w:space="0" w:color="auto"/>
            </w:tcBorders>
            <w:shd w:val="clear" w:color="auto" w:fill="B8CCE4" w:themeFill="accent1" w:themeFillTint="66"/>
            <w:vAlign w:val="center"/>
          </w:tcPr>
          <w:p w:rsidR="001157E9" w:rsidRPr="00712D82" w:rsidRDefault="001157E9" w:rsidP="00A6182B">
            <w:pPr>
              <w:spacing w:after="120"/>
              <w:jc w:val="center"/>
              <w:rPr>
                <w:b/>
                <w:sz w:val="24"/>
              </w:rPr>
            </w:pPr>
            <w:r w:rsidRPr="00712D82">
              <w:rPr>
                <w:b/>
                <w:sz w:val="24"/>
              </w:rPr>
              <w:t>Oblast ŽP</w:t>
            </w:r>
          </w:p>
        </w:tc>
        <w:tc>
          <w:tcPr>
            <w:tcW w:w="2126" w:type="dxa"/>
            <w:tcBorders>
              <w:bottom w:val="single" w:sz="12" w:space="0" w:color="auto"/>
            </w:tcBorders>
            <w:shd w:val="clear" w:color="auto" w:fill="B8CCE4" w:themeFill="accent1" w:themeFillTint="66"/>
            <w:vAlign w:val="center"/>
          </w:tcPr>
          <w:p w:rsidR="001157E9" w:rsidRPr="00A543E6" w:rsidRDefault="001157E9" w:rsidP="00712D82">
            <w:pPr>
              <w:spacing w:after="120"/>
              <w:jc w:val="center"/>
              <w:rPr>
                <w:b/>
                <w:sz w:val="24"/>
              </w:rPr>
            </w:pPr>
            <w:r w:rsidRPr="00A543E6">
              <w:rPr>
                <w:b/>
                <w:sz w:val="24"/>
              </w:rPr>
              <w:t>Environmentální indikátor</w:t>
            </w:r>
            <w:r w:rsidR="002C2404">
              <w:rPr>
                <w:b/>
                <w:sz w:val="24"/>
              </w:rPr>
              <w:t xml:space="preserve"> (kód NČI2014+</w:t>
            </w:r>
            <w:bookmarkStart w:id="0" w:name="_GoBack"/>
            <w:bookmarkEnd w:id="0"/>
            <w:r w:rsidR="002C2404">
              <w:rPr>
                <w:b/>
                <w:sz w:val="24"/>
              </w:rPr>
              <w:t>)</w:t>
            </w:r>
          </w:p>
        </w:tc>
        <w:tc>
          <w:tcPr>
            <w:tcW w:w="1417" w:type="dxa"/>
            <w:tcBorders>
              <w:bottom w:val="single" w:sz="12" w:space="0" w:color="auto"/>
            </w:tcBorders>
            <w:shd w:val="clear" w:color="auto" w:fill="B8CCE4" w:themeFill="accent1" w:themeFillTint="66"/>
            <w:vAlign w:val="center"/>
          </w:tcPr>
          <w:p w:rsidR="001157E9" w:rsidRPr="00A543E6" w:rsidRDefault="001157E9" w:rsidP="00A543E6">
            <w:pPr>
              <w:spacing w:after="120"/>
              <w:jc w:val="center"/>
              <w:rPr>
                <w:b/>
                <w:sz w:val="24"/>
              </w:rPr>
            </w:pPr>
            <w:r w:rsidRPr="00A543E6">
              <w:rPr>
                <w:b/>
                <w:sz w:val="24"/>
              </w:rPr>
              <w:t>Jednotka</w:t>
            </w:r>
          </w:p>
        </w:tc>
        <w:tc>
          <w:tcPr>
            <w:tcW w:w="1560" w:type="dxa"/>
            <w:tcBorders>
              <w:bottom w:val="single" w:sz="12" w:space="0" w:color="auto"/>
            </w:tcBorders>
            <w:shd w:val="clear" w:color="auto" w:fill="B8CCE4" w:themeFill="accent1" w:themeFillTint="66"/>
            <w:vAlign w:val="center"/>
          </w:tcPr>
          <w:p w:rsidR="001157E9" w:rsidRPr="00A543E6" w:rsidRDefault="001157E9" w:rsidP="00A543E6">
            <w:pPr>
              <w:spacing w:after="120"/>
              <w:jc w:val="center"/>
              <w:rPr>
                <w:b/>
                <w:sz w:val="24"/>
              </w:rPr>
            </w:pPr>
            <w:r w:rsidRPr="00A543E6">
              <w:rPr>
                <w:b/>
                <w:sz w:val="24"/>
              </w:rPr>
              <w:t>Specifický cíl</w:t>
            </w:r>
          </w:p>
        </w:tc>
        <w:tc>
          <w:tcPr>
            <w:tcW w:w="2753" w:type="dxa"/>
            <w:tcBorders>
              <w:bottom w:val="single" w:sz="12" w:space="0" w:color="auto"/>
            </w:tcBorders>
            <w:shd w:val="clear" w:color="auto" w:fill="B8CCE4" w:themeFill="accent1" w:themeFillTint="66"/>
            <w:vAlign w:val="center"/>
          </w:tcPr>
          <w:p w:rsidR="001157E9" w:rsidRPr="00A543E6" w:rsidRDefault="00A6182B" w:rsidP="00A543E6">
            <w:pPr>
              <w:spacing w:after="120"/>
              <w:jc w:val="center"/>
              <w:rPr>
                <w:b/>
                <w:sz w:val="24"/>
              </w:rPr>
            </w:pPr>
            <w:r>
              <w:rPr>
                <w:b/>
                <w:sz w:val="24"/>
              </w:rPr>
              <w:t>Typ indikátoru</w:t>
            </w:r>
          </w:p>
        </w:tc>
      </w:tr>
      <w:tr w:rsidR="00A543E6" w:rsidTr="00A6182B">
        <w:tc>
          <w:tcPr>
            <w:tcW w:w="1668" w:type="dxa"/>
            <w:tcBorders>
              <w:top w:val="single" w:sz="12" w:space="0" w:color="auto"/>
            </w:tcBorders>
            <w:vAlign w:val="center"/>
          </w:tcPr>
          <w:p w:rsidR="00A543E6" w:rsidRPr="00712D82" w:rsidRDefault="00712D82" w:rsidP="00A6182B">
            <w:pPr>
              <w:spacing w:after="120"/>
              <w:rPr>
                <w:b/>
                <w:sz w:val="24"/>
              </w:rPr>
            </w:pPr>
            <w:r w:rsidRPr="00712D82">
              <w:rPr>
                <w:b/>
                <w:sz w:val="24"/>
              </w:rPr>
              <w:t>Ovzduší</w:t>
            </w:r>
          </w:p>
        </w:tc>
        <w:tc>
          <w:tcPr>
            <w:tcW w:w="2126" w:type="dxa"/>
            <w:tcBorders>
              <w:top w:val="single" w:sz="12" w:space="0" w:color="auto"/>
            </w:tcBorders>
            <w:vAlign w:val="center"/>
          </w:tcPr>
          <w:p w:rsidR="00A543E6" w:rsidRDefault="00A543E6" w:rsidP="00A6182B">
            <w:pPr>
              <w:spacing w:after="120"/>
              <w:rPr>
                <w:sz w:val="24"/>
              </w:rPr>
            </w:pPr>
            <w:r w:rsidRPr="00A543E6">
              <w:rPr>
                <w:sz w:val="24"/>
              </w:rPr>
              <w:t>Snížení emisí primárních částic a prekurzorů sekundárních částic</w:t>
            </w:r>
            <w:r w:rsidR="00CA5834">
              <w:rPr>
                <w:sz w:val="24"/>
              </w:rPr>
              <w:t xml:space="preserve"> (3 61 11)</w:t>
            </w:r>
          </w:p>
        </w:tc>
        <w:tc>
          <w:tcPr>
            <w:tcW w:w="1417" w:type="dxa"/>
            <w:tcBorders>
              <w:top w:val="single" w:sz="12" w:space="0" w:color="auto"/>
            </w:tcBorders>
            <w:vAlign w:val="center"/>
          </w:tcPr>
          <w:p w:rsidR="00A543E6" w:rsidRPr="001157E9" w:rsidRDefault="00A543E6" w:rsidP="00A6182B">
            <w:pPr>
              <w:spacing w:after="120"/>
              <w:rPr>
                <w:sz w:val="24"/>
              </w:rPr>
            </w:pPr>
            <w:r w:rsidRPr="001157E9">
              <w:rPr>
                <w:sz w:val="24"/>
              </w:rPr>
              <w:t>t/rok</w:t>
            </w:r>
          </w:p>
        </w:tc>
        <w:tc>
          <w:tcPr>
            <w:tcW w:w="1560" w:type="dxa"/>
            <w:tcBorders>
              <w:top w:val="single" w:sz="12" w:space="0" w:color="auto"/>
            </w:tcBorders>
            <w:vAlign w:val="center"/>
          </w:tcPr>
          <w:p w:rsidR="00A543E6" w:rsidRDefault="00A543E6" w:rsidP="00A6182B">
            <w:pPr>
              <w:spacing w:after="120"/>
              <w:rPr>
                <w:sz w:val="24"/>
              </w:rPr>
            </w:pPr>
            <w:r>
              <w:rPr>
                <w:sz w:val="24"/>
              </w:rPr>
              <w:t>3.1, 3.2, 3.5</w:t>
            </w:r>
          </w:p>
        </w:tc>
        <w:tc>
          <w:tcPr>
            <w:tcW w:w="2753" w:type="dxa"/>
            <w:tcBorders>
              <w:top w:val="single" w:sz="12" w:space="0" w:color="auto"/>
            </w:tcBorders>
            <w:vAlign w:val="center"/>
          </w:tcPr>
          <w:p w:rsidR="00A543E6" w:rsidRDefault="00A543E6" w:rsidP="00A6182B">
            <w:pPr>
              <w:spacing w:after="120"/>
              <w:rPr>
                <w:sz w:val="24"/>
              </w:rPr>
            </w:pPr>
            <w:r>
              <w:rPr>
                <w:sz w:val="24"/>
              </w:rPr>
              <w:t xml:space="preserve">Indikátor bude u daných SC </w:t>
            </w:r>
            <w:r w:rsidR="00A6182B">
              <w:rPr>
                <w:sz w:val="24"/>
              </w:rPr>
              <w:t xml:space="preserve">monitorován interně </w:t>
            </w:r>
            <w:r>
              <w:rPr>
                <w:sz w:val="24"/>
              </w:rPr>
              <w:t>na projektové úrovni nad rámec výstupových či výsledkových indikátorů daného specifického cíle. Indikátor bude dále agregován pro potřeby Dohody o partnerství.</w:t>
            </w:r>
          </w:p>
        </w:tc>
      </w:tr>
      <w:tr w:rsidR="00A6182B" w:rsidTr="00A6182B">
        <w:tc>
          <w:tcPr>
            <w:tcW w:w="1668" w:type="dxa"/>
            <w:vMerge w:val="restart"/>
            <w:vAlign w:val="center"/>
          </w:tcPr>
          <w:p w:rsidR="00A6182B" w:rsidRPr="00712D82" w:rsidRDefault="00A6182B" w:rsidP="00A6182B">
            <w:pPr>
              <w:spacing w:after="120"/>
              <w:rPr>
                <w:b/>
                <w:sz w:val="24"/>
              </w:rPr>
            </w:pPr>
            <w:r w:rsidRPr="00712D82">
              <w:rPr>
                <w:b/>
                <w:sz w:val="24"/>
              </w:rPr>
              <w:t>Klima</w:t>
            </w:r>
          </w:p>
        </w:tc>
        <w:tc>
          <w:tcPr>
            <w:tcW w:w="2126" w:type="dxa"/>
            <w:vAlign w:val="center"/>
          </w:tcPr>
          <w:p w:rsidR="00A6182B" w:rsidRDefault="00A6182B" w:rsidP="00A6182B">
            <w:pPr>
              <w:spacing w:after="120"/>
              <w:rPr>
                <w:sz w:val="24"/>
              </w:rPr>
            </w:pPr>
            <w:r w:rsidRPr="00A543E6">
              <w:rPr>
                <w:sz w:val="24"/>
              </w:rPr>
              <w:t>Odhadované roční snížení emisí skleníkových plynů</w:t>
            </w:r>
            <w:r>
              <w:rPr>
                <w:sz w:val="24"/>
              </w:rPr>
              <w:t xml:space="preserve"> (CO 34)</w:t>
            </w:r>
            <w:r w:rsidR="00CA5834">
              <w:rPr>
                <w:sz w:val="24"/>
              </w:rPr>
              <w:t xml:space="preserve"> (3 60 10)</w:t>
            </w:r>
          </w:p>
        </w:tc>
        <w:tc>
          <w:tcPr>
            <w:tcW w:w="1417" w:type="dxa"/>
            <w:vAlign w:val="center"/>
          </w:tcPr>
          <w:p w:rsidR="00A6182B" w:rsidRDefault="00A6182B" w:rsidP="00A6182B">
            <w:pPr>
              <w:spacing w:after="120"/>
              <w:rPr>
                <w:sz w:val="24"/>
              </w:rPr>
            </w:pPr>
            <w:r w:rsidRPr="00712D82">
              <w:rPr>
                <w:sz w:val="24"/>
              </w:rPr>
              <w:t>Tuny ekvivalentu CO</w:t>
            </w:r>
            <w:r w:rsidRPr="00712D82">
              <w:rPr>
                <w:sz w:val="24"/>
                <w:vertAlign w:val="subscript"/>
              </w:rPr>
              <w:t>2</w:t>
            </w:r>
          </w:p>
        </w:tc>
        <w:tc>
          <w:tcPr>
            <w:tcW w:w="1560" w:type="dxa"/>
            <w:vAlign w:val="center"/>
          </w:tcPr>
          <w:p w:rsidR="00A6182B" w:rsidRDefault="00A6182B" w:rsidP="00A6182B">
            <w:pPr>
              <w:spacing w:after="120"/>
              <w:rPr>
                <w:sz w:val="24"/>
              </w:rPr>
            </w:pPr>
            <w:r>
              <w:rPr>
                <w:sz w:val="24"/>
              </w:rPr>
              <w:t>3.1, 3.5</w:t>
            </w:r>
          </w:p>
        </w:tc>
        <w:tc>
          <w:tcPr>
            <w:tcW w:w="2753" w:type="dxa"/>
            <w:vAlign w:val="center"/>
          </w:tcPr>
          <w:p w:rsidR="00A6182B" w:rsidRDefault="00A6182B" w:rsidP="00A6182B">
            <w:pPr>
              <w:spacing w:after="120"/>
              <w:rPr>
                <w:sz w:val="24"/>
              </w:rPr>
            </w:pPr>
            <w:r>
              <w:rPr>
                <w:sz w:val="24"/>
              </w:rPr>
              <w:t>Výstupový indikátor</w:t>
            </w:r>
          </w:p>
        </w:tc>
      </w:tr>
      <w:tr w:rsidR="00A6182B" w:rsidTr="00A6182B">
        <w:tc>
          <w:tcPr>
            <w:tcW w:w="1668" w:type="dxa"/>
            <w:vMerge/>
            <w:vAlign w:val="center"/>
          </w:tcPr>
          <w:p w:rsidR="00A6182B" w:rsidRPr="00712D82" w:rsidRDefault="00A6182B" w:rsidP="00A6182B">
            <w:pPr>
              <w:spacing w:after="120"/>
              <w:rPr>
                <w:b/>
                <w:sz w:val="24"/>
              </w:rPr>
            </w:pPr>
          </w:p>
        </w:tc>
        <w:tc>
          <w:tcPr>
            <w:tcW w:w="2126" w:type="dxa"/>
            <w:vAlign w:val="center"/>
          </w:tcPr>
          <w:p w:rsidR="00A6182B" w:rsidRDefault="00A6182B" w:rsidP="00A6182B">
            <w:pPr>
              <w:spacing w:after="120"/>
              <w:rPr>
                <w:sz w:val="24"/>
              </w:rPr>
            </w:pPr>
            <w:r>
              <w:rPr>
                <w:sz w:val="24"/>
              </w:rPr>
              <w:t>Snížení emisí CO</w:t>
            </w:r>
            <w:r w:rsidRPr="001157E9">
              <w:rPr>
                <w:sz w:val="24"/>
                <w:vertAlign w:val="subscript"/>
              </w:rPr>
              <w:t>2</w:t>
            </w:r>
            <w:r w:rsidR="00CA5834">
              <w:rPr>
                <w:sz w:val="24"/>
                <w:vertAlign w:val="subscript"/>
              </w:rPr>
              <w:t xml:space="preserve"> </w:t>
            </w:r>
            <w:r w:rsidR="00CA5834" w:rsidRPr="00CA5834">
              <w:rPr>
                <w:sz w:val="24"/>
              </w:rPr>
              <w:t>(3</w:t>
            </w:r>
            <w:r w:rsidR="00CA5834">
              <w:rPr>
                <w:sz w:val="24"/>
              </w:rPr>
              <w:t xml:space="preserve"> </w:t>
            </w:r>
            <w:r w:rsidR="00CA5834" w:rsidRPr="00CA5834">
              <w:rPr>
                <w:sz w:val="24"/>
              </w:rPr>
              <w:t>61</w:t>
            </w:r>
            <w:r w:rsidR="00CA5834">
              <w:rPr>
                <w:sz w:val="24"/>
              </w:rPr>
              <w:t xml:space="preserve"> </w:t>
            </w:r>
            <w:r w:rsidR="00CA5834" w:rsidRPr="00CA5834">
              <w:rPr>
                <w:sz w:val="24"/>
              </w:rPr>
              <w:t>13</w:t>
            </w:r>
            <w:r w:rsidR="00CA5834">
              <w:rPr>
                <w:sz w:val="24"/>
              </w:rPr>
              <w:t>)</w:t>
            </w:r>
          </w:p>
        </w:tc>
        <w:tc>
          <w:tcPr>
            <w:tcW w:w="1417" w:type="dxa"/>
            <w:vAlign w:val="center"/>
          </w:tcPr>
          <w:p w:rsidR="00A6182B" w:rsidRDefault="00A6182B" w:rsidP="00A6182B">
            <w:pPr>
              <w:spacing w:after="120"/>
              <w:rPr>
                <w:sz w:val="24"/>
              </w:rPr>
            </w:pPr>
            <w:r w:rsidRPr="001157E9">
              <w:rPr>
                <w:sz w:val="24"/>
              </w:rPr>
              <w:t>t/rok</w:t>
            </w:r>
          </w:p>
        </w:tc>
        <w:tc>
          <w:tcPr>
            <w:tcW w:w="1560" w:type="dxa"/>
            <w:vAlign w:val="center"/>
          </w:tcPr>
          <w:p w:rsidR="00A6182B" w:rsidRDefault="00A6182B" w:rsidP="00A6182B">
            <w:pPr>
              <w:spacing w:after="120"/>
              <w:rPr>
                <w:sz w:val="24"/>
              </w:rPr>
            </w:pPr>
            <w:r>
              <w:rPr>
                <w:sz w:val="24"/>
              </w:rPr>
              <w:t>3.2</w:t>
            </w:r>
          </w:p>
        </w:tc>
        <w:tc>
          <w:tcPr>
            <w:tcW w:w="2753" w:type="dxa"/>
            <w:vAlign w:val="center"/>
          </w:tcPr>
          <w:p w:rsidR="00A6182B" w:rsidRDefault="00A6182B" w:rsidP="00A6182B">
            <w:pPr>
              <w:spacing w:after="120"/>
              <w:rPr>
                <w:sz w:val="24"/>
              </w:rPr>
            </w:pPr>
            <w:r>
              <w:rPr>
                <w:sz w:val="24"/>
              </w:rPr>
              <w:t>Indikátor bude u daného SC monitorován interně na projektové úrovni nad rámec výstupových či výsledkových indikátorů daného specifického cíle. Indikátor bude dále agregován pro potřeby Dohody o partnerství.</w:t>
            </w:r>
          </w:p>
        </w:tc>
      </w:tr>
      <w:tr w:rsidR="00A6182B" w:rsidTr="00A6182B">
        <w:tc>
          <w:tcPr>
            <w:tcW w:w="1668" w:type="dxa"/>
            <w:vAlign w:val="center"/>
          </w:tcPr>
          <w:p w:rsidR="00712D82" w:rsidRPr="00712D82" w:rsidRDefault="00712D82" w:rsidP="00A6182B">
            <w:pPr>
              <w:spacing w:after="120"/>
              <w:rPr>
                <w:b/>
                <w:sz w:val="24"/>
              </w:rPr>
            </w:pPr>
            <w:r w:rsidRPr="00712D82">
              <w:rPr>
                <w:b/>
                <w:sz w:val="24"/>
              </w:rPr>
              <w:t>Půda a horninové prostředí</w:t>
            </w:r>
          </w:p>
        </w:tc>
        <w:tc>
          <w:tcPr>
            <w:tcW w:w="2126" w:type="dxa"/>
            <w:vAlign w:val="center"/>
          </w:tcPr>
          <w:p w:rsidR="00712D82" w:rsidRDefault="00712D82" w:rsidP="00A6182B">
            <w:pPr>
              <w:spacing w:after="120"/>
              <w:rPr>
                <w:sz w:val="24"/>
              </w:rPr>
            </w:pPr>
            <w:r w:rsidRPr="00712D82">
              <w:rPr>
                <w:sz w:val="24"/>
              </w:rPr>
              <w:t>Rozšířené, zrekonstruované nebo nově vybudované kapacity bez záboru zemědělského půdního fondu</w:t>
            </w:r>
            <w:r w:rsidR="00CA5834">
              <w:rPr>
                <w:sz w:val="24"/>
              </w:rPr>
              <w:t xml:space="preserve"> (4 66 01)</w:t>
            </w:r>
          </w:p>
        </w:tc>
        <w:tc>
          <w:tcPr>
            <w:tcW w:w="1417" w:type="dxa"/>
            <w:vAlign w:val="center"/>
          </w:tcPr>
          <w:p w:rsidR="00712D82" w:rsidRDefault="00712D82" w:rsidP="00A6182B">
            <w:pPr>
              <w:spacing w:after="120"/>
              <w:rPr>
                <w:sz w:val="24"/>
              </w:rPr>
            </w:pPr>
            <w:r w:rsidRPr="00712D82">
              <w:rPr>
                <w:sz w:val="24"/>
              </w:rPr>
              <w:t>m</w:t>
            </w:r>
            <w:r w:rsidRPr="00712D82">
              <w:rPr>
                <w:sz w:val="24"/>
                <w:vertAlign w:val="superscript"/>
              </w:rPr>
              <w:t>2</w:t>
            </w:r>
          </w:p>
        </w:tc>
        <w:tc>
          <w:tcPr>
            <w:tcW w:w="1560" w:type="dxa"/>
            <w:vAlign w:val="center"/>
          </w:tcPr>
          <w:p w:rsidR="00712D82" w:rsidRDefault="00712D82" w:rsidP="00A6182B">
            <w:pPr>
              <w:spacing w:after="120"/>
              <w:rPr>
                <w:sz w:val="24"/>
              </w:rPr>
            </w:pPr>
            <w:r>
              <w:rPr>
                <w:sz w:val="24"/>
              </w:rPr>
              <w:t>2.3</w:t>
            </w:r>
          </w:p>
        </w:tc>
        <w:tc>
          <w:tcPr>
            <w:tcW w:w="2753" w:type="dxa"/>
            <w:vAlign w:val="center"/>
          </w:tcPr>
          <w:p w:rsidR="00712D82" w:rsidRDefault="00A6182B" w:rsidP="00A6182B">
            <w:pPr>
              <w:spacing w:after="120"/>
              <w:rPr>
                <w:sz w:val="24"/>
              </w:rPr>
            </w:pPr>
            <w:r>
              <w:rPr>
                <w:sz w:val="24"/>
              </w:rPr>
              <w:t>Výstupový indikátor</w:t>
            </w:r>
          </w:p>
        </w:tc>
      </w:tr>
      <w:tr w:rsidR="00A6182B" w:rsidTr="00A6182B">
        <w:tc>
          <w:tcPr>
            <w:tcW w:w="1668" w:type="dxa"/>
            <w:vMerge w:val="restart"/>
            <w:vAlign w:val="center"/>
          </w:tcPr>
          <w:p w:rsidR="00A6182B" w:rsidRPr="00712D82" w:rsidRDefault="00A6182B" w:rsidP="00A6182B">
            <w:pPr>
              <w:spacing w:after="120"/>
              <w:rPr>
                <w:b/>
                <w:sz w:val="24"/>
              </w:rPr>
            </w:pPr>
            <w:r w:rsidRPr="00712D82">
              <w:rPr>
                <w:b/>
                <w:sz w:val="24"/>
              </w:rPr>
              <w:t xml:space="preserve">Energetika a </w:t>
            </w:r>
            <w:r w:rsidRPr="00712D82">
              <w:rPr>
                <w:b/>
                <w:sz w:val="24"/>
              </w:rPr>
              <w:lastRenderedPageBreak/>
              <w:t>využití OZE</w:t>
            </w:r>
          </w:p>
        </w:tc>
        <w:tc>
          <w:tcPr>
            <w:tcW w:w="2126" w:type="dxa"/>
            <w:vAlign w:val="center"/>
          </w:tcPr>
          <w:p w:rsidR="00A6182B" w:rsidRDefault="00A6182B" w:rsidP="00A6182B">
            <w:pPr>
              <w:spacing w:after="120"/>
              <w:rPr>
                <w:sz w:val="24"/>
              </w:rPr>
            </w:pPr>
            <w:r w:rsidRPr="00A543E6">
              <w:rPr>
                <w:sz w:val="24"/>
              </w:rPr>
              <w:lastRenderedPageBreak/>
              <w:t xml:space="preserve">Výroba tepla z obnovitelných </w:t>
            </w:r>
            <w:r w:rsidRPr="00A543E6">
              <w:rPr>
                <w:sz w:val="24"/>
              </w:rPr>
              <w:lastRenderedPageBreak/>
              <w:t>zdrojů celkem</w:t>
            </w:r>
            <w:r w:rsidR="00CA5834">
              <w:rPr>
                <w:sz w:val="24"/>
              </w:rPr>
              <w:t xml:space="preserve"> (3 48 00)</w:t>
            </w:r>
          </w:p>
        </w:tc>
        <w:tc>
          <w:tcPr>
            <w:tcW w:w="1417" w:type="dxa"/>
            <w:vAlign w:val="center"/>
          </w:tcPr>
          <w:p w:rsidR="00A6182B" w:rsidRDefault="00A6182B" w:rsidP="00A6182B">
            <w:pPr>
              <w:spacing w:after="120"/>
              <w:rPr>
                <w:sz w:val="24"/>
              </w:rPr>
            </w:pPr>
            <w:r w:rsidRPr="00A543E6">
              <w:rPr>
                <w:sz w:val="24"/>
              </w:rPr>
              <w:lastRenderedPageBreak/>
              <w:t>TJ/rok</w:t>
            </w:r>
          </w:p>
        </w:tc>
        <w:tc>
          <w:tcPr>
            <w:tcW w:w="1560" w:type="dxa"/>
            <w:vAlign w:val="center"/>
          </w:tcPr>
          <w:p w:rsidR="00A6182B" w:rsidRDefault="00A6182B" w:rsidP="00A6182B">
            <w:pPr>
              <w:spacing w:after="120"/>
              <w:rPr>
                <w:sz w:val="24"/>
              </w:rPr>
            </w:pPr>
            <w:r>
              <w:rPr>
                <w:sz w:val="24"/>
              </w:rPr>
              <w:t>3.1</w:t>
            </w:r>
          </w:p>
        </w:tc>
        <w:tc>
          <w:tcPr>
            <w:tcW w:w="2753" w:type="dxa"/>
            <w:vAlign w:val="center"/>
          </w:tcPr>
          <w:p w:rsidR="00A6182B" w:rsidRDefault="00A6182B" w:rsidP="00A6182B">
            <w:pPr>
              <w:spacing w:after="120"/>
              <w:rPr>
                <w:sz w:val="24"/>
              </w:rPr>
            </w:pPr>
            <w:r>
              <w:rPr>
                <w:sz w:val="24"/>
              </w:rPr>
              <w:t xml:space="preserve">Indikátor bude u daného SC monitorován interně </w:t>
            </w:r>
            <w:r>
              <w:rPr>
                <w:sz w:val="24"/>
              </w:rPr>
              <w:lastRenderedPageBreak/>
              <w:t>na projektové úrovni nad rámec výstupových či výsledkových indikátorů daného specifického cíle. Indikátor bude dále agregován pro potřeby Dohody o partnerství.</w:t>
            </w:r>
          </w:p>
        </w:tc>
      </w:tr>
      <w:tr w:rsidR="00A6182B" w:rsidTr="00A6182B">
        <w:tc>
          <w:tcPr>
            <w:tcW w:w="1668" w:type="dxa"/>
            <w:vMerge/>
            <w:vAlign w:val="center"/>
          </w:tcPr>
          <w:p w:rsidR="00A6182B" w:rsidRPr="00712D82" w:rsidRDefault="00A6182B" w:rsidP="00A6182B">
            <w:pPr>
              <w:spacing w:after="120"/>
              <w:rPr>
                <w:b/>
                <w:sz w:val="24"/>
              </w:rPr>
            </w:pPr>
          </w:p>
        </w:tc>
        <w:tc>
          <w:tcPr>
            <w:tcW w:w="2126" w:type="dxa"/>
            <w:vAlign w:val="center"/>
          </w:tcPr>
          <w:p w:rsidR="00A6182B" w:rsidRPr="00A543E6" w:rsidRDefault="00A6182B" w:rsidP="00A6182B">
            <w:pPr>
              <w:spacing w:after="120"/>
              <w:rPr>
                <w:sz w:val="24"/>
              </w:rPr>
            </w:pPr>
            <w:r w:rsidRPr="00A543E6">
              <w:rPr>
                <w:sz w:val="24"/>
              </w:rPr>
              <w:t>Výroba elektrické energie z obnovitelných zdrojů</w:t>
            </w:r>
            <w:r w:rsidR="00CA5834">
              <w:rPr>
                <w:sz w:val="24"/>
              </w:rPr>
              <w:t xml:space="preserve"> (3 46 01)</w:t>
            </w:r>
          </w:p>
        </w:tc>
        <w:tc>
          <w:tcPr>
            <w:tcW w:w="1417" w:type="dxa"/>
            <w:vAlign w:val="center"/>
          </w:tcPr>
          <w:p w:rsidR="00A6182B" w:rsidRDefault="00A6182B" w:rsidP="00A6182B">
            <w:pPr>
              <w:spacing w:after="120"/>
              <w:rPr>
                <w:sz w:val="24"/>
              </w:rPr>
            </w:pPr>
            <w:r w:rsidRPr="00A543E6">
              <w:rPr>
                <w:sz w:val="24"/>
              </w:rPr>
              <w:t>GWh/rok</w:t>
            </w:r>
          </w:p>
        </w:tc>
        <w:tc>
          <w:tcPr>
            <w:tcW w:w="1560" w:type="dxa"/>
            <w:vAlign w:val="center"/>
          </w:tcPr>
          <w:p w:rsidR="00A6182B" w:rsidRDefault="00A6182B" w:rsidP="00A6182B">
            <w:pPr>
              <w:spacing w:after="120"/>
              <w:rPr>
                <w:sz w:val="24"/>
              </w:rPr>
            </w:pPr>
            <w:r>
              <w:rPr>
                <w:sz w:val="24"/>
              </w:rPr>
              <w:t>3.1</w:t>
            </w:r>
          </w:p>
        </w:tc>
        <w:tc>
          <w:tcPr>
            <w:tcW w:w="2753" w:type="dxa"/>
            <w:vAlign w:val="center"/>
          </w:tcPr>
          <w:p w:rsidR="00A6182B" w:rsidRDefault="00A6182B" w:rsidP="00A6182B">
            <w:pPr>
              <w:spacing w:after="120"/>
              <w:rPr>
                <w:sz w:val="24"/>
              </w:rPr>
            </w:pPr>
            <w:r>
              <w:rPr>
                <w:sz w:val="24"/>
              </w:rPr>
              <w:t>Indikátor bude u daného SC monitorován interně na projektové úrovni nad rámec výstupových či výsledkových indikátorů daného specifického cíle. Indikátor bude dále agregován pro potřeby Dohody o partnerství.</w:t>
            </w:r>
          </w:p>
        </w:tc>
      </w:tr>
      <w:tr w:rsidR="00A6182B" w:rsidTr="00A6182B">
        <w:tc>
          <w:tcPr>
            <w:tcW w:w="1668" w:type="dxa"/>
            <w:vAlign w:val="center"/>
          </w:tcPr>
          <w:p w:rsidR="00712D82" w:rsidRPr="00712D82" w:rsidRDefault="00712D82" w:rsidP="00A6182B">
            <w:pPr>
              <w:spacing w:after="120"/>
              <w:rPr>
                <w:b/>
                <w:sz w:val="24"/>
              </w:rPr>
            </w:pPr>
            <w:r w:rsidRPr="00712D82">
              <w:rPr>
                <w:b/>
                <w:sz w:val="24"/>
              </w:rPr>
              <w:t>Aplikace environmentálních technologií</w:t>
            </w:r>
          </w:p>
        </w:tc>
        <w:tc>
          <w:tcPr>
            <w:tcW w:w="2126" w:type="dxa"/>
            <w:vAlign w:val="center"/>
          </w:tcPr>
          <w:p w:rsidR="00712D82" w:rsidRDefault="00712D82" w:rsidP="00A6182B">
            <w:pPr>
              <w:spacing w:after="120"/>
              <w:rPr>
                <w:sz w:val="24"/>
              </w:rPr>
            </w:pPr>
            <w:r w:rsidRPr="00712D82">
              <w:rPr>
                <w:sz w:val="24"/>
              </w:rPr>
              <w:t>Aplikované inovativní nízkouhlíkové technologie</w:t>
            </w:r>
            <w:r w:rsidR="00CA5834">
              <w:rPr>
                <w:sz w:val="24"/>
              </w:rPr>
              <w:t xml:space="preserve"> (2 17 10)</w:t>
            </w:r>
          </w:p>
        </w:tc>
        <w:tc>
          <w:tcPr>
            <w:tcW w:w="1417" w:type="dxa"/>
            <w:vAlign w:val="center"/>
          </w:tcPr>
          <w:p w:rsidR="00712D82" w:rsidRDefault="00712D82" w:rsidP="00A6182B">
            <w:pPr>
              <w:spacing w:after="120"/>
              <w:rPr>
                <w:sz w:val="24"/>
              </w:rPr>
            </w:pPr>
            <w:r w:rsidRPr="00712D82">
              <w:rPr>
                <w:sz w:val="24"/>
              </w:rPr>
              <w:t>technologie</w:t>
            </w:r>
          </w:p>
        </w:tc>
        <w:tc>
          <w:tcPr>
            <w:tcW w:w="1560" w:type="dxa"/>
            <w:vAlign w:val="center"/>
          </w:tcPr>
          <w:p w:rsidR="00712D82" w:rsidRDefault="00A6182B" w:rsidP="00A6182B">
            <w:pPr>
              <w:spacing w:after="120"/>
              <w:rPr>
                <w:sz w:val="24"/>
              </w:rPr>
            </w:pPr>
            <w:r>
              <w:rPr>
                <w:sz w:val="24"/>
              </w:rPr>
              <w:t>3.4</w:t>
            </w:r>
          </w:p>
        </w:tc>
        <w:tc>
          <w:tcPr>
            <w:tcW w:w="2753" w:type="dxa"/>
            <w:vAlign w:val="center"/>
          </w:tcPr>
          <w:p w:rsidR="00712D82" w:rsidRDefault="00A6182B" w:rsidP="00A6182B">
            <w:pPr>
              <w:spacing w:after="120"/>
              <w:rPr>
                <w:sz w:val="24"/>
              </w:rPr>
            </w:pPr>
            <w:r>
              <w:rPr>
                <w:sz w:val="24"/>
              </w:rPr>
              <w:t>Výsledkový indikátor</w:t>
            </w:r>
          </w:p>
        </w:tc>
      </w:tr>
    </w:tbl>
    <w:p w:rsidR="001157E9" w:rsidRDefault="001157E9" w:rsidP="001157E9">
      <w:pPr>
        <w:spacing w:after="120"/>
        <w:jc w:val="both"/>
        <w:rPr>
          <w:sz w:val="24"/>
        </w:rPr>
      </w:pPr>
    </w:p>
    <w:p w:rsidR="001157E9" w:rsidRDefault="00494C65" w:rsidP="001157E9">
      <w:pPr>
        <w:spacing w:after="120"/>
        <w:jc w:val="both"/>
        <w:rPr>
          <w:sz w:val="24"/>
        </w:rPr>
      </w:pPr>
      <w:r>
        <w:rPr>
          <w:sz w:val="24"/>
        </w:rPr>
        <w:t xml:space="preserve">Tyto environmentální indikátory budou </w:t>
      </w:r>
      <w:r w:rsidR="003F5F81">
        <w:rPr>
          <w:sz w:val="24"/>
        </w:rPr>
        <w:t>sledovány v </w:t>
      </w:r>
      <w:r w:rsidR="00B06E3F">
        <w:rPr>
          <w:sz w:val="24"/>
        </w:rPr>
        <w:t>informačním</w:t>
      </w:r>
      <w:r w:rsidR="003F5F81">
        <w:rPr>
          <w:sz w:val="24"/>
        </w:rPr>
        <w:t xml:space="preserve"> systému MS2014+ a budou </w:t>
      </w:r>
      <w:r>
        <w:rPr>
          <w:sz w:val="24"/>
        </w:rPr>
        <w:t xml:space="preserve">pravidelně </w:t>
      </w:r>
      <w:r w:rsidR="003F5F81">
        <w:rPr>
          <w:sz w:val="24"/>
        </w:rPr>
        <w:t xml:space="preserve">vykazovány a </w:t>
      </w:r>
      <w:r>
        <w:rPr>
          <w:sz w:val="24"/>
        </w:rPr>
        <w:t xml:space="preserve">vyhodnocovány </w:t>
      </w:r>
      <w:r w:rsidR="003F5F81" w:rsidRPr="003F5F81">
        <w:rPr>
          <w:sz w:val="24"/>
        </w:rPr>
        <w:t>ve zprávách a informacích o implementaci</w:t>
      </w:r>
      <w:r w:rsidR="003F5F81">
        <w:rPr>
          <w:sz w:val="24"/>
        </w:rPr>
        <w:t xml:space="preserve"> operačního programu.</w:t>
      </w:r>
    </w:p>
    <w:p w:rsidR="0073117A" w:rsidRDefault="0073117A" w:rsidP="001157E9">
      <w:pPr>
        <w:spacing w:after="120"/>
        <w:jc w:val="both"/>
        <w:rPr>
          <w:sz w:val="24"/>
        </w:rPr>
      </w:pPr>
      <w:r w:rsidRPr="0073117A">
        <w:rPr>
          <w:sz w:val="24"/>
        </w:rPr>
        <w:t>Současně dle čl. 8 nařízení</w:t>
      </w:r>
      <w:r w:rsidR="003F5F81">
        <w:rPr>
          <w:sz w:val="24"/>
        </w:rPr>
        <w:t xml:space="preserve"> č. 1303/2013</w:t>
      </w:r>
      <w:r w:rsidRPr="0073117A">
        <w:rPr>
          <w:sz w:val="24"/>
        </w:rPr>
        <w:t xml:space="preserve"> </w:t>
      </w:r>
      <w:r w:rsidR="003F5F81">
        <w:rPr>
          <w:sz w:val="24"/>
        </w:rPr>
        <w:t>bude</w:t>
      </w:r>
      <w:r w:rsidRPr="0073117A">
        <w:rPr>
          <w:sz w:val="24"/>
        </w:rPr>
        <w:t xml:space="preserve"> u </w:t>
      </w:r>
      <w:r w:rsidR="003F5F81">
        <w:rPr>
          <w:sz w:val="24"/>
        </w:rPr>
        <w:t>relevantních intervencí</w:t>
      </w:r>
      <w:r w:rsidRPr="0073117A">
        <w:rPr>
          <w:sz w:val="24"/>
        </w:rPr>
        <w:t xml:space="preserve"> sledováno plnění cílů v oblasti klimatických změn a na základě </w:t>
      </w:r>
      <w:r w:rsidR="00BD2BD3">
        <w:rPr>
          <w:sz w:val="24"/>
        </w:rPr>
        <w:t>prováděcího nařízení EK č. 215/2014 b</w:t>
      </w:r>
      <w:r w:rsidR="00B71A76">
        <w:rPr>
          <w:sz w:val="24"/>
        </w:rPr>
        <w:t>udou</w:t>
      </w:r>
      <w:r w:rsidRPr="0073117A">
        <w:rPr>
          <w:sz w:val="24"/>
        </w:rPr>
        <w:t xml:space="preserve"> v rámci relevantních projektů monitorovány příspěvky intervencí k této problematice</w:t>
      </w:r>
      <w:r w:rsidR="00B71A76">
        <w:rPr>
          <w:sz w:val="24"/>
        </w:rPr>
        <w:t xml:space="preserve">. Výše tohoto příspěvku bude vykazována ve výročních zprávách v roce 2017 a 2019 a v závěrečné zprávě. V případě </w:t>
      </w:r>
      <w:r w:rsidR="003B523F">
        <w:rPr>
          <w:sz w:val="24"/>
        </w:rPr>
        <w:t xml:space="preserve">OP PIK budou </w:t>
      </w:r>
      <w:r w:rsidR="00E809E7">
        <w:rPr>
          <w:sz w:val="24"/>
        </w:rPr>
        <w:t xml:space="preserve">pro tyto účely </w:t>
      </w:r>
      <w:r w:rsidR="003B523F">
        <w:rPr>
          <w:sz w:val="24"/>
        </w:rPr>
        <w:t xml:space="preserve">sledovány následující </w:t>
      </w:r>
      <w:r w:rsidR="00B71A76">
        <w:rPr>
          <w:sz w:val="24"/>
        </w:rPr>
        <w:t>kódy intervencí:</w:t>
      </w:r>
    </w:p>
    <w:p w:rsidR="003B523F" w:rsidRDefault="003B523F" w:rsidP="003B523F">
      <w:pPr>
        <w:pStyle w:val="Odstavecseseznamem"/>
        <w:numPr>
          <w:ilvl w:val="0"/>
          <w:numId w:val="2"/>
        </w:numPr>
        <w:spacing w:after="120"/>
        <w:jc w:val="both"/>
        <w:rPr>
          <w:sz w:val="24"/>
        </w:rPr>
      </w:pPr>
      <w:r>
        <w:rPr>
          <w:sz w:val="24"/>
        </w:rPr>
        <w:t>prioritní osa 1: 065</w:t>
      </w:r>
    </w:p>
    <w:p w:rsidR="003B523F" w:rsidRPr="003B523F" w:rsidRDefault="003B523F" w:rsidP="003B523F">
      <w:pPr>
        <w:pStyle w:val="Odstavecseseznamem"/>
        <w:numPr>
          <w:ilvl w:val="0"/>
          <w:numId w:val="2"/>
        </w:numPr>
        <w:spacing w:after="120"/>
        <w:jc w:val="both"/>
        <w:rPr>
          <w:sz w:val="24"/>
        </w:rPr>
      </w:pPr>
      <w:r>
        <w:rPr>
          <w:sz w:val="24"/>
        </w:rPr>
        <w:t>prioritní osa 3: 003, 011, 012, 015, 016, 068, 069 a 070.</w:t>
      </w:r>
    </w:p>
    <w:p w:rsidR="00811E29" w:rsidRDefault="00D358C6" w:rsidP="00811E29">
      <w:pPr>
        <w:jc w:val="both"/>
        <w:rPr>
          <w:sz w:val="24"/>
        </w:rPr>
      </w:pPr>
      <w:r w:rsidRPr="00D358C6">
        <w:rPr>
          <w:sz w:val="24"/>
        </w:rPr>
        <w:t>Při realizaci projektu</w:t>
      </w:r>
      <w:r>
        <w:rPr>
          <w:sz w:val="24"/>
        </w:rPr>
        <w:t xml:space="preserve"> bude</w:t>
      </w:r>
      <w:r w:rsidRPr="00D358C6">
        <w:rPr>
          <w:sz w:val="24"/>
        </w:rPr>
        <w:t xml:space="preserve"> prováděna kontrola dodržování a naplňování smluvních podmínek</w:t>
      </w:r>
      <w:r w:rsidR="009A72AB">
        <w:rPr>
          <w:sz w:val="24"/>
        </w:rPr>
        <w:t>, jejichž</w:t>
      </w:r>
      <w:r w:rsidRPr="00D358C6">
        <w:rPr>
          <w:sz w:val="24"/>
        </w:rPr>
        <w:t xml:space="preserve"> součástí </w:t>
      </w:r>
      <w:r w:rsidR="009A72AB">
        <w:rPr>
          <w:sz w:val="24"/>
        </w:rPr>
        <w:t>bude</w:t>
      </w:r>
      <w:r w:rsidRPr="00D358C6">
        <w:rPr>
          <w:sz w:val="24"/>
        </w:rPr>
        <w:t xml:space="preserve"> kontrola podmínek z hlediska ochrany životního prostředí, stanovených v rámci hodnocení projektu na základě údajů v předložené projektové žádosti. Jejich nedodržení v průběhu realizace projektu může vést ke změně rozhodnutí o přidělení finančních prostředků na daný projekt.</w:t>
      </w:r>
      <w:r w:rsidR="009A72AB">
        <w:rPr>
          <w:sz w:val="24"/>
        </w:rPr>
        <w:t xml:space="preserve"> </w:t>
      </w:r>
      <w:r w:rsidR="00811E29">
        <w:rPr>
          <w:sz w:val="24"/>
        </w:rPr>
        <w:t>Z hlediska výběru projektů</w:t>
      </w:r>
      <w:r w:rsidR="00AC77CD">
        <w:rPr>
          <w:sz w:val="24"/>
        </w:rPr>
        <w:t xml:space="preserve"> bude </w:t>
      </w:r>
      <w:r w:rsidR="00AC77CD" w:rsidRPr="00AC77CD">
        <w:rPr>
          <w:sz w:val="24"/>
        </w:rPr>
        <w:t xml:space="preserve">sledován soulad </w:t>
      </w:r>
      <w:r w:rsidR="00811E29">
        <w:rPr>
          <w:sz w:val="24"/>
        </w:rPr>
        <w:t xml:space="preserve">daného </w:t>
      </w:r>
      <w:r w:rsidR="00AC77CD" w:rsidRPr="00AC77CD">
        <w:rPr>
          <w:sz w:val="24"/>
        </w:rPr>
        <w:t>projektu s horizontálním princip</w:t>
      </w:r>
      <w:r w:rsidR="00AC77CD">
        <w:rPr>
          <w:sz w:val="24"/>
        </w:rPr>
        <w:t>em</w:t>
      </w:r>
      <w:r w:rsidR="00AC77CD" w:rsidRPr="00AC77CD">
        <w:rPr>
          <w:sz w:val="24"/>
        </w:rPr>
        <w:t xml:space="preserve"> udržitelný rozvoj. </w:t>
      </w:r>
      <w:r w:rsidR="00811E29" w:rsidRPr="00811E29">
        <w:rPr>
          <w:sz w:val="24"/>
        </w:rPr>
        <w:t>Dodržování zásad udržitelného rozvoje bude vyžadováno na úrovni každého projektu</w:t>
      </w:r>
      <w:r w:rsidR="00811E29">
        <w:rPr>
          <w:sz w:val="24"/>
        </w:rPr>
        <w:t xml:space="preserve">. </w:t>
      </w:r>
      <w:r w:rsidR="00AC77CD" w:rsidRPr="00811E29">
        <w:rPr>
          <w:sz w:val="24"/>
        </w:rPr>
        <w:t xml:space="preserve">Žadatel o podporu bude muset </w:t>
      </w:r>
      <w:r w:rsidR="00AC77CD">
        <w:rPr>
          <w:sz w:val="24"/>
        </w:rPr>
        <w:t>v projektové žádosti</w:t>
      </w:r>
      <w:r w:rsidR="00AC77CD" w:rsidRPr="00AC77CD">
        <w:rPr>
          <w:sz w:val="24"/>
        </w:rPr>
        <w:t xml:space="preserve"> popsat vliv projektu na udržitelný rozvoj, tj. určit, zda je projekt zaměřen zejména na podporu udržitelného rozvoje, popř. zda má projekt pozitivní dopad na udržitelný rozvoj či zda je z hlediska udržitelného rozvoje neutrální.</w:t>
      </w:r>
      <w:r w:rsidR="00811E29">
        <w:rPr>
          <w:sz w:val="24"/>
        </w:rPr>
        <w:t xml:space="preserve"> </w:t>
      </w:r>
      <w:r w:rsidR="00AC77CD" w:rsidRPr="00AC77CD">
        <w:rPr>
          <w:sz w:val="24"/>
        </w:rPr>
        <w:t>Projekt, který bude v rozporu s</w:t>
      </w:r>
      <w:r w:rsidR="00811E29">
        <w:rPr>
          <w:sz w:val="24"/>
        </w:rPr>
        <w:t> </w:t>
      </w:r>
      <w:r w:rsidR="00AC77CD" w:rsidRPr="00AC77CD">
        <w:rPr>
          <w:sz w:val="24"/>
        </w:rPr>
        <w:t>principy</w:t>
      </w:r>
      <w:r w:rsidR="00811E29">
        <w:rPr>
          <w:sz w:val="24"/>
        </w:rPr>
        <w:t xml:space="preserve"> udržitelného rozvoje</w:t>
      </w:r>
      <w:r w:rsidR="00AC77CD" w:rsidRPr="00AC77CD">
        <w:rPr>
          <w:sz w:val="24"/>
        </w:rPr>
        <w:t>, nebude v rámci OP PIK podpořen</w:t>
      </w:r>
      <w:r w:rsidR="00811E29">
        <w:rPr>
          <w:sz w:val="24"/>
        </w:rPr>
        <w:t>. Nad rámec toho, bude u vybraných specifických cílů (3.1, 3.2 a 3.5) uplatňováno výběrové kritérium „BAT“ spočívající v tom, že p</w:t>
      </w:r>
      <w:r w:rsidR="00811E29" w:rsidRPr="00811E29">
        <w:rPr>
          <w:sz w:val="24"/>
        </w:rPr>
        <w:t xml:space="preserve">rojekt </w:t>
      </w:r>
      <w:r w:rsidR="00811E29">
        <w:rPr>
          <w:sz w:val="24"/>
        </w:rPr>
        <w:t>bude muset</w:t>
      </w:r>
      <w:r w:rsidR="00811E29" w:rsidRPr="00811E29">
        <w:rPr>
          <w:sz w:val="24"/>
        </w:rPr>
        <w:t xml:space="preserve"> splňovat požadavky na úrovni kladené spodní polovinou intervalu nejlepších dostupných technik</w:t>
      </w:r>
      <w:r w:rsidR="00811E29">
        <w:rPr>
          <w:sz w:val="24"/>
        </w:rPr>
        <w:t>.</w:t>
      </w:r>
      <w:r w:rsidR="00811E29">
        <w:rPr>
          <w:sz w:val="24"/>
        </w:rPr>
        <w:br w:type="page"/>
      </w:r>
    </w:p>
    <w:p w:rsidR="007E5FC3" w:rsidRPr="007E5FC3" w:rsidRDefault="007E5FC3" w:rsidP="007E5FC3">
      <w:pPr>
        <w:pStyle w:val="Odstavecseseznamem"/>
        <w:numPr>
          <w:ilvl w:val="0"/>
          <w:numId w:val="1"/>
        </w:numPr>
        <w:jc w:val="both"/>
        <w:rPr>
          <w:b/>
          <w:sz w:val="24"/>
        </w:rPr>
      </w:pPr>
      <w:r w:rsidRPr="007E5FC3">
        <w:rPr>
          <w:b/>
          <w:sz w:val="24"/>
        </w:rPr>
        <w:lastRenderedPageBreak/>
        <w:t>Informace o</w:t>
      </w:r>
      <w:r>
        <w:rPr>
          <w:b/>
          <w:sz w:val="24"/>
        </w:rPr>
        <w:t xml:space="preserve"> konzultacích s</w:t>
      </w:r>
      <w:r w:rsidR="002A4A28">
        <w:rPr>
          <w:b/>
          <w:sz w:val="24"/>
        </w:rPr>
        <w:t> </w:t>
      </w:r>
      <w:r>
        <w:rPr>
          <w:b/>
          <w:sz w:val="24"/>
        </w:rPr>
        <w:t>veřejností</w:t>
      </w:r>
      <w:r w:rsidR="002A4A28">
        <w:rPr>
          <w:b/>
          <w:sz w:val="24"/>
        </w:rPr>
        <w:t xml:space="preserve"> a </w:t>
      </w:r>
      <w:r w:rsidR="00890D8E">
        <w:rPr>
          <w:b/>
          <w:sz w:val="24"/>
        </w:rPr>
        <w:t>dotčeným orgánem státní správy (</w:t>
      </w:r>
      <w:r w:rsidR="002A4A28">
        <w:rPr>
          <w:b/>
          <w:sz w:val="24"/>
        </w:rPr>
        <w:t>Ministerstv</w:t>
      </w:r>
      <w:r w:rsidR="00890D8E">
        <w:rPr>
          <w:b/>
          <w:sz w:val="24"/>
        </w:rPr>
        <w:t>o</w:t>
      </w:r>
      <w:r w:rsidR="002A4A28">
        <w:rPr>
          <w:b/>
          <w:sz w:val="24"/>
        </w:rPr>
        <w:t xml:space="preserve"> životního prostředí</w:t>
      </w:r>
      <w:r w:rsidR="00890D8E">
        <w:rPr>
          <w:b/>
          <w:sz w:val="24"/>
        </w:rPr>
        <w:t>)</w:t>
      </w:r>
    </w:p>
    <w:p w:rsidR="007E5FC3" w:rsidRDefault="007E5FC3" w:rsidP="007E5FC3">
      <w:pPr>
        <w:jc w:val="both"/>
        <w:rPr>
          <w:sz w:val="24"/>
        </w:rPr>
      </w:pPr>
    </w:p>
    <w:p w:rsidR="00EF67BF" w:rsidRDefault="00EF67BF" w:rsidP="0066162F">
      <w:pPr>
        <w:spacing w:after="120"/>
        <w:jc w:val="both"/>
        <w:rPr>
          <w:sz w:val="24"/>
        </w:rPr>
      </w:pPr>
      <w:r w:rsidRPr="004A6DE2">
        <w:rPr>
          <w:sz w:val="24"/>
        </w:rPr>
        <w:t xml:space="preserve">V rámci přípravy SEA hodnocení se </w:t>
      </w:r>
      <w:r w:rsidR="002A4A28">
        <w:rPr>
          <w:sz w:val="24"/>
        </w:rPr>
        <w:t xml:space="preserve">nad rámec požadavků vyplývající ze zákona č. 100/2001 Sb. </w:t>
      </w:r>
      <w:r w:rsidRPr="004A6DE2">
        <w:rPr>
          <w:sz w:val="24"/>
        </w:rPr>
        <w:t xml:space="preserve">uskutečnil dne 25. 11. 2013 úvodní seminář k SEA hodnocení OP PIK za účasti zástupců </w:t>
      </w:r>
      <w:r w:rsidR="002A4A28">
        <w:rPr>
          <w:sz w:val="24"/>
        </w:rPr>
        <w:t>Řídícího orgánu OP PIK</w:t>
      </w:r>
      <w:r w:rsidRPr="004A6DE2">
        <w:rPr>
          <w:sz w:val="24"/>
        </w:rPr>
        <w:t>, členů týmu zpr</w:t>
      </w:r>
      <w:r w:rsidR="00890D8E">
        <w:rPr>
          <w:sz w:val="24"/>
        </w:rPr>
        <w:t>acovatelů SEA hodnocení OP PIK,</w:t>
      </w:r>
      <w:r w:rsidRPr="004A6DE2">
        <w:rPr>
          <w:sz w:val="24"/>
        </w:rPr>
        <w:t xml:space="preserve"> účastníků z dotčené státní správy, odborné veřejnosti, zástupců NNO a dalších institucí.</w:t>
      </w:r>
      <w:r w:rsidR="0041720E" w:rsidRPr="0041720E">
        <w:t xml:space="preserve"> </w:t>
      </w:r>
      <w:r w:rsidR="0041720E" w:rsidRPr="0041720E">
        <w:rPr>
          <w:sz w:val="24"/>
        </w:rPr>
        <w:t>Předmětem úvodního semináře bylo seznámení účastníků se stavem přípravy OP PIK, s postupem procesu posouzení vlivů OP PIK na životní prostředí a veřejné zdraví (SEA) podle zákona č. 100/2001 Sb., a poskytnutí možnosti vznášet návrhy a doporučení, vztahující se k procesu posouzení vlivů OP PIK na životní prostředí a veřejné zdraví respektive k návrhu hodnocení. Z diskuse vyplynula některá témata (např. eko-inovace, podpora OZE, zejména využití biomasy apod.), na která se poté soustředila pozornost v rámci zpracování OP PIK a také SEA hodnocení.</w:t>
      </w:r>
    </w:p>
    <w:p w:rsidR="00890D8E" w:rsidRDefault="00890D8E" w:rsidP="0066162F">
      <w:pPr>
        <w:spacing w:after="120"/>
        <w:jc w:val="both"/>
        <w:rPr>
          <w:sz w:val="24"/>
        </w:rPr>
      </w:pPr>
      <w:r>
        <w:rPr>
          <w:sz w:val="24"/>
        </w:rPr>
        <w:t>V únoru a březnu 2014 se uskutečnilo několik koordinačních jednání k problematice environmentálních indikátorů, na nichž řídící orgány konzultovaly s </w:t>
      </w:r>
      <w:r w:rsidR="00BF102A">
        <w:rPr>
          <w:sz w:val="24"/>
        </w:rPr>
        <w:t>MŽP</w:t>
      </w:r>
      <w:r>
        <w:rPr>
          <w:sz w:val="24"/>
        </w:rPr>
        <w:t xml:space="preserve"> a Národním orgánem pro koordinaci </w:t>
      </w:r>
      <w:r w:rsidR="00BE18F0">
        <w:rPr>
          <w:sz w:val="24"/>
        </w:rPr>
        <w:t>využití vhodných</w:t>
      </w:r>
      <w:r>
        <w:rPr>
          <w:sz w:val="24"/>
        </w:rPr>
        <w:t xml:space="preserve"> indikátorů v oblastech životního prostředí (ovzduší, klima, voda, půda a horninové složení, příroda a krajina, energetika, využití OZE</w:t>
      </w:r>
      <w:r w:rsidR="00BE18F0">
        <w:rPr>
          <w:sz w:val="24"/>
        </w:rPr>
        <w:t>,</w:t>
      </w:r>
      <w:r>
        <w:rPr>
          <w:sz w:val="24"/>
        </w:rPr>
        <w:t xml:space="preserve"> odpady</w:t>
      </w:r>
      <w:r w:rsidR="00BE18F0">
        <w:rPr>
          <w:sz w:val="24"/>
        </w:rPr>
        <w:t>, doprava a veřejné zdraví)</w:t>
      </w:r>
      <w:r>
        <w:rPr>
          <w:sz w:val="24"/>
        </w:rPr>
        <w:t>.</w:t>
      </w:r>
      <w:r w:rsidR="00BE18F0">
        <w:rPr>
          <w:sz w:val="24"/>
        </w:rPr>
        <w:t xml:space="preserve"> Cílem těchto jednání bylo </w:t>
      </w:r>
      <w:r w:rsidR="00BE18F0" w:rsidRPr="00BE18F0">
        <w:rPr>
          <w:sz w:val="24"/>
        </w:rPr>
        <w:t xml:space="preserve">sladění souboru </w:t>
      </w:r>
      <w:r w:rsidR="00BE18F0">
        <w:rPr>
          <w:sz w:val="24"/>
        </w:rPr>
        <w:t xml:space="preserve">environmentálních </w:t>
      </w:r>
      <w:r w:rsidR="00BE18F0" w:rsidRPr="00BE18F0">
        <w:rPr>
          <w:sz w:val="24"/>
        </w:rPr>
        <w:t>indikátorů tak, aby nově navržené indikátory byly sledovány ve všech relevantních programech jednotně</w:t>
      </w:r>
      <w:r w:rsidR="00BE18F0">
        <w:rPr>
          <w:sz w:val="24"/>
        </w:rPr>
        <w:t xml:space="preserve"> a aby </w:t>
      </w:r>
      <w:r w:rsidR="00EC2F68">
        <w:rPr>
          <w:sz w:val="24"/>
        </w:rPr>
        <w:t>mohl být zajištěn souborný monitoring</w:t>
      </w:r>
      <w:r w:rsidR="00BE18F0">
        <w:rPr>
          <w:sz w:val="24"/>
        </w:rPr>
        <w:t xml:space="preserve"> vliv</w:t>
      </w:r>
      <w:r w:rsidR="00EC2F68">
        <w:rPr>
          <w:sz w:val="24"/>
        </w:rPr>
        <w:t>ů</w:t>
      </w:r>
      <w:r w:rsidR="00BE18F0">
        <w:rPr>
          <w:sz w:val="24"/>
        </w:rPr>
        <w:t xml:space="preserve"> Dohody o partnerství na životní prostředí</w:t>
      </w:r>
      <w:r w:rsidR="00BE18F0" w:rsidRPr="00BE18F0">
        <w:rPr>
          <w:sz w:val="24"/>
        </w:rPr>
        <w:t>.</w:t>
      </w:r>
    </w:p>
    <w:p w:rsidR="0066162F" w:rsidRDefault="0041720E" w:rsidP="0066162F">
      <w:pPr>
        <w:spacing w:after="120"/>
        <w:jc w:val="both"/>
        <w:rPr>
          <w:sz w:val="24"/>
        </w:rPr>
      </w:pPr>
      <w:r w:rsidRPr="0041720E">
        <w:rPr>
          <w:sz w:val="24"/>
        </w:rPr>
        <w:t xml:space="preserve">Dne 18. 6. 2014 se uskutečnilo veřejné </w:t>
      </w:r>
      <w:r w:rsidR="00DB6F45">
        <w:rPr>
          <w:sz w:val="24"/>
        </w:rPr>
        <w:t>projednání návrhu OP PIK a vy</w:t>
      </w:r>
      <w:r w:rsidRPr="0041720E">
        <w:rPr>
          <w:sz w:val="24"/>
        </w:rPr>
        <w:t>hodnocení</w:t>
      </w:r>
      <w:r w:rsidR="00DB6F45">
        <w:rPr>
          <w:sz w:val="24"/>
        </w:rPr>
        <w:t xml:space="preserve"> jeho vlivů na životní prostředí dle § 10f zákona č. 100/2001 Sb</w:t>
      </w:r>
      <w:r w:rsidRPr="0041720E">
        <w:rPr>
          <w:sz w:val="24"/>
        </w:rPr>
        <w:t>. Na jednání byl prezentován návrh OP PIK a poté bylo představeno SEA hodnocení a jeho hlavní výstupy, včetně návrhu stanoviska</w:t>
      </w:r>
      <w:r w:rsidR="00DB6F45">
        <w:rPr>
          <w:sz w:val="24"/>
        </w:rPr>
        <w:t xml:space="preserve"> </w:t>
      </w:r>
      <w:r w:rsidR="00BF102A">
        <w:rPr>
          <w:sz w:val="24"/>
        </w:rPr>
        <w:t>MŽP</w:t>
      </w:r>
      <w:r w:rsidRPr="0041720E">
        <w:rPr>
          <w:sz w:val="24"/>
        </w:rPr>
        <w:t>. Veřejného projednání se zúčastnilo několik zástupců odborné veřejnosti. V rámci diskuse nebyly vznese</w:t>
      </w:r>
      <w:r w:rsidR="00DB6F45">
        <w:rPr>
          <w:sz w:val="24"/>
        </w:rPr>
        <w:t>ny žádné dotazy ani připomínky</w:t>
      </w:r>
      <w:r w:rsidR="00DB6F45">
        <w:rPr>
          <w:rStyle w:val="Znakapoznpodarou"/>
          <w:sz w:val="24"/>
        </w:rPr>
        <w:footnoteReference w:id="2"/>
      </w:r>
      <w:r w:rsidRPr="0041720E">
        <w:rPr>
          <w:sz w:val="24"/>
        </w:rPr>
        <w:t>.</w:t>
      </w:r>
    </w:p>
    <w:p w:rsidR="0041720E" w:rsidRDefault="00DB6F45" w:rsidP="0066162F">
      <w:pPr>
        <w:spacing w:after="120"/>
        <w:jc w:val="both"/>
        <w:rPr>
          <w:sz w:val="24"/>
        </w:rPr>
      </w:pPr>
      <w:r>
        <w:rPr>
          <w:sz w:val="24"/>
        </w:rPr>
        <w:t>Následně</w:t>
      </w:r>
      <w:r w:rsidR="0041720E" w:rsidRPr="0041720E">
        <w:rPr>
          <w:sz w:val="24"/>
        </w:rPr>
        <w:t xml:space="preserve"> byly ze strany SEA hodnotitele ve spolupráci s</w:t>
      </w:r>
      <w:r>
        <w:rPr>
          <w:sz w:val="24"/>
        </w:rPr>
        <w:t> Řídícím orgánem OP PIK</w:t>
      </w:r>
      <w:r w:rsidR="0041720E" w:rsidRPr="0041720E">
        <w:rPr>
          <w:sz w:val="24"/>
        </w:rPr>
        <w:t xml:space="preserve"> vypořádány připomínky</w:t>
      </w:r>
      <w:r>
        <w:rPr>
          <w:sz w:val="24"/>
        </w:rPr>
        <w:t xml:space="preserve"> veřejnosti</w:t>
      </w:r>
      <w:r w:rsidR="0066162F">
        <w:rPr>
          <w:rStyle w:val="Znakapoznpodarou"/>
          <w:sz w:val="24"/>
        </w:rPr>
        <w:footnoteReference w:id="3"/>
      </w:r>
      <w:r w:rsidR="0041720E" w:rsidRPr="0041720E">
        <w:rPr>
          <w:sz w:val="24"/>
        </w:rPr>
        <w:t xml:space="preserve">, které </w:t>
      </w:r>
      <w:r w:rsidR="00BF102A">
        <w:rPr>
          <w:sz w:val="24"/>
        </w:rPr>
        <w:t>MŽP</w:t>
      </w:r>
      <w:r>
        <w:rPr>
          <w:sz w:val="24"/>
        </w:rPr>
        <w:t xml:space="preserve"> </w:t>
      </w:r>
      <w:r w:rsidR="0041720E" w:rsidRPr="0041720E">
        <w:rPr>
          <w:sz w:val="24"/>
        </w:rPr>
        <w:t>obdrželo jako jeden z podkladů pro vydání závěrečného stanoviska.</w:t>
      </w:r>
      <w:r w:rsidR="0066162F">
        <w:rPr>
          <w:sz w:val="24"/>
        </w:rPr>
        <w:t xml:space="preserve"> </w:t>
      </w:r>
    </w:p>
    <w:p w:rsidR="00811E29" w:rsidRDefault="00BF102A" w:rsidP="0066162F">
      <w:pPr>
        <w:spacing w:after="120"/>
        <w:jc w:val="both"/>
        <w:rPr>
          <w:sz w:val="24"/>
        </w:rPr>
      </w:pPr>
      <w:r>
        <w:rPr>
          <w:sz w:val="24"/>
        </w:rPr>
        <w:t>MŽP</w:t>
      </w:r>
      <w:r w:rsidR="0041720E" w:rsidRPr="0041720E">
        <w:rPr>
          <w:sz w:val="24"/>
        </w:rPr>
        <w:t xml:space="preserve"> dne 2. 7. 2014 pod č.j. 45794/ENV/14 vydalo stanovisko k posouzení vlivů provádění </w:t>
      </w:r>
      <w:r>
        <w:rPr>
          <w:sz w:val="24"/>
        </w:rPr>
        <w:t>OP PIK</w:t>
      </w:r>
      <w:r w:rsidR="0041720E" w:rsidRPr="0041720E">
        <w:rPr>
          <w:sz w:val="24"/>
        </w:rPr>
        <w:t xml:space="preserve"> na životní prostředí a veřejné zdraví </w:t>
      </w:r>
      <w:r>
        <w:rPr>
          <w:sz w:val="24"/>
        </w:rPr>
        <w:t xml:space="preserve">(dále </w:t>
      </w:r>
      <w:r w:rsidR="009712A0">
        <w:rPr>
          <w:sz w:val="24"/>
        </w:rPr>
        <w:t>také</w:t>
      </w:r>
      <w:r>
        <w:rPr>
          <w:sz w:val="24"/>
        </w:rPr>
        <w:t xml:space="preserve"> „stanovisko“) </w:t>
      </w:r>
      <w:r w:rsidR="0041720E" w:rsidRPr="0041720E">
        <w:rPr>
          <w:sz w:val="24"/>
        </w:rPr>
        <w:t xml:space="preserve">na základě návrhu koncepce, vyjádření k němu podaných a veřejného projednání. </w:t>
      </w:r>
      <w:r w:rsidR="0066162F">
        <w:rPr>
          <w:sz w:val="24"/>
        </w:rPr>
        <w:t xml:space="preserve">Toto stanovisko je jednou z příloh OP PIK. </w:t>
      </w:r>
      <w:r w:rsidR="0041720E" w:rsidRPr="0041720E">
        <w:rPr>
          <w:sz w:val="24"/>
        </w:rPr>
        <w:t xml:space="preserve">Ve stanovisku jsou navržena opatření k předcházení a zmírnění potenciálních negativních vlivů z hlediska jednotlivých složek životního prostředí, soustavy území Natura 2000 a veřejného zdraví, která byla zohledněna buď v rámci další přípravy OP PIK, anebo budou respektována a zohledněna při jeho implementaci. Dále jsou ve stanovisku k jednotlivým potenciálním rizikům negativního ovlivnění životního prostředí a veřejného zdraví na základě kapitol 7 a 12 </w:t>
      </w:r>
      <w:r w:rsidR="0066162F">
        <w:rPr>
          <w:sz w:val="24"/>
        </w:rPr>
        <w:t>vy</w:t>
      </w:r>
      <w:r w:rsidR="0041720E" w:rsidRPr="0041720E">
        <w:rPr>
          <w:sz w:val="24"/>
        </w:rPr>
        <w:t xml:space="preserve">hodnocení </w:t>
      </w:r>
      <w:r w:rsidR="0066162F">
        <w:rPr>
          <w:sz w:val="24"/>
        </w:rPr>
        <w:t xml:space="preserve">koncepce </w:t>
      </w:r>
      <w:r w:rsidR="0041720E" w:rsidRPr="0041720E">
        <w:rPr>
          <w:sz w:val="24"/>
        </w:rPr>
        <w:t>navržena doporučení k zohlednění.</w:t>
      </w:r>
    </w:p>
    <w:p w:rsidR="00811E29" w:rsidRDefault="00811E29">
      <w:pPr>
        <w:overflowPunct/>
        <w:autoSpaceDE/>
        <w:autoSpaceDN/>
        <w:adjustRightInd/>
        <w:textAlignment w:val="auto"/>
        <w:rPr>
          <w:sz w:val="24"/>
        </w:rPr>
      </w:pPr>
      <w:r>
        <w:rPr>
          <w:sz w:val="24"/>
        </w:rPr>
        <w:br w:type="page"/>
      </w:r>
    </w:p>
    <w:p w:rsidR="00A14B83" w:rsidRDefault="00A14B83" w:rsidP="00A14B83">
      <w:pPr>
        <w:pStyle w:val="Odstavecseseznamem"/>
        <w:numPr>
          <w:ilvl w:val="0"/>
          <w:numId w:val="1"/>
        </w:numPr>
        <w:jc w:val="both"/>
        <w:rPr>
          <w:b/>
          <w:sz w:val="24"/>
        </w:rPr>
      </w:pPr>
      <w:r w:rsidRPr="00A14B83">
        <w:rPr>
          <w:b/>
          <w:sz w:val="24"/>
        </w:rPr>
        <w:lastRenderedPageBreak/>
        <w:t xml:space="preserve">Prohlášení shrnující, jak byly výstupy procesu posuzování vlivů na životní prostředí zohledněny v návrhu </w:t>
      </w:r>
      <w:r w:rsidR="006277CF">
        <w:rPr>
          <w:b/>
          <w:sz w:val="24"/>
        </w:rPr>
        <w:t>OP PIK</w:t>
      </w:r>
    </w:p>
    <w:p w:rsidR="00A14B83" w:rsidRDefault="00A14B83" w:rsidP="00A14B83">
      <w:pPr>
        <w:jc w:val="both"/>
        <w:rPr>
          <w:b/>
          <w:sz w:val="24"/>
        </w:rPr>
      </w:pPr>
    </w:p>
    <w:p w:rsidR="00A14B83" w:rsidRDefault="00A14B83" w:rsidP="00A14B83">
      <w:pPr>
        <w:jc w:val="both"/>
        <w:rPr>
          <w:i/>
          <w:sz w:val="24"/>
        </w:rPr>
      </w:pPr>
      <w:r w:rsidRPr="005D71CB">
        <w:rPr>
          <w:i/>
          <w:sz w:val="24"/>
        </w:rPr>
        <w:t>Dle čl. 9(1) směrnice EP a Rady 2001/42/ES ze dne 27. června 2001 o posuzování vlivů některých plánů a programů na životní prostředí</w:t>
      </w:r>
    </w:p>
    <w:p w:rsidR="000F4429" w:rsidRDefault="000F4429" w:rsidP="00A14B83">
      <w:pPr>
        <w:jc w:val="both"/>
        <w:rPr>
          <w:sz w:val="24"/>
        </w:rPr>
      </w:pPr>
    </w:p>
    <w:p w:rsidR="000F4429" w:rsidRDefault="00622035" w:rsidP="00A14B83">
      <w:pPr>
        <w:jc w:val="both"/>
        <w:rPr>
          <w:sz w:val="24"/>
        </w:rPr>
      </w:pPr>
      <w:r w:rsidRPr="00622035">
        <w:rPr>
          <w:sz w:val="24"/>
        </w:rPr>
        <w:t>Řídící orgán OP PIK</w:t>
      </w:r>
      <w:r>
        <w:rPr>
          <w:sz w:val="24"/>
        </w:rPr>
        <w:t xml:space="preserve"> </w:t>
      </w:r>
      <w:r w:rsidR="00BF102A">
        <w:rPr>
          <w:sz w:val="24"/>
        </w:rPr>
        <w:t xml:space="preserve">postupoval </w:t>
      </w:r>
      <w:r>
        <w:rPr>
          <w:sz w:val="24"/>
        </w:rPr>
        <w:t xml:space="preserve">v souladu s </w:t>
      </w:r>
      <w:r w:rsidRPr="00622035">
        <w:rPr>
          <w:sz w:val="24"/>
        </w:rPr>
        <w:t>§§ 10g a 10h zákona č. 100/2001 Sb. o posuzování vlivů na životní prostředí</w:t>
      </w:r>
      <w:r w:rsidR="00BF102A">
        <w:rPr>
          <w:sz w:val="24"/>
        </w:rPr>
        <w:t xml:space="preserve">. Stanovisko MŽP k posouzení vlivů provádění OP PIK na životní prostředí a veřejné zdraví, které je  </w:t>
      </w:r>
      <w:r w:rsidR="00BF102A" w:rsidRPr="00BF102A">
        <w:rPr>
          <w:sz w:val="24"/>
        </w:rPr>
        <w:t xml:space="preserve">konečným výstupem českého procesu SEA, </w:t>
      </w:r>
      <w:r w:rsidR="00BF102A">
        <w:rPr>
          <w:sz w:val="24"/>
        </w:rPr>
        <w:t>v němž</w:t>
      </w:r>
      <w:r w:rsidR="00BF102A" w:rsidRPr="00BF102A">
        <w:rPr>
          <w:sz w:val="24"/>
        </w:rPr>
        <w:t xml:space="preserve"> MŽP z pozice příslušného orgánu pro posuzování vlivů koncepce na životní prostředí shrnuje průběh procesu SEA, proběhlé konzultace s dotčenými orgány a veřejností a stanovuje podmínky, za kterých koncepce nebude mít negativní vlivy na životní prostředí</w:t>
      </w:r>
      <w:r w:rsidR="00BF102A">
        <w:rPr>
          <w:sz w:val="24"/>
        </w:rPr>
        <w:t>, bylo v OP PIK zohledněno následovně:</w:t>
      </w:r>
    </w:p>
    <w:p w:rsidR="00BF102A" w:rsidRDefault="00BF102A" w:rsidP="00A14B83">
      <w:pPr>
        <w:jc w:val="both"/>
        <w:rPr>
          <w:sz w:val="24"/>
        </w:rPr>
      </w:pPr>
    </w:p>
    <w:tbl>
      <w:tblPr>
        <w:tblStyle w:val="Mkatabulky"/>
        <w:tblW w:w="0" w:type="auto"/>
        <w:tblLook w:val="04A0" w:firstRow="1" w:lastRow="0" w:firstColumn="1" w:lastColumn="0" w:noHBand="0" w:noVBand="1"/>
      </w:tblPr>
      <w:tblGrid>
        <w:gridCol w:w="4606"/>
        <w:gridCol w:w="4606"/>
      </w:tblGrid>
      <w:tr w:rsidR="000524FE" w:rsidRPr="0078103E" w:rsidTr="00084CCB">
        <w:tc>
          <w:tcPr>
            <w:tcW w:w="4606" w:type="dxa"/>
            <w:shd w:val="clear" w:color="auto" w:fill="95B3D7" w:themeFill="accent1" w:themeFillTint="99"/>
            <w:vAlign w:val="center"/>
          </w:tcPr>
          <w:p w:rsidR="000524FE" w:rsidRPr="0078103E" w:rsidRDefault="000524FE" w:rsidP="00084CCB">
            <w:pPr>
              <w:jc w:val="center"/>
              <w:rPr>
                <w:rFonts w:asciiTheme="minorHAnsi" w:hAnsiTheme="minorHAnsi" w:cstheme="minorHAnsi"/>
                <w:sz w:val="22"/>
                <w:szCs w:val="22"/>
              </w:rPr>
            </w:pPr>
            <w:r w:rsidRPr="0078103E">
              <w:rPr>
                <w:rFonts w:asciiTheme="minorHAnsi" w:hAnsiTheme="minorHAnsi" w:cstheme="minorHAnsi"/>
                <w:sz w:val="22"/>
                <w:szCs w:val="22"/>
              </w:rPr>
              <w:t>Stanovisko MŽP</w:t>
            </w:r>
          </w:p>
        </w:tc>
        <w:tc>
          <w:tcPr>
            <w:tcW w:w="4606" w:type="dxa"/>
            <w:shd w:val="clear" w:color="auto" w:fill="95B3D7" w:themeFill="accent1" w:themeFillTint="99"/>
            <w:vAlign w:val="center"/>
          </w:tcPr>
          <w:p w:rsidR="000524FE" w:rsidRPr="0078103E" w:rsidRDefault="000524FE" w:rsidP="00084CCB">
            <w:pPr>
              <w:jc w:val="center"/>
              <w:rPr>
                <w:rFonts w:asciiTheme="minorHAnsi" w:hAnsiTheme="minorHAnsi" w:cstheme="minorHAnsi"/>
                <w:sz w:val="22"/>
                <w:szCs w:val="22"/>
              </w:rPr>
            </w:pPr>
            <w:r w:rsidRPr="0078103E">
              <w:rPr>
                <w:rFonts w:asciiTheme="minorHAnsi" w:hAnsiTheme="minorHAnsi" w:cstheme="minorHAnsi"/>
                <w:sz w:val="22"/>
                <w:szCs w:val="22"/>
              </w:rPr>
              <w:t>Zohlednění podmínek vyplývajících ze stanoviska MŽP</w:t>
            </w:r>
            <w:r w:rsidR="00084CCB" w:rsidRPr="0078103E">
              <w:rPr>
                <w:rFonts w:asciiTheme="minorHAnsi" w:hAnsiTheme="minorHAnsi" w:cstheme="minorHAnsi"/>
                <w:sz w:val="22"/>
                <w:szCs w:val="22"/>
              </w:rPr>
              <w:t xml:space="preserve"> v OP PIK</w:t>
            </w:r>
          </w:p>
        </w:tc>
      </w:tr>
      <w:tr w:rsidR="00084CCB" w:rsidRPr="0078103E" w:rsidTr="00850E03">
        <w:tc>
          <w:tcPr>
            <w:tcW w:w="9212" w:type="dxa"/>
            <w:gridSpan w:val="2"/>
            <w:shd w:val="clear" w:color="auto" w:fill="DBE5F1" w:themeFill="accent1" w:themeFillTint="33"/>
          </w:tcPr>
          <w:p w:rsidR="00084CCB" w:rsidRPr="0078103E" w:rsidRDefault="00084CCB" w:rsidP="00A14B83">
            <w:pPr>
              <w:jc w:val="both"/>
              <w:rPr>
                <w:rFonts w:asciiTheme="minorHAnsi" w:hAnsiTheme="minorHAnsi" w:cstheme="minorHAnsi"/>
                <w:sz w:val="22"/>
                <w:szCs w:val="22"/>
              </w:rPr>
            </w:pPr>
            <w:r w:rsidRPr="0078103E">
              <w:rPr>
                <w:rFonts w:asciiTheme="minorHAnsi" w:hAnsiTheme="minorHAnsi" w:cstheme="minorHAnsi"/>
                <w:sz w:val="22"/>
                <w:szCs w:val="22"/>
              </w:rPr>
              <w:t>Část A. Podmínky souhlasného stanoviska MŽP</w:t>
            </w:r>
          </w:p>
        </w:tc>
      </w:tr>
      <w:tr w:rsidR="00EA3851" w:rsidRPr="0078103E" w:rsidTr="000524FE">
        <w:tc>
          <w:tcPr>
            <w:tcW w:w="4606" w:type="dxa"/>
          </w:tcPr>
          <w:p w:rsidR="00EA3851" w:rsidRPr="0078103E" w:rsidRDefault="00EA3851" w:rsidP="000524FE">
            <w:pPr>
              <w:jc w:val="both"/>
              <w:rPr>
                <w:rFonts w:asciiTheme="minorHAnsi" w:hAnsiTheme="minorHAnsi" w:cstheme="minorHAnsi"/>
                <w:sz w:val="22"/>
                <w:szCs w:val="22"/>
              </w:rPr>
            </w:pPr>
            <w:r w:rsidRPr="0078103E">
              <w:rPr>
                <w:rFonts w:asciiTheme="minorHAnsi" w:hAnsiTheme="minorHAnsi" w:cstheme="minorHAnsi"/>
                <w:sz w:val="22"/>
                <w:szCs w:val="22"/>
              </w:rPr>
              <w:t>1. V rámci další přípravy OP PIK a jeho implementace bude respektován a zohledněn následující návrh opatření k předcházení a zmírnění potenciálních negativních vlivů:</w:t>
            </w:r>
          </w:p>
        </w:tc>
        <w:tc>
          <w:tcPr>
            <w:tcW w:w="4606" w:type="dxa"/>
          </w:tcPr>
          <w:p w:rsidR="00EA3851" w:rsidRPr="0078103E" w:rsidRDefault="00EA3851" w:rsidP="00A14B83">
            <w:pPr>
              <w:jc w:val="both"/>
              <w:rPr>
                <w:rFonts w:asciiTheme="minorHAnsi" w:hAnsiTheme="minorHAnsi" w:cstheme="minorHAnsi"/>
                <w:sz w:val="22"/>
                <w:szCs w:val="22"/>
              </w:rPr>
            </w:pPr>
          </w:p>
        </w:tc>
      </w:tr>
      <w:tr w:rsidR="000524FE" w:rsidRPr="0078103E" w:rsidTr="000524FE">
        <w:tc>
          <w:tcPr>
            <w:tcW w:w="4606" w:type="dxa"/>
          </w:tcPr>
          <w:p w:rsidR="000524FE" w:rsidRPr="0078103E" w:rsidRDefault="000524FE" w:rsidP="00C9511E">
            <w:pPr>
              <w:jc w:val="both"/>
              <w:rPr>
                <w:rFonts w:asciiTheme="minorHAnsi" w:hAnsiTheme="minorHAnsi" w:cstheme="minorHAnsi"/>
                <w:sz w:val="22"/>
                <w:szCs w:val="22"/>
                <w:u w:val="single"/>
              </w:rPr>
            </w:pPr>
            <w:r w:rsidRPr="0078103E">
              <w:rPr>
                <w:rFonts w:asciiTheme="minorHAnsi" w:hAnsiTheme="minorHAnsi" w:cstheme="minorHAnsi"/>
                <w:sz w:val="22"/>
                <w:szCs w:val="22"/>
                <w:u w:val="single"/>
              </w:rPr>
              <w:t>Emise skleníkových plynů</w:t>
            </w:r>
          </w:p>
          <w:p w:rsidR="000524FE" w:rsidRPr="0078103E" w:rsidRDefault="000524FE" w:rsidP="00C9511E">
            <w:pPr>
              <w:jc w:val="both"/>
              <w:rPr>
                <w:rFonts w:asciiTheme="minorHAnsi" w:hAnsiTheme="minorHAnsi" w:cstheme="minorHAnsi"/>
                <w:sz w:val="22"/>
                <w:szCs w:val="22"/>
              </w:rPr>
            </w:pPr>
            <w:r w:rsidRPr="0078103E">
              <w:rPr>
                <w:rFonts w:asciiTheme="minorHAnsi" w:hAnsiTheme="minorHAnsi" w:cstheme="minorHAnsi"/>
                <w:sz w:val="22"/>
                <w:szCs w:val="22"/>
              </w:rPr>
              <w:t>V rámci specifického cíle (dále jen „SC“) 1.1 a 1.2 pozitivně bonifikovat žádosti o podporu (resp. klastrová uskupení působící v oblastech), které jsou zaměřeny na:</w:t>
            </w:r>
          </w:p>
          <w:p w:rsidR="000524FE" w:rsidRPr="0078103E" w:rsidRDefault="000524FE" w:rsidP="00C9511E">
            <w:pPr>
              <w:pStyle w:val="Default"/>
              <w:numPr>
                <w:ilvl w:val="0"/>
                <w:numId w:val="3"/>
              </w:numPr>
              <w:rPr>
                <w:rFonts w:asciiTheme="minorHAnsi" w:hAnsiTheme="minorHAnsi" w:cstheme="minorHAnsi"/>
                <w:sz w:val="22"/>
                <w:szCs w:val="22"/>
              </w:rPr>
            </w:pPr>
            <w:r w:rsidRPr="0078103E">
              <w:rPr>
                <w:rFonts w:asciiTheme="minorHAnsi" w:hAnsiTheme="minorHAnsi" w:cstheme="minorHAnsi"/>
                <w:sz w:val="22"/>
                <w:szCs w:val="22"/>
              </w:rPr>
              <w:t xml:space="preserve">inovace využitelné v rámci udržitelné výstavby budov </w:t>
            </w:r>
          </w:p>
          <w:p w:rsidR="000524FE" w:rsidRPr="0078103E" w:rsidRDefault="000524FE" w:rsidP="00C9511E">
            <w:pPr>
              <w:pStyle w:val="Default"/>
              <w:numPr>
                <w:ilvl w:val="0"/>
                <w:numId w:val="3"/>
              </w:numPr>
              <w:rPr>
                <w:rFonts w:asciiTheme="minorHAnsi" w:hAnsiTheme="minorHAnsi" w:cstheme="minorHAnsi"/>
                <w:sz w:val="22"/>
                <w:szCs w:val="22"/>
              </w:rPr>
            </w:pPr>
            <w:r w:rsidRPr="0078103E">
              <w:rPr>
                <w:rFonts w:asciiTheme="minorHAnsi" w:hAnsiTheme="minorHAnsi" w:cstheme="minorHAnsi"/>
                <w:sz w:val="22"/>
                <w:szCs w:val="22"/>
              </w:rPr>
              <w:t xml:space="preserve">zvýšení možností energetického využití biomasy v blízkosti místa jejího vzniku s ohledem na ochranu zemědělského půdního fondu (eroze, degradace) </w:t>
            </w:r>
          </w:p>
          <w:p w:rsidR="000524FE" w:rsidRPr="0078103E" w:rsidRDefault="000524FE" w:rsidP="00C9511E">
            <w:pPr>
              <w:pStyle w:val="Default"/>
              <w:numPr>
                <w:ilvl w:val="0"/>
                <w:numId w:val="3"/>
              </w:numPr>
              <w:rPr>
                <w:rFonts w:asciiTheme="minorHAnsi" w:hAnsiTheme="minorHAnsi" w:cstheme="minorHAnsi"/>
                <w:sz w:val="22"/>
                <w:szCs w:val="22"/>
              </w:rPr>
            </w:pPr>
            <w:r w:rsidRPr="0078103E">
              <w:rPr>
                <w:rFonts w:asciiTheme="minorHAnsi" w:hAnsiTheme="minorHAnsi" w:cstheme="minorHAnsi"/>
                <w:sz w:val="22"/>
                <w:szCs w:val="22"/>
              </w:rPr>
              <w:t xml:space="preserve">předcházení, znovuvyužití, recyklaci a materiálové využití odpadů </w:t>
            </w:r>
          </w:p>
          <w:p w:rsidR="000524FE" w:rsidRPr="00C9511E" w:rsidRDefault="000524FE" w:rsidP="00C9511E">
            <w:pPr>
              <w:pStyle w:val="Default"/>
              <w:numPr>
                <w:ilvl w:val="0"/>
                <w:numId w:val="3"/>
              </w:numPr>
              <w:rPr>
                <w:rFonts w:asciiTheme="minorHAnsi" w:hAnsiTheme="minorHAnsi" w:cstheme="minorHAnsi"/>
                <w:sz w:val="22"/>
                <w:szCs w:val="22"/>
              </w:rPr>
            </w:pPr>
            <w:r w:rsidRPr="0078103E">
              <w:rPr>
                <w:rFonts w:asciiTheme="minorHAnsi" w:hAnsiTheme="minorHAnsi" w:cstheme="minorHAnsi"/>
                <w:sz w:val="22"/>
                <w:szCs w:val="22"/>
              </w:rPr>
              <w:t xml:space="preserve">ostrovní energetické systémy </w:t>
            </w:r>
          </w:p>
        </w:tc>
        <w:tc>
          <w:tcPr>
            <w:tcW w:w="4606" w:type="dxa"/>
          </w:tcPr>
          <w:p w:rsidR="000524FE" w:rsidRPr="0078103E" w:rsidRDefault="00BE6616" w:rsidP="00887D64">
            <w:pPr>
              <w:jc w:val="both"/>
              <w:rPr>
                <w:rFonts w:asciiTheme="minorHAnsi" w:hAnsiTheme="minorHAnsi" w:cstheme="minorHAnsi"/>
                <w:sz w:val="22"/>
                <w:szCs w:val="22"/>
              </w:rPr>
            </w:pPr>
            <w:r>
              <w:rPr>
                <w:rFonts w:asciiTheme="minorHAnsi" w:hAnsiTheme="minorHAnsi" w:cstheme="minorHAnsi"/>
                <w:sz w:val="22"/>
                <w:szCs w:val="22"/>
              </w:rPr>
              <w:t>Bude zohledněno v jednotlivých výzvách relevantních programů podpory v rámci prioritní osy 1.</w:t>
            </w:r>
          </w:p>
        </w:tc>
      </w:tr>
      <w:tr w:rsidR="00084CCB" w:rsidRPr="0078103E" w:rsidTr="00850E03">
        <w:tc>
          <w:tcPr>
            <w:tcW w:w="4606" w:type="dxa"/>
          </w:tcPr>
          <w:p w:rsidR="00EA3851" w:rsidRPr="0078103E" w:rsidRDefault="00EA3851" w:rsidP="00EA3851">
            <w:pPr>
              <w:jc w:val="both"/>
              <w:rPr>
                <w:rFonts w:asciiTheme="minorHAnsi" w:hAnsiTheme="minorHAnsi" w:cstheme="minorHAnsi"/>
                <w:sz w:val="22"/>
                <w:szCs w:val="22"/>
                <w:u w:val="single"/>
              </w:rPr>
            </w:pPr>
            <w:r w:rsidRPr="0078103E">
              <w:rPr>
                <w:rFonts w:asciiTheme="minorHAnsi" w:hAnsiTheme="minorHAnsi" w:cstheme="minorHAnsi"/>
                <w:sz w:val="22"/>
                <w:szCs w:val="22"/>
                <w:u w:val="single"/>
              </w:rPr>
              <w:t>Ovzduší, energetika a obnovitelné zdroje energie (dále jen „OZE“) a aplikace environmentálních opatření:</w:t>
            </w:r>
          </w:p>
          <w:p w:rsidR="00EA3851" w:rsidRPr="0078103E" w:rsidRDefault="00EA3851" w:rsidP="00EA3851">
            <w:pPr>
              <w:jc w:val="both"/>
              <w:rPr>
                <w:rFonts w:asciiTheme="minorHAnsi" w:hAnsiTheme="minorHAnsi" w:cstheme="minorHAnsi"/>
                <w:sz w:val="22"/>
                <w:szCs w:val="22"/>
              </w:rPr>
            </w:pPr>
            <w:r w:rsidRPr="0078103E">
              <w:rPr>
                <w:rFonts w:asciiTheme="minorHAnsi" w:hAnsiTheme="minorHAnsi" w:cstheme="minorHAnsi"/>
                <w:sz w:val="22"/>
                <w:szCs w:val="22"/>
              </w:rPr>
              <w:t>Pro SC 1.1:</w:t>
            </w:r>
          </w:p>
          <w:p w:rsidR="00084CCB" w:rsidRPr="0078103E" w:rsidRDefault="00EA3851" w:rsidP="00EA3851">
            <w:pPr>
              <w:ind w:left="142"/>
              <w:jc w:val="both"/>
              <w:rPr>
                <w:rFonts w:asciiTheme="minorHAnsi" w:hAnsiTheme="minorHAnsi" w:cstheme="minorHAnsi"/>
                <w:sz w:val="22"/>
                <w:szCs w:val="22"/>
              </w:rPr>
            </w:pPr>
            <w:r w:rsidRPr="0078103E">
              <w:rPr>
                <w:rFonts w:asciiTheme="minorHAnsi" w:hAnsiTheme="minorHAnsi" w:cstheme="minorHAnsi"/>
                <w:sz w:val="22"/>
                <w:szCs w:val="22"/>
              </w:rPr>
              <w:t>1. Limitující podmínkou pro poskytnutí podpory všech projektů zaměřených na modernizace stávajících technologií je relativní snížení měrné výrobní emise tuhých znečišťujících látek (dále jen „TZL“), NOx, SO2 a polyaromatických uhlovodíků (dále jen „PAH“) do ovzduší (platí pouze v případech, kdy je stávající technologie zdrojem některé z těchto znečišťujících látek).</w:t>
            </w:r>
          </w:p>
        </w:tc>
        <w:tc>
          <w:tcPr>
            <w:tcW w:w="4606" w:type="dxa"/>
          </w:tcPr>
          <w:p w:rsidR="00084CCB" w:rsidRPr="0078103E" w:rsidRDefault="00BE6616" w:rsidP="00887D64">
            <w:pPr>
              <w:jc w:val="both"/>
              <w:rPr>
                <w:rFonts w:asciiTheme="minorHAnsi" w:hAnsiTheme="minorHAnsi" w:cstheme="minorHAnsi"/>
                <w:sz w:val="22"/>
                <w:szCs w:val="22"/>
              </w:rPr>
            </w:pPr>
            <w:r>
              <w:rPr>
                <w:rFonts w:asciiTheme="minorHAnsi" w:hAnsiTheme="minorHAnsi" w:cstheme="minorHAnsi"/>
                <w:sz w:val="22"/>
                <w:szCs w:val="22"/>
              </w:rPr>
              <w:t>Bude zohledněno v jednotlivých výzvách</w:t>
            </w:r>
            <w:r w:rsidR="00887D64">
              <w:rPr>
                <w:rFonts w:asciiTheme="minorHAnsi" w:hAnsiTheme="minorHAnsi" w:cstheme="minorHAnsi"/>
                <w:sz w:val="22"/>
                <w:szCs w:val="22"/>
              </w:rPr>
              <w:t xml:space="preserve"> </w:t>
            </w:r>
            <w:r>
              <w:rPr>
                <w:rFonts w:asciiTheme="minorHAnsi" w:hAnsiTheme="minorHAnsi" w:cstheme="minorHAnsi"/>
                <w:sz w:val="22"/>
                <w:szCs w:val="22"/>
              </w:rPr>
              <w:t>relevantních programů podpory v rámci prioritní osy 1.</w:t>
            </w:r>
          </w:p>
        </w:tc>
      </w:tr>
      <w:tr w:rsidR="00084CCB" w:rsidRPr="0078103E" w:rsidTr="00850E03">
        <w:tc>
          <w:tcPr>
            <w:tcW w:w="4606" w:type="dxa"/>
          </w:tcPr>
          <w:p w:rsidR="00EA3851" w:rsidRPr="0078103E" w:rsidRDefault="00EA3851" w:rsidP="00C9511E">
            <w:pPr>
              <w:pStyle w:val="Default"/>
              <w:ind w:left="142"/>
              <w:rPr>
                <w:rFonts w:asciiTheme="minorHAnsi" w:hAnsiTheme="minorHAnsi" w:cstheme="minorHAnsi"/>
                <w:sz w:val="22"/>
                <w:szCs w:val="22"/>
              </w:rPr>
            </w:pPr>
            <w:r w:rsidRPr="0078103E">
              <w:rPr>
                <w:rFonts w:asciiTheme="minorHAnsi" w:hAnsiTheme="minorHAnsi" w:cstheme="minorHAnsi"/>
                <w:sz w:val="22"/>
                <w:szCs w:val="22"/>
              </w:rPr>
              <w:t xml:space="preserve">2. V návaznosti na významně pozitivní efekty pro životní prostředí, popř. přesah využitelných poznatků mimo rámec OP PIK doporučujeme </w:t>
            </w:r>
            <w:r w:rsidRPr="0078103E">
              <w:rPr>
                <w:rFonts w:asciiTheme="minorHAnsi" w:hAnsiTheme="minorHAnsi" w:cstheme="minorHAnsi"/>
                <w:sz w:val="22"/>
                <w:szCs w:val="22"/>
              </w:rPr>
              <w:lastRenderedPageBreak/>
              <w:t xml:space="preserve">oproti ostatním podporovaným aktivitám zvýhodnit v celkovém systému hodnocení a výběru ty projekty, které jsou zaměřeny na: </w:t>
            </w:r>
          </w:p>
          <w:p w:rsidR="00EA3851" w:rsidRPr="0078103E" w:rsidRDefault="00EA3851" w:rsidP="00C9511E">
            <w:pPr>
              <w:pStyle w:val="Default"/>
              <w:numPr>
                <w:ilvl w:val="0"/>
                <w:numId w:val="4"/>
              </w:numPr>
              <w:rPr>
                <w:rFonts w:asciiTheme="minorHAnsi" w:hAnsiTheme="minorHAnsi" w:cstheme="minorHAnsi"/>
                <w:sz w:val="22"/>
                <w:szCs w:val="22"/>
              </w:rPr>
            </w:pPr>
            <w:r w:rsidRPr="0078103E">
              <w:rPr>
                <w:rFonts w:asciiTheme="minorHAnsi" w:hAnsiTheme="minorHAnsi" w:cstheme="minorHAnsi"/>
                <w:sz w:val="22"/>
                <w:szCs w:val="22"/>
              </w:rPr>
              <w:t xml:space="preserve">Inovace v souladu s udržitelnou výstavbou budov (pozitivní bonifikace žádosti v případě závazku úspěšné certifikace dle BREEAM nebo LEED). </w:t>
            </w:r>
          </w:p>
          <w:p w:rsidR="00EA3851" w:rsidRPr="0078103E" w:rsidRDefault="00EA3851" w:rsidP="00C9511E">
            <w:pPr>
              <w:pStyle w:val="Default"/>
              <w:numPr>
                <w:ilvl w:val="0"/>
                <w:numId w:val="4"/>
              </w:numPr>
              <w:rPr>
                <w:rFonts w:asciiTheme="minorHAnsi" w:hAnsiTheme="minorHAnsi" w:cstheme="minorHAnsi"/>
                <w:sz w:val="22"/>
                <w:szCs w:val="22"/>
              </w:rPr>
            </w:pPr>
            <w:r w:rsidRPr="0078103E">
              <w:rPr>
                <w:rFonts w:asciiTheme="minorHAnsi" w:hAnsiTheme="minorHAnsi" w:cstheme="minorHAnsi"/>
                <w:sz w:val="22"/>
                <w:szCs w:val="22"/>
              </w:rPr>
              <w:t xml:space="preserve">Projekty materiálového a materiálově energetického využívání odpadů. </w:t>
            </w:r>
          </w:p>
          <w:p w:rsidR="00EA3851" w:rsidRPr="0078103E" w:rsidRDefault="00EA3851" w:rsidP="00C9511E">
            <w:pPr>
              <w:pStyle w:val="Default"/>
              <w:numPr>
                <w:ilvl w:val="0"/>
                <w:numId w:val="4"/>
              </w:numPr>
              <w:rPr>
                <w:rFonts w:asciiTheme="minorHAnsi" w:hAnsiTheme="minorHAnsi" w:cstheme="minorHAnsi"/>
                <w:sz w:val="22"/>
                <w:szCs w:val="22"/>
              </w:rPr>
            </w:pPr>
            <w:r w:rsidRPr="0078103E">
              <w:rPr>
                <w:rFonts w:asciiTheme="minorHAnsi" w:hAnsiTheme="minorHAnsi" w:cstheme="minorHAnsi"/>
                <w:sz w:val="22"/>
                <w:szCs w:val="22"/>
              </w:rPr>
              <w:t xml:space="preserve">Pilotní projekty a zavádění systémů akumulace energie, používání energeticky šetrných materiálů, ostrovních systémů a systémů inteligentního řízení budov. </w:t>
            </w:r>
          </w:p>
          <w:p w:rsidR="00EA3851" w:rsidRPr="0078103E" w:rsidRDefault="00EA3851" w:rsidP="00C9511E">
            <w:pPr>
              <w:pStyle w:val="Default"/>
              <w:numPr>
                <w:ilvl w:val="0"/>
                <w:numId w:val="4"/>
              </w:numPr>
              <w:rPr>
                <w:rFonts w:asciiTheme="minorHAnsi" w:hAnsiTheme="minorHAnsi" w:cstheme="minorHAnsi"/>
                <w:sz w:val="22"/>
                <w:szCs w:val="22"/>
              </w:rPr>
            </w:pPr>
            <w:r w:rsidRPr="0078103E">
              <w:rPr>
                <w:rFonts w:asciiTheme="minorHAnsi" w:hAnsiTheme="minorHAnsi" w:cstheme="minorHAnsi"/>
                <w:sz w:val="22"/>
                <w:szCs w:val="22"/>
              </w:rPr>
              <w:t xml:space="preserve">Vedoucí k náhradě výroby energie spalováním fosilních paliv výrobou z biomasy; nutnou podmínkou zvýhodnění těchto projektů je snížení měrné výrobní emise TZL a PAH do ovzduší a garance použití BAT. </w:t>
            </w:r>
          </w:p>
          <w:p w:rsidR="00EA3851" w:rsidRPr="0078103E" w:rsidRDefault="00EA3851" w:rsidP="00C9511E">
            <w:pPr>
              <w:pStyle w:val="Default"/>
              <w:numPr>
                <w:ilvl w:val="0"/>
                <w:numId w:val="4"/>
              </w:numPr>
              <w:rPr>
                <w:rFonts w:asciiTheme="minorHAnsi" w:hAnsiTheme="minorHAnsi" w:cstheme="minorHAnsi"/>
                <w:sz w:val="22"/>
                <w:szCs w:val="22"/>
              </w:rPr>
            </w:pPr>
            <w:r w:rsidRPr="0078103E">
              <w:rPr>
                <w:rFonts w:asciiTheme="minorHAnsi" w:hAnsiTheme="minorHAnsi" w:cstheme="minorHAnsi"/>
                <w:sz w:val="22"/>
                <w:szCs w:val="22"/>
              </w:rPr>
              <w:t xml:space="preserve">Zvýšení počtu obyvatel napojených na centrální zásobování teplem (dále jen „CZT“). </w:t>
            </w:r>
          </w:p>
          <w:p w:rsidR="00084CCB" w:rsidRPr="0078103E" w:rsidRDefault="00EA3851" w:rsidP="00C9511E">
            <w:pPr>
              <w:pStyle w:val="Default"/>
              <w:numPr>
                <w:ilvl w:val="0"/>
                <w:numId w:val="4"/>
              </w:numPr>
              <w:rPr>
                <w:rFonts w:asciiTheme="minorHAnsi" w:hAnsiTheme="minorHAnsi" w:cstheme="minorHAnsi"/>
                <w:sz w:val="22"/>
                <w:szCs w:val="22"/>
              </w:rPr>
            </w:pPr>
            <w:r w:rsidRPr="0078103E">
              <w:rPr>
                <w:rFonts w:asciiTheme="minorHAnsi" w:hAnsiTheme="minorHAnsi" w:cstheme="minorHAnsi"/>
                <w:sz w:val="22"/>
                <w:szCs w:val="22"/>
              </w:rPr>
              <w:t xml:space="preserve">Ekoinovace – tyto je žádoucí upřednostnit před inovacemi, tj. pozitivně bonifikovat projekty dle relativního snížení emisí do ovzduší, emisí do vody a produkce odpadů. </w:t>
            </w:r>
          </w:p>
        </w:tc>
        <w:tc>
          <w:tcPr>
            <w:tcW w:w="4606" w:type="dxa"/>
          </w:tcPr>
          <w:p w:rsidR="00084CCB" w:rsidRPr="0078103E" w:rsidRDefault="00BE6616" w:rsidP="00887D64">
            <w:pPr>
              <w:jc w:val="both"/>
              <w:rPr>
                <w:rFonts w:asciiTheme="minorHAnsi" w:hAnsiTheme="minorHAnsi" w:cstheme="minorHAnsi"/>
                <w:sz w:val="22"/>
                <w:szCs w:val="22"/>
              </w:rPr>
            </w:pPr>
            <w:r>
              <w:rPr>
                <w:rFonts w:asciiTheme="minorHAnsi" w:hAnsiTheme="minorHAnsi" w:cstheme="minorHAnsi"/>
                <w:sz w:val="22"/>
                <w:szCs w:val="22"/>
              </w:rPr>
              <w:lastRenderedPageBreak/>
              <w:t>Bude zohledněno v jednotlivých výzvách relevantních programů podpory v rámci prioritní osy 1.</w:t>
            </w:r>
          </w:p>
        </w:tc>
      </w:tr>
      <w:tr w:rsidR="00084CCB" w:rsidRPr="0078103E" w:rsidTr="00850E03">
        <w:tc>
          <w:tcPr>
            <w:tcW w:w="4606" w:type="dxa"/>
          </w:tcPr>
          <w:p w:rsidR="00084CCB" w:rsidRPr="0078103E" w:rsidRDefault="00EA3851" w:rsidP="00EA3851">
            <w:pPr>
              <w:pStyle w:val="Default"/>
              <w:ind w:left="142"/>
              <w:rPr>
                <w:rFonts w:asciiTheme="minorHAnsi" w:hAnsiTheme="minorHAnsi" w:cstheme="minorHAnsi"/>
                <w:sz w:val="22"/>
                <w:szCs w:val="22"/>
              </w:rPr>
            </w:pPr>
            <w:r w:rsidRPr="0078103E">
              <w:rPr>
                <w:rFonts w:asciiTheme="minorHAnsi" w:hAnsiTheme="minorHAnsi" w:cstheme="minorHAnsi"/>
                <w:sz w:val="22"/>
                <w:szCs w:val="22"/>
              </w:rPr>
              <w:lastRenderedPageBreak/>
              <w:t xml:space="preserve">3. Váhy uvedených kritérií by měly být stanoveny taky, aby tato kritéria měla reálný dopad na možnost získání nebo výši podpory čerpané v rámci OP PIK. Tento dopad by měl být zpětně statisticky prokazatelný při hodnocení a případné optimalizaci operačního programu v následujících letech. </w:t>
            </w:r>
          </w:p>
        </w:tc>
        <w:tc>
          <w:tcPr>
            <w:tcW w:w="4606" w:type="dxa"/>
          </w:tcPr>
          <w:p w:rsidR="00084CCB" w:rsidRPr="0078103E" w:rsidRDefault="00BE6616" w:rsidP="00887D64">
            <w:pPr>
              <w:jc w:val="both"/>
              <w:rPr>
                <w:rFonts w:asciiTheme="minorHAnsi" w:hAnsiTheme="minorHAnsi" w:cstheme="minorHAnsi"/>
                <w:sz w:val="22"/>
                <w:szCs w:val="22"/>
              </w:rPr>
            </w:pPr>
            <w:r>
              <w:rPr>
                <w:rFonts w:asciiTheme="minorHAnsi" w:hAnsiTheme="minorHAnsi" w:cstheme="minorHAnsi"/>
                <w:sz w:val="22"/>
                <w:szCs w:val="22"/>
              </w:rPr>
              <w:t>Bude zohledněno v jednotlivých výzvách relevantních programů podpory v rámci prioritní osy 1.</w:t>
            </w:r>
          </w:p>
        </w:tc>
      </w:tr>
      <w:tr w:rsidR="00084CCB" w:rsidRPr="0078103E" w:rsidTr="00850E03">
        <w:tc>
          <w:tcPr>
            <w:tcW w:w="4606" w:type="dxa"/>
          </w:tcPr>
          <w:p w:rsidR="00EA3851" w:rsidRPr="0078103E" w:rsidRDefault="00EA3851" w:rsidP="00C9511E">
            <w:pPr>
              <w:pStyle w:val="Default"/>
              <w:rPr>
                <w:rFonts w:asciiTheme="minorHAnsi" w:hAnsiTheme="minorHAnsi" w:cstheme="minorHAnsi"/>
                <w:sz w:val="22"/>
                <w:szCs w:val="22"/>
              </w:rPr>
            </w:pPr>
            <w:r w:rsidRPr="0078103E">
              <w:rPr>
                <w:rFonts w:asciiTheme="minorHAnsi" w:hAnsiTheme="minorHAnsi" w:cstheme="minorHAnsi"/>
                <w:sz w:val="22"/>
                <w:szCs w:val="22"/>
              </w:rPr>
              <w:t xml:space="preserve">Pro SC 3.1 a SC 3.2: </w:t>
            </w:r>
          </w:p>
          <w:p w:rsidR="00084CCB" w:rsidRPr="0078103E" w:rsidRDefault="00EA3851" w:rsidP="00C9511E">
            <w:pPr>
              <w:pStyle w:val="Default"/>
              <w:numPr>
                <w:ilvl w:val="0"/>
                <w:numId w:val="4"/>
              </w:numPr>
              <w:rPr>
                <w:rFonts w:asciiTheme="minorHAnsi" w:hAnsiTheme="minorHAnsi" w:cstheme="minorHAnsi"/>
                <w:sz w:val="22"/>
                <w:szCs w:val="22"/>
              </w:rPr>
            </w:pPr>
            <w:r w:rsidRPr="0078103E">
              <w:rPr>
                <w:rFonts w:asciiTheme="minorHAnsi" w:hAnsiTheme="minorHAnsi" w:cstheme="minorHAnsi"/>
                <w:sz w:val="22"/>
                <w:szCs w:val="22"/>
              </w:rPr>
              <w:t xml:space="preserve">Z podpory aktivit vyloučit využití biomasy ve zdrojích LCP (velké spalovací zdroje), pokud se nejedná o zdroje konstruované pro výhradní spalování jednodruhové biomasy, které odpovídají dolní emisní úrovni BAT; </w:t>
            </w:r>
          </w:p>
          <w:p w:rsidR="00EA3851" w:rsidRPr="0078103E" w:rsidRDefault="00EA3851" w:rsidP="00C9511E">
            <w:pPr>
              <w:pStyle w:val="Default"/>
              <w:numPr>
                <w:ilvl w:val="0"/>
                <w:numId w:val="4"/>
              </w:numPr>
              <w:rPr>
                <w:rFonts w:asciiTheme="minorHAnsi" w:hAnsiTheme="minorHAnsi" w:cstheme="minorHAnsi"/>
                <w:sz w:val="22"/>
                <w:szCs w:val="22"/>
              </w:rPr>
            </w:pPr>
            <w:r w:rsidRPr="0078103E">
              <w:rPr>
                <w:rFonts w:asciiTheme="minorHAnsi" w:hAnsiTheme="minorHAnsi" w:cstheme="minorHAnsi"/>
                <w:sz w:val="22"/>
                <w:szCs w:val="22"/>
              </w:rPr>
              <w:t xml:space="preserve">Zvýhodnit energetické využití biomasy v blízkosti místa jejího vzniku v případě plnění emisní úrovně odpovídající BAT, zejména v případě, že projekt vede k náhradě fosilních paliv biomasou a/nebo zvyšuje počet domácností připojených na CZT. </w:t>
            </w:r>
          </w:p>
          <w:p w:rsidR="00EA3851" w:rsidRPr="0078103E" w:rsidRDefault="00EA3851" w:rsidP="00C9511E">
            <w:pPr>
              <w:pStyle w:val="Default"/>
              <w:numPr>
                <w:ilvl w:val="0"/>
                <w:numId w:val="4"/>
              </w:numPr>
              <w:rPr>
                <w:rFonts w:asciiTheme="minorHAnsi" w:hAnsiTheme="minorHAnsi" w:cstheme="minorHAnsi"/>
                <w:sz w:val="22"/>
                <w:szCs w:val="22"/>
              </w:rPr>
            </w:pPr>
            <w:r w:rsidRPr="0078103E">
              <w:rPr>
                <w:rFonts w:asciiTheme="minorHAnsi" w:hAnsiTheme="minorHAnsi" w:cstheme="minorHAnsi"/>
                <w:sz w:val="22"/>
                <w:szCs w:val="22"/>
              </w:rPr>
              <w:t xml:space="preserve">Podmínkou zvýhodnění těchto projektů by mělo být snížení měrné výrobní emise TZL a PAH do ovzduší a garance použití </w:t>
            </w:r>
            <w:r w:rsidRPr="0078103E">
              <w:rPr>
                <w:rFonts w:asciiTheme="minorHAnsi" w:hAnsiTheme="minorHAnsi" w:cstheme="minorHAnsi"/>
                <w:sz w:val="22"/>
                <w:szCs w:val="22"/>
              </w:rPr>
              <w:lastRenderedPageBreak/>
              <w:t xml:space="preserve">BAT. </w:t>
            </w:r>
          </w:p>
          <w:p w:rsidR="00EA3851" w:rsidRPr="0078103E" w:rsidRDefault="00EA3851" w:rsidP="00C9511E">
            <w:pPr>
              <w:pStyle w:val="Default"/>
              <w:numPr>
                <w:ilvl w:val="0"/>
                <w:numId w:val="4"/>
              </w:numPr>
              <w:rPr>
                <w:rFonts w:asciiTheme="minorHAnsi" w:hAnsiTheme="minorHAnsi" w:cstheme="minorHAnsi"/>
                <w:sz w:val="22"/>
                <w:szCs w:val="22"/>
              </w:rPr>
            </w:pPr>
            <w:r w:rsidRPr="0078103E">
              <w:rPr>
                <w:rFonts w:asciiTheme="minorHAnsi" w:hAnsiTheme="minorHAnsi" w:cstheme="minorHAnsi"/>
                <w:sz w:val="22"/>
                <w:szCs w:val="22"/>
              </w:rPr>
              <w:t>Zvýšit podporu pro využití solární energie v budovách.</w:t>
            </w:r>
          </w:p>
        </w:tc>
        <w:tc>
          <w:tcPr>
            <w:tcW w:w="4606" w:type="dxa"/>
          </w:tcPr>
          <w:p w:rsidR="00BE6616" w:rsidRPr="0078103E" w:rsidRDefault="00BE6616" w:rsidP="00887D64">
            <w:pPr>
              <w:jc w:val="both"/>
              <w:rPr>
                <w:rFonts w:asciiTheme="minorHAnsi" w:hAnsiTheme="minorHAnsi" w:cstheme="minorHAnsi"/>
                <w:sz w:val="22"/>
                <w:szCs w:val="22"/>
              </w:rPr>
            </w:pPr>
            <w:r>
              <w:rPr>
                <w:rFonts w:asciiTheme="minorHAnsi" w:hAnsiTheme="minorHAnsi" w:cstheme="minorHAnsi"/>
                <w:sz w:val="22"/>
                <w:szCs w:val="22"/>
              </w:rPr>
              <w:lastRenderedPageBreak/>
              <w:t xml:space="preserve">Požadavek na dolní emisní úroveň BAT je zohledněn v programovém dokumentu OP PIK, v zásadách pro výběr operací u SC 3.1 a 3.2. </w:t>
            </w:r>
            <w:r w:rsidR="00186DA6">
              <w:rPr>
                <w:rFonts w:asciiTheme="minorHAnsi" w:hAnsiTheme="minorHAnsi" w:cstheme="minorHAnsi"/>
                <w:sz w:val="22"/>
                <w:szCs w:val="22"/>
              </w:rPr>
              <w:t>Další požadavky budou</w:t>
            </w:r>
            <w:r>
              <w:rPr>
                <w:rFonts w:asciiTheme="minorHAnsi" w:hAnsiTheme="minorHAnsi" w:cstheme="minorHAnsi"/>
                <w:sz w:val="22"/>
                <w:szCs w:val="22"/>
              </w:rPr>
              <w:t xml:space="preserve"> zohledněn</w:t>
            </w:r>
            <w:r w:rsidR="00186DA6">
              <w:rPr>
                <w:rFonts w:asciiTheme="minorHAnsi" w:hAnsiTheme="minorHAnsi" w:cstheme="minorHAnsi"/>
                <w:sz w:val="22"/>
                <w:szCs w:val="22"/>
              </w:rPr>
              <w:t>y</w:t>
            </w:r>
            <w:r>
              <w:rPr>
                <w:rFonts w:asciiTheme="minorHAnsi" w:hAnsiTheme="minorHAnsi" w:cstheme="minorHAnsi"/>
                <w:sz w:val="22"/>
                <w:szCs w:val="22"/>
              </w:rPr>
              <w:t xml:space="preserve"> v jednotlivých výzvách relevantních programů podpory v rámci prioritní osy 3.</w:t>
            </w:r>
          </w:p>
        </w:tc>
      </w:tr>
      <w:tr w:rsidR="00084CCB" w:rsidRPr="0078103E" w:rsidTr="00850E03">
        <w:tc>
          <w:tcPr>
            <w:tcW w:w="4606" w:type="dxa"/>
          </w:tcPr>
          <w:p w:rsidR="00EA3851" w:rsidRPr="0078103E" w:rsidRDefault="00EA3851" w:rsidP="00C9511E">
            <w:pPr>
              <w:pStyle w:val="Default"/>
              <w:rPr>
                <w:rFonts w:asciiTheme="minorHAnsi" w:hAnsiTheme="minorHAnsi" w:cstheme="minorHAnsi"/>
                <w:sz w:val="22"/>
                <w:szCs w:val="22"/>
                <w:u w:val="single"/>
              </w:rPr>
            </w:pPr>
            <w:r w:rsidRPr="0078103E">
              <w:rPr>
                <w:rFonts w:asciiTheme="minorHAnsi" w:hAnsiTheme="minorHAnsi" w:cstheme="minorHAnsi"/>
                <w:sz w:val="22"/>
                <w:szCs w:val="22"/>
                <w:u w:val="single"/>
              </w:rPr>
              <w:lastRenderedPageBreak/>
              <w:t xml:space="preserve">Příroda, krajina a ekosystémy </w:t>
            </w:r>
          </w:p>
          <w:p w:rsidR="00084CCB" w:rsidRPr="0078103E" w:rsidRDefault="00EA3851" w:rsidP="00186DA6">
            <w:pPr>
              <w:pStyle w:val="Default"/>
              <w:ind w:left="142"/>
              <w:rPr>
                <w:rFonts w:asciiTheme="minorHAnsi" w:hAnsiTheme="minorHAnsi" w:cstheme="minorHAnsi"/>
                <w:sz w:val="22"/>
                <w:szCs w:val="22"/>
              </w:rPr>
            </w:pPr>
            <w:r w:rsidRPr="0078103E">
              <w:rPr>
                <w:rFonts w:asciiTheme="minorHAnsi" w:hAnsiTheme="minorHAnsi" w:cstheme="minorHAnsi"/>
                <w:sz w:val="22"/>
                <w:szCs w:val="22"/>
              </w:rPr>
              <w:t xml:space="preserve">1. Obecnou podmínkou je (kromě dodržení zákonných požadavků) nutnost eliminovat negativní vlivy při výběru projektů k podpoře. K podpoře by měly být určeny projekty, které prokážou, že nedochází ke střetu s přírodními hodnotami, nebo aplikují dostatečná opatření k eliminaci negativních vlivů. Je povinností žadatele tyto skutečnosti doložit. </w:t>
            </w:r>
          </w:p>
        </w:tc>
        <w:tc>
          <w:tcPr>
            <w:tcW w:w="4606" w:type="dxa"/>
          </w:tcPr>
          <w:p w:rsidR="00186DA6" w:rsidRPr="0078103E" w:rsidRDefault="00186DA6" w:rsidP="00186DA6">
            <w:pPr>
              <w:jc w:val="both"/>
              <w:rPr>
                <w:rFonts w:asciiTheme="minorHAnsi" w:hAnsiTheme="minorHAnsi" w:cstheme="minorHAnsi"/>
                <w:sz w:val="22"/>
                <w:szCs w:val="22"/>
              </w:rPr>
            </w:pPr>
            <w:r>
              <w:rPr>
                <w:rFonts w:asciiTheme="minorHAnsi" w:hAnsiTheme="minorHAnsi" w:cstheme="minorHAnsi"/>
                <w:sz w:val="22"/>
                <w:szCs w:val="22"/>
              </w:rPr>
              <w:t>Zohledněno v rámci horizontálního</w:t>
            </w:r>
            <w:r w:rsidRPr="00186DA6">
              <w:rPr>
                <w:rFonts w:asciiTheme="minorHAnsi" w:hAnsiTheme="minorHAnsi" w:cstheme="minorHAnsi"/>
                <w:sz w:val="22"/>
                <w:szCs w:val="22"/>
              </w:rPr>
              <w:t xml:space="preserve"> </w:t>
            </w:r>
            <w:r>
              <w:rPr>
                <w:rFonts w:asciiTheme="minorHAnsi" w:hAnsiTheme="minorHAnsi" w:cstheme="minorHAnsi"/>
                <w:sz w:val="22"/>
                <w:szCs w:val="22"/>
              </w:rPr>
              <w:t>principu</w:t>
            </w:r>
            <w:r w:rsidRPr="00186DA6">
              <w:rPr>
                <w:rFonts w:asciiTheme="minorHAnsi" w:hAnsiTheme="minorHAnsi" w:cstheme="minorHAnsi"/>
                <w:sz w:val="22"/>
                <w:szCs w:val="22"/>
              </w:rPr>
              <w:t xml:space="preserve"> udržitelný rozvoj.</w:t>
            </w:r>
            <w:r w:rsidRPr="00186DA6">
              <w:rPr>
                <w:sz w:val="24"/>
              </w:rPr>
              <w:t xml:space="preserve"> </w:t>
            </w:r>
            <w:r w:rsidRPr="00186DA6">
              <w:rPr>
                <w:rFonts w:asciiTheme="minorHAnsi" w:hAnsiTheme="minorHAnsi" w:cstheme="minorHAnsi"/>
                <w:sz w:val="22"/>
                <w:szCs w:val="22"/>
              </w:rPr>
              <w:t>Projekt, který bude v rozporu s principy udržitelného rozvoje, nebude v rámci OP PIK podpořen.</w:t>
            </w:r>
          </w:p>
        </w:tc>
      </w:tr>
      <w:tr w:rsidR="00084CCB" w:rsidRPr="0078103E" w:rsidTr="00850E03">
        <w:tc>
          <w:tcPr>
            <w:tcW w:w="4606" w:type="dxa"/>
          </w:tcPr>
          <w:p w:rsidR="00EA3851" w:rsidRPr="0078103E" w:rsidRDefault="00EA3851" w:rsidP="00C9511E">
            <w:pPr>
              <w:pStyle w:val="Default"/>
              <w:rPr>
                <w:rFonts w:asciiTheme="minorHAnsi" w:hAnsiTheme="minorHAnsi" w:cstheme="minorHAnsi"/>
                <w:sz w:val="22"/>
                <w:szCs w:val="22"/>
              </w:rPr>
            </w:pPr>
            <w:r w:rsidRPr="0078103E">
              <w:rPr>
                <w:rFonts w:asciiTheme="minorHAnsi" w:hAnsiTheme="minorHAnsi" w:cstheme="minorHAnsi"/>
                <w:sz w:val="22"/>
                <w:szCs w:val="22"/>
              </w:rPr>
              <w:t xml:space="preserve">V rámci SC 1.1: </w:t>
            </w:r>
          </w:p>
          <w:p w:rsidR="00084CCB" w:rsidRPr="0078103E" w:rsidRDefault="00EA3851" w:rsidP="00C9511E">
            <w:pPr>
              <w:pStyle w:val="Default"/>
              <w:numPr>
                <w:ilvl w:val="0"/>
                <w:numId w:val="4"/>
              </w:numPr>
              <w:rPr>
                <w:rFonts w:asciiTheme="minorHAnsi" w:hAnsiTheme="minorHAnsi" w:cstheme="minorHAnsi"/>
                <w:sz w:val="22"/>
                <w:szCs w:val="22"/>
              </w:rPr>
            </w:pPr>
            <w:r w:rsidRPr="0078103E">
              <w:rPr>
                <w:rFonts w:asciiTheme="minorHAnsi" w:hAnsiTheme="minorHAnsi" w:cstheme="minorHAnsi"/>
                <w:sz w:val="22"/>
                <w:szCs w:val="22"/>
              </w:rPr>
              <w:t xml:space="preserve">Budování nových center by mělo být přednostně ve stávající zástavbě, v ekologicky nehodnotných brownfields a obdobných lokalitách. </w:t>
            </w:r>
          </w:p>
        </w:tc>
        <w:tc>
          <w:tcPr>
            <w:tcW w:w="4606" w:type="dxa"/>
          </w:tcPr>
          <w:p w:rsidR="00084CCB" w:rsidRPr="0078103E" w:rsidRDefault="00B56D1D" w:rsidP="00887D64">
            <w:pPr>
              <w:jc w:val="both"/>
              <w:rPr>
                <w:rFonts w:asciiTheme="minorHAnsi" w:hAnsiTheme="minorHAnsi" w:cstheme="minorHAnsi"/>
                <w:sz w:val="22"/>
                <w:szCs w:val="22"/>
              </w:rPr>
            </w:pPr>
            <w:r>
              <w:rPr>
                <w:rFonts w:asciiTheme="minorHAnsi" w:hAnsiTheme="minorHAnsi" w:cstheme="minorHAnsi"/>
                <w:sz w:val="22"/>
                <w:szCs w:val="22"/>
              </w:rPr>
              <w:t>Bude zohledněno v jednotlivých výzvách relevantních programů podpory v rámci prioritní osy 1.</w:t>
            </w:r>
          </w:p>
        </w:tc>
      </w:tr>
      <w:tr w:rsidR="00084CCB" w:rsidRPr="0078103E" w:rsidTr="00850E03">
        <w:tc>
          <w:tcPr>
            <w:tcW w:w="4606" w:type="dxa"/>
          </w:tcPr>
          <w:p w:rsidR="00EA3851" w:rsidRPr="0078103E" w:rsidRDefault="00EA3851" w:rsidP="00C9511E">
            <w:pPr>
              <w:pStyle w:val="Default"/>
              <w:rPr>
                <w:rFonts w:asciiTheme="minorHAnsi" w:hAnsiTheme="minorHAnsi" w:cstheme="minorHAnsi"/>
                <w:sz w:val="22"/>
                <w:szCs w:val="22"/>
              </w:rPr>
            </w:pPr>
            <w:r w:rsidRPr="0078103E">
              <w:rPr>
                <w:rFonts w:asciiTheme="minorHAnsi" w:hAnsiTheme="minorHAnsi" w:cstheme="minorHAnsi"/>
                <w:sz w:val="22"/>
                <w:szCs w:val="22"/>
              </w:rPr>
              <w:t xml:space="preserve">V rámci SC 1.2: </w:t>
            </w:r>
          </w:p>
          <w:p w:rsidR="00084CCB" w:rsidRPr="0078103E" w:rsidRDefault="00EA3851" w:rsidP="00C9511E">
            <w:pPr>
              <w:pStyle w:val="Default"/>
              <w:numPr>
                <w:ilvl w:val="0"/>
                <w:numId w:val="4"/>
              </w:numPr>
              <w:rPr>
                <w:rFonts w:asciiTheme="minorHAnsi" w:hAnsiTheme="minorHAnsi" w:cstheme="minorHAnsi"/>
                <w:sz w:val="22"/>
                <w:szCs w:val="22"/>
              </w:rPr>
            </w:pPr>
            <w:r w:rsidRPr="0078103E">
              <w:rPr>
                <w:rFonts w:asciiTheme="minorHAnsi" w:hAnsiTheme="minorHAnsi" w:cstheme="minorHAnsi"/>
                <w:sz w:val="22"/>
                <w:szCs w:val="22"/>
              </w:rPr>
              <w:t xml:space="preserve">Budování nové infrastruktury by mělo být přednostně ve stávající zástavbě, v ekologicky nehodnotných brownfields a obdobných lokalitách. </w:t>
            </w:r>
          </w:p>
        </w:tc>
        <w:tc>
          <w:tcPr>
            <w:tcW w:w="4606" w:type="dxa"/>
          </w:tcPr>
          <w:p w:rsidR="00084CCB" w:rsidRPr="0078103E" w:rsidRDefault="00B56D1D" w:rsidP="00B56D1D">
            <w:pPr>
              <w:jc w:val="both"/>
              <w:rPr>
                <w:rFonts w:asciiTheme="minorHAnsi" w:hAnsiTheme="minorHAnsi" w:cstheme="minorHAnsi"/>
                <w:sz w:val="22"/>
                <w:szCs w:val="22"/>
              </w:rPr>
            </w:pPr>
            <w:r>
              <w:rPr>
                <w:rFonts w:asciiTheme="minorHAnsi" w:hAnsiTheme="minorHAnsi" w:cstheme="minorHAnsi"/>
                <w:sz w:val="22"/>
                <w:szCs w:val="22"/>
              </w:rPr>
              <w:t>V SC 1.2 bude docházet k budování nové sdílené infrastruktury pouze v ojedinělých případech, kde bude prokázán nedostatek vhodné výzkumné infrastruktury pro podnikatelské subjekty, tj. v případech doložené analýzy absorpční kapacity a poptávky ze strany podnikatelských subjektů, kterou není možné naplnit ze strany již existující inovační infrastruktury (v souladu s RIS3). V takovém případě bude daný požadavek zohledněn při hodnocení projektu.</w:t>
            </w:r>
          </w:p>
        </w:tc>
      </w:tr>
      <w:tr w:rsidR="00084CCB" w:rsidRPr="0078103E" w:rsidTr="00850E03">
        <w:tc>
          <w:tcPr>
            <w:tcW w:w="4606" w:type="dxa"/>
          </w:tcPr>
          <w:p w:rsidR="00EA3851" w:rsidRPr="0078103E" w:rsidRDefault="00EA3851" w:rsidP="00C9511E">
            <w:pPr>
              <w:pStyle w:val="Default"/>
              <w:rPr>
                <w:rFonts w:asciiTheme="minorHAnsi" w:hAnsiTheme="minorHAnsi" w:cstheme="minorHAnsi"/>
                <w:sz w:val="22"/>
                <w:szCs w:val="22"/>
              </w:rPr>
            </w:pPr>
            <w:r w:rsidRPr="0078103E">
              <w:rPr>
                <w:rFonts w:asciiTheme="minorHAnsi" w:hAnsiTheme="minorHAnsi" w:cstheme="minorHAnsi"/>
                <w:sz w:val="22"/>
                <w:szCs w:val="22"/>
              </w:rPr>
              <w:t xml:space="preserve">Pro SC 2.3: </w:t>
            </w:r>
          </w:p>
          <w:p w:rsidR="00084CCB" w:rsidRPr="0078103E" w:rsidRDefault="00EA3851" w:rsidP="00C9511E">
            <w:pPr>
              <w:pStyle w:val="Default"/>
              <w:numPr>
                <w:ilvl w:val="0"/>
                <w:numId w:val="4"/>
              </w:numPr>
              <w:rPr>
                <w:rFonts w:asciiTheme="minorHAnsi" w:hAnsiTheme="minorHAnsi" w:cstheme="minorHAnsi"/>
                <w:sz w:val="22"/>
                <w:szCs w:val="22"/>
              </w:rPr>
            </w:pPr>
            <w:r w:rsidRPr="0078103E">
              <w:rPr>
                <w:rFonts w:asciiTheme="minorHAnsi" w:hAnsiTheme="minorHAnsi" w:cstheme="minorHAnsi"/>
                <w:sz w:val="22"/>
                <w:szCs w:val="22"/>
              </w:rPr>
              <w:t xml:space="preserve">Upřednostněny by měly být projekty rekonstrukce stávajících zón a výstavby zón v ekologicky nehodnotných brownfields a obdobných lokalitách. Projekty nových zón na „zelené louce“ a rozšiřování stávajících zón do dosud volné krajiny mají obecně větší negativní vlivy, proto by měly být podpořeny pouze výjimečně při vyloučení těchto negativních vlivů. </w:t>
            </w:r>
          </w:p>
        </w:tc>
        <w:tc>
          <w:tcPr>
            <w:tcW w:w="4606" w:type="dxa"/>
          </w:tcPr>
          <w:p w:rsidR="00084CCB" w:rsidRPr="0078103E" w:rsidRDefault="00EA6171" w:rsidP="00EA6171">
            <w:pPr>
              <w:jc w:val="both"/>
              <w:rPr>
                <w:rFonts w:asciiTheme="minorHAnsi" w:hAnsiTheme="minorHAnsi" w:cstheme="minorHAnsi"/>
                <w:sz w:val="22"/>
                <w:szCs w:val="22"/>
              </w:rPr>
            </w:pPr>
            <w:r>
              <w:rPr>
                <w:rFonts w:asciiTheme="minorHAnsi" w:hAnsiTheme="minorHAnsi" w:cstheme="minorHAnsi"/>
                <w:sz w:val="22"/>
                <w:szCs w:val="22"/>
              </w:rPr>
              <w:t>Zohledněno v programovém dokumentu OP PIK: „</w:t>
            </w:r>
            <w:r w:rsidRPr="00EA6171">
              <w:rPr>
                <w:rFonts w:asciiTheme="minorHAnsi" w:hAnsiTheme="minorHAnsi" w:cstheme="minorHAnsi"/>
                <w:sz w:val="22"/>
                <w:szCs w:val="22"/>
              </w:rPr>
              <w:t>Podporovány nebudou developerské projekty, ani výstavba na „zelené louce“ vyžadující zábor zemědělského půdního fondu.</w:t>
            </w:r>
            <w:r>
              <w:rPr>
                <w:rFonts w:asciiTheme="minorHAnsi" w:hAnsiTheme="minorHAnsi" w:cstheme="minorHAnsi"/>
                <w:sz w:val="22"/>
                <w:szCs w:val="22"/>
              </w:rPr>
              <w:t>“</w:t>
            </w:r>
          </w:p>
        </w:tc>
      </w:tr>
      <w:tr w:rsidR="00084CCB" w:rsidRPr="0078103E" w:rsidTr="00850E03">
        <w:tc>
          <w:tcPr>
            <w:tcW w:w="4606" w:type="dxa"/>
          </w:tcPr>
          <w:p w:rsidR="00EA3851" w:rsidRPr="0078103E" w:rsidRDefault="00EA3851" w:rsidP="00C9511E">
            <w:pPr>
              <w:pStyle w:val="Default"/>
              <w:rPr>
                <w:rFonts w:asciiTheme="minorHAnsi" w:hAnsiTheme="minorHAnsi" w:cstheme="minorHAnsi"/>
                <w:sz w:val="22"/>
                <w:szCs w:val="22"/>
              </w:rPr>
            </w:pPr>
            <w:r w:rsidRPr="0078103E">
              <w:rPr>
                <w:rFonts w:asciiTheme="minorHAnsi" w:hAnsiTheme="minorHAnsi" w:cstheme="minorHAnsi"/>
                <w:sz w:val="22"/>
                <w:szCs w:val="22"/>
              </w:rPr>
              <w:t xml:space="preserve">V rámci SC 3.1 je doporučeno stanovit následující pravidla pro podporu: </w:t>
            </w:r>
          </w:p>
          <w:p w:rsidR="00EA3851" w:rsidRPr="0078103E" w:rsidRDefault="00EA3851" w:rsidP="00C9511E">
            <w:pPr>
              <w:pStyle w:val="Default"/>
              <w:numPr>
                <w:ilvl w:val="0"/>
                <w:numId w:val="4"/>
              </w:numPr>
              <w:rPr>
                <w:rFonts w:asciiTheme="minorHAnsi" w:hAnsiTheme="minorHAnsi" w:cstheme="minorHAnsi"/>
                <w:sz w:val="22"/>
                <w:szCs w:val="22"/>
              </w:rPr>
            </w:pPr>
            <w:r w:rsidRPr="0078103E">
              <w:rPr>
                <w:rFonts w:asciiTheme="minorHAnsi" w:hAnsiTheme="minorHAnsi" w:cstheme="minorHAnsi"/>
                <w:sz w:val="22"/>
                <w:szCs w:val="22"/>
              </w:rPr>
              <w:t xml:space="preserve">Podpora (malých vodních elektráren (dále jen „MVE“)) ve zvláště chráněných územích (dále jen „ZCHÚ“) a lokalitách soustavy Natura 2000 je možná pouze výjimečně při jednoznačném vyloučení negativních vlivů, zejména musí být vyloučen vznik nových nebo obnova již zaniklých příčných překážek v toku a další vlivy na vodní organismy. Obecně by měly být podporovány přednostně MVE, při nichž nevzniká nová migrační překážka v toku a nedochází k negativnímu ovlivnění přírodních společenstev. Výstavba rybího přechodu v případě příčných překážek musí být samozřejmostí, ale nelze ji považovat za řešení všech problémů. </w:t>
            </w:r>
          </w:p>
          <w:p w:rsidR="00EA3851" w:rsidRPr="0078103E" w:rsidRDefault="00EA3851" w:rsidP="00C9511E">
            <w:pPr>
              <w:pStyle w:val="Default"/>
              <w:numPr>
                <w:ilvl w:val="0"/>
                <w:numId w:val="4"/>
              </w:numPr>
              <w:rPr>
                <w:rFonts w:asciiTheme="minorHAnsi" w:hAnsiTheme="minorHAnsi" w:cstheme="minorHAnsi"/>
                <w:sz w:val="22"/>
                <w:szCs w:val="22"/>
              </w:rPr>
            </w:pPr>
            <w:r w:rsidRPr="0078103E">
              <w:rPr>
                <w:rFonts w:asciiTheme="minorHAnsi" w:hAnsiTheme="minorHAnsi" w:cstheme="minorHAnsi"/>
                <w:sz w:val="22"/>
                <w:szCs w:val="22"/>
              </w:rPr>
              <w:t xml:space="preserve">Při realizaci projektů bude řešena problematika vlivů na krajinný ráz a přírodní biotopy při budování rozvodů tepla z bioplynových stanic, a to zejména (ale nejen) v ZCHÚ. </w:t>
            </w:r>
          </w:p>
          <w:p w:rsidR="00EA3851" w:rsidRPr="0078103E" w:rsidRDefault="00EA3851" w:rsidP="00C9511E">
            <w:pPr>
              <w:pStyle w:val="Default"/>
              <w:numPr>
                <w:ilvl w:val="0"/>
                <w:numId w:val="4"/>
              </w:numPr>
              <w:rPr>
                <w:rFonts w:asciiTheme="minorHAnsi" w:hAnsiTheme="minorHAnsi" w:cstheme="minorHAnsi"/>
                <w:sz w:val="22"/>
                <w:szCs w:val="22"/>
              </w:rPr>
            </w:pPr>
            <w:r w:rsidRPr="0078103E">
              <w:rPr>
                <w:rFonts w:asciiTheme="minorHAnsi" w:hAnsiTheme="minorHAnsi" w:cstheme="minorHAnsi"/>
                <w:sz w:val="22"/>
                <w:szCs w:val="22"/>
              </w:rPr>
              <w:t xml:space="preserve">Upřednostnění využívání odpadní biomasy před cíleným pěstováním biomasy pro energetické účely. Zejména ve zvláště chráněných územích by pěstování nepůvodních a geneticky upravených druhů mohlo mít významné negativní vlivy. </w:t>
            </w:r>
          </w:p>
          <w:p w:rsidR="00EA3851" w:rsidRPr="0078103E" w:rsidRDefault="00EA3851" w:rsidP="00C9511E">
            <w:pPr>
              <w:pStyle w:val="Default"/>
              <w:numPr>
                <w:ilvl w:val="0"/>
                <w:numId w:val="4"/>
              </w:numPr>
              <w:rPr>
                <w:rFonts w:asciiTheme="minorHAnsi" w:hAnsiTheme="minorHAnsi" w:cstheme="minorHAnsi"/>
                <w:sz w:val="22"/>
                <w:szCs w:val="22"/>
              </w:rPr>
            </w:pPr>
            <w:r w:rsidRPr="0078103E">
              <w:rPr>
                <w:rFonts w:asciiTheme="minorHAnsi" w:hAnsiTheme="minorHAnsi" w:cstheme="minorHAnsi"/>
                <w:sz w:val="22"/>
                <w:szCs w:val="22"/>
              </w:rPr>
              <w:t xml:space="preserve">Případnou podporu větrných elektráren (dále jen „VTE“) směřovat mimo ZCHÚ, lokality soustavy Natura 2000, př. parky, místa s významným výskytem ptáků a netopýrů, VKP, ÚSES. </w:t>
            </w:r>
          </w:p>
          <w:p w:rsidR="00084CCB" w:rsidRPr="0078103E" w:rsidRDefault="00EA3851" w:rsidP="00C9511E">
            <w:pPr>
              <w:pStyle w:val="Default"/>
              <w:numPr>
                <w:ilvl w:val="0"/>
                <w:numId w:val="4"/>
              </w:numPr>
              <w:rPr>
                <w:rFonts w:asciiTheme="minorHAnsi" w:hAnsiTheme="minorHAnsi" w:cstheme="minorHAnsi"/>
                <w:sz w:val="22"/>
                <w:szCs w:val="22"/>
              </w:rPr>
            </w:pPr>
            <w:r w:rsidRPr="0078103E">
              <w:rPr>
                <w:rFonts w:asciiTheme="minorHAnsi" w:hAnsiTheme="minorHAnsi" w:cstheme="minorHAnsi"/>
                <w:sz w:val="22"/>
                <w:szCs w:val="22"/>
              </w:rPr>
              <w:t xml:space="preserve">Případnou podporu fotovoltaických elektráren (dále jen“ FVE“) směřovat mimo zemědělskou půdu (s výjimkou půd V. třídy ochrany), přírodní biotopy, stanoviště zvláště chráněných a ohrožených druhů. V ZCHÚ, lokalitách soustavy Natura 2000 a přírodních parcích pouze při realizaci na budovách a vyloučení negativních vlivů. I ve volné krajině by jednoznačně měly být upřednostněny instalace na střechách. </w:t>
            </w:r>
          </w:p>
        </w:tc>
        <w:tc>
          <w:tcPr>
            <w:tcW w:w="4606" w:type="dxa"/>
          </w:tcPr>
          <w:p w:rsidR="00D2356F" w:rsidRDefault="00EA6171" w:rsidP="00850E03">
            <w:pPr>
              <w:jc w:val="both"/>
              <w:rPr>
                <w:rFonts w:asciiTheme="minorHAnsi" w:hAnsiTheme="minorHAnsi" w:cstheme="minorHAnsi"/>
                <w:sz w:val="22"/>
                <w:szCs w:val="22"/>
              </w:rPr>
            </w:pPr>
            <w:r>
              <w:rPr>
                <w:rFonts w:asciiTheme="minorHAnsi" w:hAnsiTheme="minorHAnsi" w:cstheme="minorHAnsi"/>
                <w:sz w:val="22"/>
                <w:szCs w:val="22"/>
              </w:rPr>
              <w:t>Zohledněno v rámci horizontálního</w:t>
            </w:r>
            <w:r w:rsidRPr="00186DA6">
              <w:rPr>
                <w:rFonts w:asciiTheme="minorHAnsi" w:hAnsiTheme="minorHAnsi" w:cstheme="minorHAnsi"/>
                <w:sz w:val="22"/>
                <w:szCs w:val="22"/>
              </w:rPr>
              <w:t xml:space="preserve"> </w:t>
            </w:r>
            <w:r>
              <w:rPr>
                <w:rFonts w:asciiTheme="minorHAnsi" w:hAnsiTheme="minorHAnsi" w:cstheme="minorHAnsi"/>
                <w:sz w:val="22"/>
                <w:szCs w:val="22"/>
              </w:rPr>
              <w:t>principu</w:t>
            </w:r>
            <w:r w:rsidRPr="00186DA6">
              <w:rPr>
                <w:rFonts w:asciiTheme="minorHAnsi" w:hAnsiTheme="minorHAnsi" w:cstheme="minorHAnsi"/>
                <w:sz w:val="22"/>
                <w:szCs w:val="22"/>
              </w:rPr>
              <w:t xml:space="preserve"> udržitelný rozvoj.</w:t>
            </w:r>
            <w:r w:rsidRPr="00186DA6">
              <w:rPr>
                <w:sz w:val="24"/>
              </w:rPr>
              <w:t xml:space="preserve"> </w:t>
            </w:r>
            <w:r w:rsidRPr="00186DA6">
              <w:rPr>
                <w:rFonts w:asciiTheme="minorHAnsi" w:hAnsiTheme="minorHAnsi" w:cstheme="minorHAnsi"/>
                <w:sz w:val="22"/>
                <w:szCs w:val="22"/>
              </w:rPr>
              <w:t>Projekt, který bude v rozporu s principy udržitelného rozvoje</w:t>
            </w:r>
            <w:r w:rsidR="00D2356F">
              <w:rPr>
                <w:rFonts w:asciiTheme="minorHAnsi" w:hAnsiTheme="minorHAnsi" w:cstheme="minorHAnsi"/>
                <w:sz w:val="22"/>
                <w:szCs w:val="22"/>
              </w:rPr>
              <w:t>, nebude v rámci OP PIK podpořen.</w:t>
            </w:r>
          </w:p>
          <w:p w:rsidR="00D2356F" w:rsidRDefault="00D2356F" w:rsidP="00850E03">
            <w:pPr>
              <w:jc w:val="both"/>
              <w:rPr>
                <w:rFonts w:asciiTheme="minorHAnsi" w:hAnsiTheme="minorHAnsi" w:cstheme="minorHAnsi"/>
                <w:sz w:val="22"/>
                <w:szCs w:val="22"/>
              </w:rPr>
            </w:pPr>
          </w:p>
          <w:p w:rsidR="00D2356F" w:rsidRDefault="00D2356F" w:rsidP="00850E03">
            <w:pPr>
              <w:jc w:val="both"/>
              <w:rPr>
                <w:rFonts w:asciiTheme="minorHAnsi" w:hAnsiTheme="minorHAnsi" w:cstheme="minorHAnsi"/>
                <w:sz w:val="22"/>
                <w:szCs w:val="22"/>
              </w:rPr>
            </w:pPr>
            <w:r>
              <w:rPr>
                <w:rFonts w:asciiTheme="minorHAnsi" w:hAnsiTheme="minorHAnsi" w:cstheme="minorHAnsi"/>
                <w:sz w:val="22"/>
                <w:szCs w:val="22"/>
              </w:rPr>
              <w:t xml:space="preserve">Požadavek v případě biomasy je v programovém dokumentu OP PIK zohledněn: „Půjde o </w:t>
            </w:r>
            <w:r w:rsidRPr="00D2356F">
              <w:rPr>
                <w:rFonts w:asciiTheme="minorHAnsi" w:hAnsiTheme="minorHAnsi" w:cstheme="minorHAnsi"/>
                <w:sz w:val="22"/>
                <w:szCs w:val="22"/>
              </w:rPr>
              <w:t>menší až střední zařízení s maximálním instalovaným výkonem do 10 MW, která respektují potenciál biomasy v daném regionu v souladu s udržitelností zdrojů a ochranou přírody a krajiny</w:t>
            </w:r>
            <w:r>
              <w:rPr>
                <w:rFonts w:asciiTheme="minorHAnsi" w:hAnsiTheme="minorHAnsi" w:cstheme="minorHAnsi"/>
                <w:sz w:val="22"/>
                <w:szCs w:val="22"/>
              </w:rPr>
              <w:t>“.</w:t>
            </w:r>
          </w:p>
          <w:p w:rsidR="00D2356F" w:rsidRDefault="00D2356F" w:rsidP="00850E03">
            <w:pPr>
              <w:jc w:val="both"/>
              <w:rPr>
                <w:rFonts w:asciiTheme="minorHAnsi" w:hAnsiTheme="minorHAnsi" w:cstheme="minorHAnsi"/>
                <w:sz w:val="22"/>
                <w:szCs w:val="22"/>
              </w:rPr>
            </w:pPr>
          </w:p>
          <w:p w:rsidR="00EA6171" w:rsidRPr="0078103E" w:rsidRDefault="00D2356F" w:rsidP="00EA6171">
            <w:pPr>
              <w:jc w:val="both"/>
              <w:rPr>
                <w:rFonts w:asciiTheme="minorHAnsi" w:hAnsiTheme="minorHAnsi" w:cstheme="minorHAnsi"/>
                <w:sz w:val="22"/>
                <w:szCs w:val="22"/>
              </w:rPr>
            </w:pPr>
            <w:r>
              <w:rPr>
                <w:rFonts w:asciiTheme="minorHAnsi" w:hAnsiTheme="minorHAnsi" w:cstheme="minorHAnsi"/>
                <w:sz w:val="22"/>
                <w:szCs w:val="22"/>
              </w:rPr>
              <w:t xml:space="preserve">S </w:t>
            </w:r>
            <w:r w:rsidR="00EA6171">
              <w:rPr>
                <w:rFonts w:asciiTheme="minorHAnsi" w:hAnsiTheme="minorHAnsi" w:cstheme="minorHAnsi"/>
                <w:sz w:val="22"/>
                <w:szCs w:val="22"/>
              </w:rPr>
              <w:t xml:space="preserve">podporou </w:t>
            </w:r>
            <w:r w:rsidR="00EA6171" w:rsidRPr="00EA6171">
              <w:rPr>
                <w:rFonts w:asciiTheme="minorHAnsi" w:hAnsiTheme="minorHAnsi" w:cstheme="minorHAnsi"/>
                <w:sz w:val="22"/>
                <w:szCs w:val="22"/>
              </w:rPr>
              <w:t xml:space="preserve">větrných </w:t>
            </w:r>
            <w:r w:rsidR="00EA6171">
              <w:rPr>
                <w:rFonts w:asciiTheme="minorHAnsi" w:hAnsiTheme="minorHAnsi" w:cstheme="minorHAnsi"/>
                <w:sz w:val="22"/>
                <w:szCs w:val="22"/>
              </w:rPr>
              <w:t xml:space="preserve">a fotovoltaických </w:t>
            </w:r>
            <w:r w:rsidR="00EA6171" w:rsidRPr="00EA6171">
              <w:rPr>
                <w:rFonts w:asciiTheme="minorHAnsi" w:hAnsiTheme="minorHAnsi" w:cstheme="minorHAnsi"/>
                <w:sz w:val="22"/>
                <w:szCs w:val="22"/>
              </w:rPr>
              <w:t>elektráren</w:t>
            </w:r>
            <w:r w:rsidR="00EA6171">
              <w:rPr>
                <w:rFonts w:asciiTheme="minorHAnsi" w:hAnsiTheme="minorHAnsi" w:cstheme="minorHAnsi"/>
                <w:sz w:val="22"/>
                <w:szCs w:val="22"/>
              </w:rPr>
              <w:t xml:space="preserve"> se v SC 3.1 neuvažuje.</w:t>
            </w:r>
          </w:p>
        </w:tc>
      </w:tr>
      <w:tr w:rsidR="00084CCB" w:rsidRPr="0078103E" w:rsidTr="00850E03">
        <w:tc>
          <w:tcPr>
            <w:tcW w:w="4606" w:type="dxa"/>
          </w:tcPr>
          <w:p w:rsidR="00EA3851" w:rsidRPr="0078103E" w:rsidRDefault="00EA3851" w:rsidP="00C9511E">
            <w:pPr>
              <w:pStyle w:val="Default"/>
              <w:rPr>
                <w:rFonts w:asciiTheme="minorHAnsi" w:hAnsiTheme="minorHAnsi" w:cstheme="minorHAnsi"/>
                <w:sz w:val="22"/>
                <w:szCs w:val="22"/>
              </w:rPr>
            </w:pPr>
            <w:r w:rsidRPr="0078103E">
              <w:rPr>
                <w:rFonts w:asciiTheme="minorHAnsi" w:hAnsiTheme="minorHAnsi" w:cstheme="minorHAnsi"/>
                <w:sz w:val="22"/>
                <w:szCs w:val="22"/>
              </w:rPr>
              <w:t xml:space="preserve">Pro SC 3.2: </w:t>
            </w:r>
          </w:p>
          <w:p w:rsidR="00EA3851" w:rsidRPr="0078103E" w:rsidRDefault="00EA3851" w:rsidP="00C9511E">
            <w:pPr>
              <w:pStyle w:val="Default"/>
              <w:numPr>
                <w:ilvl w:val="0"/>
                <w:numId w:val="5"/>
              </w:numPr>
              <w:rPr>
                <w:rFonts w:asciiTheme="minorHAnsi" w:hAnsiTheme="minorHAnsi" w:cstheme="minorHAnsi"/>
                <w:sz w:val="22"/>
                <w:szCs w:val="22"/>
              </w:rPr>
            </w:pPr>
            <w:r w:rsidRPr="0078103E">
              <w:rPr>
                <w:rFonts w:asciiTheme="minorHAnsi" w:hAnsiTheme="minorHAnsi" w:cstheme="minorHAnsi"/>
                <w:sz w:val="22"/>
                <w:szCs w:val="22"/>
              </w:rPr>
              <w:t xml:space="preserve">V případě, že se jedná o budovu vhodnou ke hnízdění ptáků či výskyt netopýrů, musí být tato možnost zachována i po zateplení budov nebo by měl být připraven náhradní biotop, a to i tehdy, pokud nebude prokázán aktuální výskyt. </w:t>
            </w:r>
          </w:p>
          <w:p w:rsidR="00084CCB" w:rsidRPr="0078103E" w:rsidRDefault="00EA3851" w:rsidP="00C9511E">
            <w:pPr>
              <w:pStyle w:val="Default"/>
              <w:numPr>
                <w:ilvl w:val="0"/>
                <w:numId w:val="5"/>
              </w:numPr>
              <w:rPr>
                <w:rFonts w:asciiTheme="minorHAnsi" w:hAnsiTheme="minorHAnsi" w:cstheme="minorHAnsi"/>
                <w:sz w:val="22"/>
                <w:szCs w:val="22"/>
              </w:rPr>
            </w:pPr>
            <w:r w:rsidRPr="0078103E">
              <w:rPr>
                <w:rFonts w:asciiTheme="minorHAnsi" w:hAnsiTheme="minorHAnsi" w:cstheme="minorHAnsi"/>
                <w:sz w:val="22"/>
                <w:szCs w:val="22"/>
              </w:rPr>
              <w:t xml:space="preserve">Pro instalaci OZE platí stejné podmínky jako u SC 3.1. </w:t>
            </w:r>
          </w:p>
        </w:tc>
        <w:tc>
          <w:tcPr>
            <w:tcW w:w="4606" w:type="dxa"/>
          </w:tcPr>
          <w:p w:rsidR="00084CCB" w:rsidRDefault="00F3559C" w:rsidP="00850E03">
            <w:pPr>
              <w:jc w:val="both"/>
              <w:rPr>
                <w:rFonts w:asciiTheme="minorHAnsi" w:hAnsiTheme="minorHAnsi" w:cstheme="minorHAnsi"/>
                <w:sz w:val="22"/>
                <w:szCs w:val="22"/>
              </w:rPr>
            </w:pPr>
            <w:r>
              <w:rPr>
                <w:rFonts w:asciiTheme="minorHAnsi" w:hAnsiTheme="minorHAnsi" w:cstheme="minorHAnsi"/>
                <w:sz w:val="22"/>
                <w:szCs w:val="22"/>
              </w:rPr>
              <w:t>Zohledněno v rámci horizontálního</w:t>
            </w:r>
            <w:r w:rsidRPr="00186DA6">
              <w:rPr>
                <w:rFonts w:asciiTheme="minorHAnsi" w:hAnsiTheme="minorHAnsi" w:cstheme="minorHAnsi"/>
                <w:sz w:val="22"/>
                <w:szCs w:val="22"/>
              </w:rPr>
              <w:t xml:space="preserve"> </w:t>
            </w:r>
            <w:r>
              <w:rPr>
                <w:rFonts w:asciiTheme="minorHAnsi" w:hAnsiTheme="minorHAnsi" w:cstheme="minorHAnsi"/>
                <w:sz w:val="22"/>
                <w:szCs w:val="22"/>
              </w:rPr>
              <w:t>principu</w:t>
            </w:r>
            <w:r w:rsidRPr="00186DA6">
              <w:rPr>
                <w:rFonts w:asciiTheme="minorHAnsi" w:hAnsiTheme="minorHAnsi" w:cstheme="minorHAnsi"/>
                <w:sz w:val="22"/>
                <w:szCs w:val="22"/>
              </w:rPr>
              <w:t xml:space="preserve"> udržitelný rozvoj.</w:t>
            </w:r>
            <w:r w:rsidRPr="00186DA6">
              <w:rPr>
                <w:sz w:val="24"/>
              </w:rPr>
              <w:t xml:space="preserve"> </w:t>
            </w:r>
            <w:r w:rsidRPr="00186DA6">
              <w:rPr>
                <w:rFonts w:asciiTheme="minorHAnsi" w:hAnsiTheme="minorHAnsi" w:cstheme="minorHAnsi"/>
                <w:sz w:val="22"/>
                <w:szCs w:val="22"/>
              </w:rPr>
              <w:t>Projekt, který bude v rozporu s principy udržitelného rozvoje</w:t>
            </w:r>
            <w:r>
              <w:rPr>
                <w:rFonts w:asciiTheme="minorHAnsi" w:hAnsiTheme="minorHAnsi" w:cstheme="minorHAnsi"/>
                <w:sz w:val="22"/>
                <w:szCs w:val="22"/>
              </w:rPr>
              <w:t>, nebude v rámci OP PIK podpořen.</w:t>
            </w:r>
          </w:p>
          <w:p w:rsidR="00F3559C" w:rsidRPr="0078103E" w:rsidRDefault="00F3559C" w:rsidP="00850E03">
            <w:pPr>
              <w:jc w:val="both"/>
              <w:rPr>
                <w:rFonts w:asciiTheme="minorHAnsi" w:hAnsiTheme="minorHAnsi" w:cstheme="minorHAnsi"/>
                <w:sz w:val="22"/>
                <w:szCs w:val="22"/>
              </w:rPr>
            </w:pPr>
            <w:r>
              <w:rPr>
                <w:rFonts w:asciiTheme="minorHAnsi" w:hAnsiTheme="minorHAnsi" w:cstheme="minorHAnsi"/>
                <w:sz w:val="22"/>
                <w:szCs w:val="22"/>
              </w:rPr>
              <w:t xml:space="preserve">V případě OZE bude v SC 3.2 podpořena pouze </w:t>
            </w:r>
            <w:r w:rsidRPr="00F3559C">
              <w:rPr>
                <w:rFonts w:asciiTheme="minorHAnsi" w:hAnsiTheme="minorHAnsi" w:cstheme="minorHAnsi"/>
                <w:sz w:val="22"/>
                <w:szCs w:val="22"/>
              </w:rPr>
              <w:t>instalace OZE pro vlastní spotřebu podniku</w:t>
            </w:r>
            <w:r>
              <w:rPr>
                <w:rFonts w:asciiTheme="minorHAnsi" w:hAnsiTheme="minorHAnsi" w:cstheme="minorHAnsi"/>
                <w:sz w:val="22"/>
                <w:szCs w:val="22"/>
              </w:rPr>
              <w:t>.</w:t>
            </w:r>
          </w:p>
        </w:tc>
      </w:tr>
      <w:tr w:rsidR="00084CCB" w:rsidRPr="0078103E" w:rsidTr="00850E03">
        <w:tc>
          <w:tcPr>
            <w:tcW w:w="4606" w:type="dxa"/>
          </w:tcPr>
          <w:p w:rsidR="00EA3851" w:rsidRPr="0078103E" w:rsidRDefault="00EA3851" w:rsidP="00C9511E">
            <w:pPr>
              <w:pStyle w:val="Default"/>
              <w:rPr>
                <w:rFonts w:asciiTheme="minorHAnsi" w:hAnsiTheme="minorHAnsi" w:cstheme="minorHAnsi"/>
                <w:sz w:val="22"/>
                <w:szCs w:val="22"/>
              </w:rPr>
            </w:pPr>
            <w:r w:rsidRPr="0078103E">
              <w:rPr>
                <w:rFonts w:asciiTheme="minorHAnsi" w:hAnsiTheme="minorHAnsi" w:cstheme="minorHAnsi"/>
                <w:sz w:val="22"/>
                <w:szCs w:val="22"/>
              </w:rPr>
              <w:t xml:space="preserve">Pro SC 3.5: </w:t>
            </w:r>
          </w:p>
          <w:p w:rsidR="00084CCB" w:rsidRPr="0078103E" w:rsidRDefault="00EA3851" w:rsidP="00C9511E">
            <w:pPr>
              <w:pStyle w:val="Default"/>
              <w:numPr>
                <w:ilvl w:val="0"/>
                <w:numId w:val="6"/>
              </w:numPr>
              <w:rPr>
                <w:rFonts w:asciiTheme="minorHAnsi" w:hAnsiTheme="minorHAnsi" w:cstheme="minorHAnsi"/>
                <w:sz w:val="22"/>
                <w:szCs w:val="22"/>
              </w:rPr>
            </w:pPr>
            <w:r w:rsidRPr="0078103E">
              <w:rPr>
                <w:rFonts w:asciiTheme="minorHAnsi" w:hAnsiTheme="minorHAnsi" w:cstheme="minorHAnsi"/>
                <w:sz w:val="22"/>
                <w:szCs w:val="22"/>
              </w:rPr>
              <w:t xml:space="preserve">Podmínkou podpory by měl být výběr takové trasy a provedení, který negativní vlivy minimalizuje, a dále důsledná implementace zmírňujících a kompenzačních opatření stanovených povolovacími procesy. </w:t>
            </w:r>
          </w:p>
        </w:tc>
        <w:tc>
          <w:tcPr>
            <w:tcW w:w="4606" w:type="dxa"/>
          </w:tcPr>
          <w:p w:rsidR="00084CCB" w:rsidRPr="0078103E" w:rsidRDefault="00887D64" w:rsidP="00887D64">
            <w:pPr>
              <w:jc w:val="both"/>
              <w:rPr>
                <w:rFonts w:asciiTheme="minorHAnsi" w:hAnsiTheme="minorHAnsi" w:cstheme="minorHAnsi"/>
                <w:sz w:val="22"/>
                <w:szCs w:val="22"/>
              </w:rPr>
            </w:pPr>
            <w:r>
              <w:rPr>
                <w:rFonts w:asciiTheme="minorHAnsi" w:hAnsiTheme="minorHAnsi" w:cstheme="minorHAnsi"/>
                <w:sz w:val="22"/>
                <w:szCs w:val="22"/>
              </w:rPr>
              <w:t>Bude zohledněno v jednotlivých výzvách relevantního programu podpory v rámci prioritní osy 3.</w:t>
            </w:r>
          </w:p>
        </w:tc>
      </w:tr>
      <w:tr w:rsidR="00084CCB" w:rsidRPr="0078103E" w:rsidTr="00850E03">
        <w:tc>
          <w:tcPr>
            <w:tcW w:w="4606" w:type="dxa"/>
          </w:tcPr>
          <w:p w:rsidR="00EA3851" w:rsidRPr="0078103E" w:rsidRDefault="00EA3851" w:rsidP="00C9511E">
            <w:pPr>
              <w:pStyle w:val="Default"/>
              <w:rPr>
                <w:rFonts w:asciiTheme="minorHAnsi" w:hAnsiTheme="minorHAnsi" w:cstheme="minorHAnsi"/>
                <w:sz w:val="22"/>
                <w:szCs w:val="22"/>
              </w:rPr>
            </w:pPr>
            <w:r w:rsidRPr="0078103E">
              <w:rPr>
                <w:rFonts w:asciiTheme="minorHAnsi" w:hAnsiTheme="minorHAnsi" w:cstheme="minorHAnsi"/>
                <w:sz w:val="22"/>
                <w:szCs w:val="22"/>
              </w:rPr>
              <w:t xml:space="preserve">Pro SC 3.6: </w:t>
            </w:r>
          </w:p>
          <w:p w:rsidR="00084CCB" w:rsidRPr="0078103E" w:rsidRDefault="00EA3851" w:rsidP="00C9511E">
            <w:pPr>
              <w:pStyle w:val="Default"/>
              <w:numPr>
                <w:ilvl w:val="0"/>
                <w:numId w:val="6"/>
              </w:numPr>
              <w:rPr>
                <w:rFonts w:asciiTheme="minorHAnsi" w:hAnsiTheme="minorHAnsi" w:cstheme="minorHAnsi"/>
                <w:sz w:val="22"/>
                <w:szCs w:val="22"/>
              </w:rPr>
            </w:pPr>
            <w:r w:rsidRPr="0078103E">
              <w:rPr>
                <w:rFonts w:asciiTheme="minorHAnsi" w:hAnsiTheme="minorHAnsi" w:cstheme="minorHAnsi"/>
                <w:sz w:val="22"/>
                <w:szCs w:val="22"/>
              </w:rPr>
              <w:t xml:space="preserve">Podmínkou podpory by měl být výběr takové trasy a provedení, který negativní vlivy minimalizuje, a dále důsledná implementace zmírňujících a kompenzačních opatření, která vyplynou z povolovacích řízení. </w:t>
            </w:r>
          </w:p>
        </w:tc>
        <w:tc>
          <w:tcPr>
            <w:tcW w:w="4606" w:type="dxa"/>
          </w:tcPr>
          <w:p w:rsidR="00084CCB" w:rsidRPr="0078103E" w:rsidRDefault="00887D64" w:rsidP="00850E03">
            <w:pPr>
              <w:jc w:val="both"/>
              <w:rPr>
                <w:rFonts w:asciiTheme="minorHAnsi" w:hAnsiTheme="minorHAnsi" w:cstheme="minorHAnsi"/>
                <w:sz w:val="22"/>
                <w:szCs w:val="22"/>
              </w:rPr>
            </w:pPr>
            <w:r>
              <w:rPr>
                <w:rFonts w:asciiTheme="minorHAnsi" w:hAnsiTheme="minorHAnsi" w:cstheme="minorHAnsi"/>
                <w:sz w:val="22"/>
                <w:szCs w:val="22"/>
              </w:rPr>
              <w:t>Bude zohledněno v jednotlivých výzvách relevantního programu podpory v rámci prioritní osy 3.</w:t>
            </w:r>
          </w:p>
        </w:tc>
      </w:tr>
      <w:tr w:rsidR="00084CCB" w:rsidRPr="0078103E" w:rsidTr="00850E03">
        <w:tc>
          <w:tcPr>
            <w:tcW w:w="4606" w:type="dxa"/>
          </w:tcPr>
          <w:p w:rsidR="00EA3851" w:rsidRPr="0078103E" w:rsidRDefault="00EA3851" w:rsidP="00C9511E">
            <w:pPr>
              <w:pStyle w:val="Default"/>
              <w:rPr>
                <w:rFonts w:asciiTheme="minorHAnsi" w:hAnsiTheme="minorHAnsi" w:cstheme="minorHAnsi"/>
                <w:sz w:val="22"/>
                <w:szCs w:val="22"/>
              </w:rPr>
            </w:pPr>
            <w:r w:rsidRPr="0078103E">
              <w:rPr>
                <w:rFonts w:asciiTheme="minorHAnsi" w:hAnsiTheme="minorHAnsi" w:cstheme="minorHAnsi"/>
                <w:sz w:val="22"/>
                <w:szCs w:val="22"/>
              </w:rPr>
              <w:t xml:space="preserve">2. Předkladatel koncepce zajistí celkovou koordinaci systému sledování vlivů OP PIK na životní prostředí, tj. zejména následující kroky a aktivity: </w:t>
            </w:r>
          </w:p>
          <w:p w:rsidR="00EA3851" w:rsidRPr="0078103E" w:rsidRDefault="00EA3851" w:rsidP="00C9511E">
            <w:pPr>
              <w:pStyle w:val="Default"/>
              <w:numPr>
                <w:ilvl w:val="0"/>
                <w:numId w:val="6"/>
              </w:numPr>
              <w:rPr>
                <w:rFonts w:asciiTheme="minorHAnsi" w:hAnsiTheme="minorHAnsi" w:cstheme="minorHAnsi"/>
                <w:sz w:val="22"/>
                <w:szCs w:val="22"/>
              </w:rPr>
            </w:pPr>
            <w:r w:rsidRPr="0078103E">
              <w:rPr>
                <w:rFonts w:asciiTheme="minorHAnsi" w:hAnsiTheme="minorHAnsi" w:cstheme="minorHAnsi"/>
                <w:sz w:val="22"/>
                <w:szCs w:val="22"/>
              </w:rPr>
              <w:t xml:space="preserve">vybrat relevantní environmentální indikátory a začlenit je do celkového systému sledování implementace OP PIK na životní prostředí; </w:t>
            </w:r>
          </w:p>
          <w:p w:rsidR="00EA3851" w:rsidRPr="0078103E" w:rsidRDefault="00EA3851" w:rsidP="00C9511E">
            <w:pPr>
              <w:pStyle w:val="Default"/>
              <w:numPr>
                <w:ilvl w:val="0"/>
                <w:numId w:val="6"/>
              </w:numPr>
              <w:rPr>
                <w:rFonts w:asciiTheme="minorHAnsi" w:hAnsiTheme="minorHAnsi" w:cstheme="minorHAnsi"/>
                <w:sz w:val="22"/>
                <w:szCs w:val="22"/>
              </w:rPr>
            </w:pPr>
            <w:r w:rsidRPr="0078103E">
              <w:rPr>
                <w:rFonts w:asciiTheme="minorHAnsi" w:hAnsiTheme="minorHAnsi" w:cstheme="minorHAnsi"/>
                <w:sz w:val="22"/>
                <w:szCs w:val="22"/>
              </w:rPr>
              <w:t xml:space="preserve">pravidelně vyhodnocovat výsledky monitoringu (ve vazbě na další postupy průběžných evaluací při implementaci programu); </w:t>
            </w:r>
          </w:p>
          <w:p w:rsidR="00EA3851" w:rsidRPr="0078103E" w:rsidRDefault="00EA3851" w:rsidP="00C9511E">
            <w:pPr>
              <w:pStyle w:val="Default"/>
              <w:numPr>
                <w:ilvl w:val="0"/>
                <w:numId w:val="6"/>
              </w:numPr>
              <w:rPr>
                <w:rFonts w:asciiTheme="minorHAnsi" w:hAnsiTheme="minorHAnsi" w:cstheme="minorHAnsi"/>
                <w:sz w:val="22"/>
                <w:szCs w:val="22"/>
              </w:rPr>
            </w:pPr>
            <w:r w:rsidRPr="0078103E">
              <w:rPr>
                <w:rFonts w:asciiTheme="minorHAnsi" w:hAnsiTheme="minorHAnsi" w:cstheme="minorHAnsi"/>
                <w:sz w:val="22"/>
                <w:szCs w:val="22"/>
              </w:rPr>
              <w:t xml:space="preserve">pravidelně zveřejňovat výsledky monitoringu; </w:t>
            </w:r>
          </w:p>
          <w:p w:rsidR="00EA3851" w:rsidRPr="0078103E" w:rsidRDefault="00EA3851" w:rsidP="00C9511E">
            <w:pPr>
              <w:pStyle w:val="Default"/>
              <w:numPr>
                <w:ilvl w:val="0"/>
                <w:numId w:val="6"/>
              </w:numPr>
              <w:rPr>
                <w:rFonts w:asciiTheme="minorHAnsi" w:hAnsiTheme="minorHAnsi" w:cstheme="minorHAnsi"/>
                <w:sz w:val="22"/>
                <w:szCs w:val="22"/>
              </w:rPr>
            </w:pPr>
            <w:r w:rsidRPr="0078103E">
              <w:rPr>
                <w:rFonts w:asciiTheme="minorHAnsi" w:hAnsiTheme="minorHAnsi" w:cstheme="minorHAnsi"/>
                <w:sz w:val="22"/>
                <w:szCs w:val="22"/>
              </w:rPr>
              <w:t xml:space="preserve">využít relevantní environmentální indikátory jako kritéria pro hodnocení a výběr relevantních projektů, předkládaných v rámci OP PIK; </w:t>
            </w:r>
          </w:p>
          <w:p w:rsidR="00084CCB" w:rsidRPr="0078103E" w:rsidRDefault="00EA3851" w:rsidP="00C9511E">
            <w:pPr>
              <w:pStyle w:val="Default"/>
              <w:numPr>
                <w:ilvl w:val="0"/>
                <w:numId w:val="6"/>
              </w:numPr>
              <w:rPr>
                <w:rFonts w:asciiTheme="minorHAnsi" w:hAnsiTheme="minorHAnsi" w:cstheme="minorHAnsi"/>
                <w:sz w:val="22"/>
                <w:szCs w:val="22"/>
              </w:rPr>
            </w:pPr>
            <w:r w:rsidRPr="0078103E">
              <w:rPr>
                <w:rFonts w:asciiTheme="minorHAnsi" w:hAnsiTheme="minorHAnsi" w:cstheme="minorHAnsi"/>
                <w:sz w:val="22"/>
                <w:szCs w:val="22"/>
              </w:rPr>
              <w:t xml:space="preserve">zajistit dostatečné odborné a personální kapacity pro oblasti životního prostředí a rámec implementační struktury OP PIK, tj. zejména pro hodnocení a výběr projektů. </w:t>
            </w:r>
          </w:p>
        </w:tc>
        <w:tc>
          <w:tcPr>
            <w:tcW w:w="4606" w:type="dxa"/>
          </w:tcPr>
          <w:p w:rsidR="00084CCB" w:rsidRPr="0078103E" w:rsidRDefault="00B06E3F" w:rsidP="00B06E3F">
            <w:pPr>
              <w:jc w:val="both"/>
              <w:rPr>
                <w:rFonts w:asciiTheme="minorHAnsi" w:hAnsiTheme="minorHAnsi" w:cstheme="minorHAnsi"/>
                <w:sz w:val="22"/>
                <w:szCs w:val="22"/>
              </w:rPr>
            </w:pPr>
            <w:r>
              <w:rPr>
                <w:rFonts w:asciiTheme="minorHAnsi" w:hAnsiTheme="minorHAnsi" w:cstheme="minorHAnsi"/>
                <w:sz w:val="22"/>
                <w:szCs w:val="22"/>
              </w:rPr>
              <w:t xml:space="preserve">Environmentální indikátory jsou součástí programového dokumentu OP PIK (kapitola Hlavní zásady pro výběr operací u relevantních specifických cílů). </w:t>
            </w:r>
            <w:r w:rsidRPr="00B06E3F">
              <w:rPr>
                <w:rFonts w:asciiTheme="minorHAnsi" w:hAnsiTheme="minorHAnsi" w:cstheme="minorHAnsi"/>
                <w:sz w:val="22"/>
                <w:szCs w:val="22"/>
              </w:rPr>
              <w:t>Tyto indikátory budou sledovány v informačním systému MS2014+ a budou pravidelně vykazovány a vyhodnocovány ve zprávách a informacích o implementaci operačního programu</w:t>
            </w:r>
            <w:r>
              <w:rPr>
                <w:rFonts w:asciiTheme="minorHAnsi" w:hAnsiTheme="minorHAnsi" w:cstheme="minorHAnsi"/>
                <w:sz w:val="22"/>
                <w:szCs w:val="22"/>
              </w:rPr>
              <w:t>, které budou pravidelně zveřejňovány.</w:t>
            </w:r>
          </w:p>
        </w:tc>
      </w:tr>
      <w:tr w:rsidR="00084CCB" w:rsidRPr="0078103E" w:rsidTr="00850E03">
        <w:tc>
          <w:tcPr>
            <w:tcW w:w="4606" w:type="dxa"/>
          </w:tcPr>
          <w:p w:rsidR="00EA3851" w:rsidRPr="0078103E" w:rsidRDefault="00EA3851" w:rsidP="00C9511E">
            <w:pPr>
              <w:pStyle w:val="Default"/>
              <w:rPr>
                <w:rFonts w:asciiTheme="minorHAnsi" w:hAnsiTheme="minorHAnsi" w:cstheme="minorHAnsi"/>
                <w:sz w:val="22"/>
                <w:szCs w:val="22"/>
                <w:u w:val="single"/>
              </w:rPr>
            </w:pPr>
            <w:r w:rsidRPr="0078103E">
              <w:rPr>
                <w:rFonts w:asciiTheme="minorHAnsi" w:hAnsiTheme="minorHAnsi" w:cstheme="minorHAnsi"/>
                <w:sz w:val="22"/>
                <w:szCs w:val="22"/>
                <w:u w:val="single"/>
              </w:rPr>
              <w:t xml:space="preserve">Veřejné zdraví </w:t>
            </w:r>
          </w:p>
          <w:p w:rsidR="00EA3851" w:rsidRPr="0078103E" w:rsidRDefault="00EA3851" w:rsidP="00C9511E">
            <w:pPr>
              <w:pStyle w:val="Default"/>
              <w:rPr>
                <w:rFonts w:asciiTheme="minorHAnsi" w:hAnsiTheme="minorHAnsi" w:cstheme="minorHAnsi"/>
                <w:sz w:val="22"/>
                <w:szCs w:val="22"/>
              </w:rPr>
            </w:pPr>
            <w:r w:rsidRPr="0078103E">
              <w:rPr>
                <w:rFonts w:asciiTheme="minorHAnsi" w:hAnsiTheme="minorHAnsi" w:cstheme="minorHAnsi"/>
                <w:sz w:val="22"/>
                <w:szCs w:val="22"/>
              </w:rPr>
              <w:t xml:space="preserve">K SC 1.1: </w:t>
            </w:r>
          </w:p>
          <w:p w:rsidR="00084CCB" w:rsidRPr="0078103E" w:rsidRDefault="00EA3851" w:rsidP="00C9511E">
            <w:pPr>
              <w:pStyle w:val="Default"/>
              <w:numPr>
                <w:ilvl w:val="0"/>
                <w:numId w:val="7"/>
              </w:numPr>
              <w:rPr>
                <w:rFonts w:asciiTheme="minorHAnsi" w:hAnsiTheme="minorHAnsi" w:cstheme="minorHAnsi"/>
                <w:sz w:val="22"/>
                <w:szCs w:val="22"/>
              </w:rPr>
            </w:pPr>
            <w:r w:rsidRPr="0078103E">
              <w:rPr>
                <w:rFonts w:asciiTheme="minorHAnsi" w:hAnsiTheme="minorHAnsi" w:cstheme="minorHAnsi"/>
                <w:sz w:val="22"/>
                <w:szCs w:val="22"/>
              </w:rPr>
              <w:t xml:space="preserve">Inovativní technologie nesmí přinést zaměstnancům stres, hluk, rizika při práci i v běžném životě, </w:t>
            </w:r>
          </w:p>
        </w:tc>
        <w:tc>
          <w:tcPr>
            <w:tcW w:w="4606" w:type="dxa"/>
          </w:tcPr>
          <w:p w:rsidR="00084CCB" w:rsidRPr="0078103E" w:rsidRDefault="00373DE8" w:rsidP="00850E03">
            <w:pPr>
              <w:jc w:val="both"/>
              <w:rPr>
                <w:rFonts w:asciiTheme="minorHAnsi" w:hAnsiTheme="minorHAnsi" w:cstheme="minorHAnsi"/>
                <w:sz w:val="22"/>
                <w:szCs w:val="22"/>
              </w:rPr>
            </w:pPr>
            <w:r>
              <w:rPr>
                <w:rFonts w:asciiTheme="minorHAnsi" w:hAnsiTheme="minorHAnsi" w:cstheme="minorHAnsi"/>
                <w:sz w:val="22"/>
                <w:szCs w:val="22"/>
              </w:rPr>
              <w:t>Zohledněno v rámci horizontálního</w:t>
            </w:r>
            <w:r w:rsidRPr="00186DA6">
              <w:rPr>
                <w:rFonts w:asciiTheme="minorHAnsi" w:hAnsiTheme="minorHAnsi" w:cstheme="minorHAnsi"/>
                <w:sz w:val="22"/>
                <w:szCs w:val="22"/>
              </w:rPr>
              <w:t xml:space="preserve"> </w:t>
            </w:r>
            <w:r>
              <w:rPr>
                <w:rFonts w:asciiTheme="minorHAnsi" w:hAnsiTheme="minorHAnsi" w:cstheme="minorHAnsi"/>
                <w:sz w:val="22"/>
                <w:szCs w:val="22"/>
              </w:rPr>
              <w:t>principu</w:t>
            </w:r>
            <w:r w:rsidRPr="00186DA6">
              <w:rPr>
                <w:rFonts w:asciiTheme="minorHAnsi" w:hAnsiTheme="minorHAnsi" w:cstheme="minorHAnsi"/>
                <w:sz w:val="22"/>
                <w:szCs w:val="22"/>
              </w:rPr>
              <w:t xml:space="preserve"> udržitelný rozvoj</w:t>
            </w:r>
            <w:r>
              <w:rPr>
                <w:rFonts w:asciiTheme="minorHAnsi" w:hAnsiTheme="minorHAnsi" w:cstheme="minorHAnsi"/>
                <w:sz w:val="22"/>
                <w:szCs w:val="22"/>
              </w:rPr>
              <w:t xml:space="preserve"> (součást globálního cíle „</w:t>
            </w:r>
            <w:r w:rsidRPr="00373DE8">
              <w:rPr>
                <w:rFonts w:asciiTheme="minorHAnsi" w:hAnsiTheme="minorHAnsi" w:cstheme="minorHAnsi"/>
                <w:sz w:val="22"/>
                <w:szCs w:val="22"/>
              </w:rPr>
              <w:t>sociální soudržnost</w:t>
            </w:r>
            <w:r>
              <w:rPr>
                <w:rFonts w:asciiTheme="minorHAnsi" w:hAnsiTheme="minorHAnsi" w:cstheme="minorHAnsi"/>
                <w:sz w:val="22"/>
                <w:szCs w:val="22"/>
              </w:rPr>
              <w:t>“ v rámci Strategického rámce udržitelného rozvoje ČR)</w:t>
            </w:r>
            <w:r w:rsidRPr="00186DA6">
              <w:rPr>
                <w:rFonts w:asciiTheme="minorHAnsi" w:hAnsiTheme="minorHAnsi" w:cstheme="minorHAnsi"/>
                <w:sz w:val="22"/>
                <w:szCs w:val="22"/>
              </w:rPr>
              <w:t>.</w:t>
            </w:r>
            <w:r w:rsidRPr="00373DE8">
              <w:rPr>
                <w:rFonts w:asciiTheme="minorHAnsi" w:hAnsiTheme="minorHAnsi" w:cstheme="minorHAnsi"/>
                <w:sz w:val="22"/>
                <w:szCs w:val="22"/>
              </w:rPr>
              <w:t xml:space="preserve"> </w:t>
            </w:r>
            <w:r w:rsidRPr="00186DA6">
              <w:rPr>
                <w:rFonts w:asciiTheme="minorHAnsi" w:hAnsiTheme="minorHAnsi" w:cstheme="minorHAnsi"/>
                <w:sz w:val="22"/>
                <w:szCs w:val="22"/>
              </w:rPr>
              <w:t>Projekt, který bude v rozporu s principy udržitelného rozvoje</w:t>
            </w:r>
            <w:r>
              <w:rPr>
                <w:rFonts w:asciiTheme="minorHAnsi" w:hAnsiTheme="minorHAnsi" w:cstheme="minorHAnsi"/>
                <w:sz w:val="22"/>
                <w:szCs w:val="22"/>
              </w:rPr>
              <w:t>, nebude v rámci OP PIK podpořen.</w:t>
            </w:r>
          </w:p>
        </w:tc>
      </w:tr>
      <w:tr w:rsidR="00084CCB" w:rsidRPr="0078103E" w:rsidTr="00850E03">
        <w:tc>
          <w:tcPr>
            <w:tcW w:w="4606" w:type="dxa"/>
          </w:tcPr>
          <w:p w:rsidR="00EA3851" w:rsidRPr="0078103E" w:rsidRDefault="00EA3851" w:rsidP="00C9511E">
            <w:pPr>
              <w:pStyle w:val="Default"/>
              <w:rPr>
                <w:rFonts w:asciiTheme="minorHAnsi" w:hAnsiTheme="minorHAnsi" w:cstheme="minorHAnsi"/>
                <w:sz w:val="22"/>
                <w:szCs w:val="22"/>
              </w:rPr>
            </w:pPr>
            <w:r w:rsidRPr="0078103E">
              <w:rPr>
                <w:rFonts w:asciiTheme="minorHAnsi" w:hAnsiTheme="minorHAnsi" w:cstheme="minorHAnsi"/>
                <w:sz w:val="22"/>
                <w:szCs w:val="22"/>
              </w:rPr>
              <w:t xml:space="preserve">K SC 3.1: </w:t>
            </w:r>
          </w:p>
          <w:p w:rsidR="00084CCB" w:rsidRPr="0078103E" w:rsidRDefault="00EA3851" w:rsidP="00C9511E">
            <w:pPr>
              <w:pStyle w:val="Default"/>
              <w:numPr>
                <w:ilvl w:val="0"/>
                <w:numId w:val="7"/>
              </w:numPr>
              <w:rPr>
                <w:rFonts w:asciiTheme="minorHAnsi" w:hAnsiTheme="minorHAnsi" w:cstheme="minorHAnsi"/>
                <w:sz w:val="22"/>
                <w:szCs w:val="22"/>
              </w:rPr>
            </w:pPr>
            <w:r w:rsidRPr="0078103E">
              <w:rPr>
                <w:rFonts w:asciiTheme="minorHAnsi" w:hAnsiTheme="minorHAnsi" w:cstheme="minorHAnsi"/>
                <w:sz w:val="22"/>
                <w:szCs w:val="22"/>
              </w:rPr>
              <w:t xml:space="preserve">Definice cíle by měla být doplněna z hlediska ochrany veřejného zdraví o „bez dopadu na kvalitu ovzduší a zdraví“. Nové technologie nesmí přinášet nadlimitní hluk. </w:t>
            </w:r>
          </w:p>
        </w:tc>
        <w:tc>
          <w:tcPr>
            <w:tcW w:w="4606" w:type="dxa"/>
          </w:tcPr>
          <w:p w:rsidR="00084CCB" w:rsidRPr="0078103E" w:rsidRDefault="00373DE8" w:rsidP="00850E03">
            <w:pPr>
              <w:jc w:val="both"/>
              <w:rPr>
                <w:rFonts w:asciiTheme="minorHAnsi" w:hAnsiTheme="minorHAnsi" w:cstheme="minorHAnsi"/>
                <w:sz w:val="22"/>
                <w:szCs w:val="22"/>
              </w:rPr>
            </w:pPr>
            <w:r>
              <w:rPr>
                <w:rFonts w:asciiTheme="minorHAnsi" w:hAnsiTheme="minorHAnsi" w:cstheme="minorHAnsi"/>
                <w:sz w:val="22"/>
                <w:szCs w:val="22"/>
              </w:rPr>
              <w:t>Zohledněno v rámci horizontálního</w:t>
            </w:r>
            <w:r w:rsidRPr="00186DA6">
              <w:rPr>
                <w:rFonts w:asciiTheme="minorHAnsi" w:hAnsiTheme="minorHAnsi" w:cstheme="minorHAnsi"/>
                <w:sz w:val="22"/>
                <w:szCs w:val="22"/>
              </w:rPr>
              <w:t xml:space="preserve"> </w:t>
            </w:r>
            <w:r>
              <w:rPr>
                <w:rFonts w:asciiTheme="minorHAnsi" w:hAnsiTheme="minorHAnsi" w:cstheme="minorHAnsi"/>
                <w:sz w:val="22"/>
                <w:szCs w:val="22"/>
              </w:rPr>
              <w:t>principu</w:t>
            </w:r>
            <w:r w:rsidRPr="00186DA6">
              <w:rPr>
                <w:rFonts w:asciiTheme="minorHAnsi" w:hAnsiTheme="minorHAnsi" w:cstheme="minorHAnsi"/>
                <w:sz w:val="22"/>
                <w:szCs w:val="22"/>
              </w:rPr>
              <w:t xml:space="preserve"> udržitelný rozvoj</w:t>
            </w:r>
            <w:r>
              <w:rPr>
                <w:rFonts w:asciiTheme="minorHAnsi" w:hAnsiTheme="minorHAnsi" w:cstheme="minorHAnsi"/>
                <w:sz w:val="22"/>
                <w:szCs w:val="22"/>
              </w:rPr>
              <w:t xml:space="preserve"> (součást globálního cíle „</w:t>
            </w:r>
            <w:r w:rsidRPr="00373DE8">
              <w:rPr>
                <w:rFonts w:asciiTheme="minorHAnsi" w:hAnsiTheme="minorHAnsi" w:cstheme="minorHAnsi"/>
                <w:sz w:val="22"/>
                <w:szCs w:val="22"/>
              </w:rPr>
              <w:t>sociální soudržnost</w:t>
            </w:r>
            <w:r>
              <w:rPr>
                <w:rFonts w:asciiTheme="minorHAnsi" w:hAnsiTheme="minorHAnsi" w:cstheme="minorHAnsi"/>
                <w:sz w:val="22"/>
                <w:szCs w:val="22"/>
              </w:rPr>
              <w:t>“ v rámci Strategického rámce udržitelného rozvoje ČR)</w:t>
            </w:r>
            <w:r w:rsidRPr="00186DA6">
              <w:rPr>
                <w:rFonts w:asciiTheme="minorHAnsi" w:hAnsiTheme="minorHAnsi" w:cstheme="minorHAnsi"/>
                <w:sz w:val="22"/>
                <w:szCs w:val="22"/>
              </w:rPr>
              <w:t>.</w:t>
            </w:r>
            <w:r w:rsidRPr="00373DE8">
              <w:rPr>
                <w:rFonts w:asciiTheme="minorHAnsi" w:hAnsiTheme="minorHAnsi" w:cstheme="minorHAnsi"/>
                <w:sz w:val="22"/>
                <w:szCs w:val="22"/>
              </w:rPr>
              <w:t xml:space="preserve"> </w:t>
            </w:r>
            <w:r w:rsidRPr="00186DA6">
              <w:rPr>
                <w:rFonts w:asciiTheme="minorHAnsi" w:hAnsiTheme="minorHAnsi" w:cstheme="minorHAnsi"/>
                <w:sz w:val="22"/>
                <w:szCs w:val="22"/>
              </w:rPr>
              <w:t>Projekt, který bude v rozporu s principy udržitelného rozvoje</w:t>
            </w:r>
            <w:r>
              <w:rPr>
                <w:rFonts w:asciiTheme="minorHAnsi" w:hAnsiTheme="minorHAnsi" w:cstheme="minorHAnsi"/>
                <w:sz w:val="22"/>
                <w:szCs w:val="22"/>
              </w:rPr>
              <w:t>, nebude v rámci OP PIK podpořen.</w:t>
            </w:r>
          </w:p>
        </w:tc>
      </w:tr>
      <w:tr w:rsidR="00084CCB" w:rsidRPr="0078103E" w:rsidTr="00850E03">
        <w:tc>
          <w:tcPr>
            <w:tcW w:w="4606" w:type="dxa"/>
          </w:tcPr>
          <w:p w:rsidR="00EA3851" w:rsidRPr="0078103E" w:rsidRDefault="00EA3851" w:rsidP="00C9511E">
            <w:pPr>
              <w:pStyle w:val="Default"/>
              <w:rPr>
                <w:rFonts w:asciiTheme="minorHAnsi" w:hAnsiTheme="minorHAnsi" w:cstheme="minorHAnsi"/>
                <w:sz w:val="22"/>
                <w:szCs w:val="22"/>
              </w:rPr>
            </w:pPr>
            <w:r w:rsidRPr="0078103E">
              <w:rPr>
                <w:rFonts w:asciiTheme="minorHAnsi" w:hAnsiTheme="minorHAnsi" w:cstheme="minorHAnsi"/>
                <w:sz w:val="22"/>
                <w:szCs w:val="22"/>
              </w:rPr>
              <w:t xml:space="preserve">K SC 3.4: </w:t>
            </w:r>
          </w:p>
          <w:p w:rsidR="00EA3851" w:rsidRPr="0078103E" w:rsidRDefault="00EA3851" w:rsidP="00C9511E">
            <w:pPr>
              <w:pStyle w:val="Default"/>
              <w:numPr>
                <w:ilvl w:val="0"/>
                <w:numId w:val="7"/>
              </w:numPr>
              <w:rPr>
                <w:rFonts w:asciiTheme="minorHAnsi" w:hAnsiTheme="minorHAnsi" w:cstheme="minorHAnsi"/>
                <w:sz w:val="22"/>
                <w:szCs w:val="22"/>
              </w:rPr>
            </w:pPr>
            <w:r w:rsidRPr="0078103E">
              <w:rPr>
                <w:rFonts w:asciiTheme="minorHAnsi" w:hAnsiTheme="minorHAnsi" w:cstheme="minorHAnsi"/>
                <w:sz w:val="22"/>
                <w:szCs w:val="22"/>
              </w:rPr>
              <w:t xml:space="preserve">Nakládání s energií a využívání druhotných surovin nesmí být zdrojem znečištění půdy, vody a ovzduší toxickými látkami, které může poškozovat zdraví citlivých skupin populace. </w:t>
            </w:r>
          </w:p>
          <w:p w:rsidR="00084CCB" w:rsidRPr="0078103E" w:rsidRDefault="00EA3851" w:rsidP="00C9511E">
            <w:pPr>
              <w:pStyle w:val="Default"/>
              <w:numPr>
                <w:ilvl w:val="0"/>
                <w:numId w:val="7"/>
              </w:numPr>
              <w:rPr>
                <w:rFonts w:asciiTheme="minorHAnsi" w:hAnsiTheme="minorHAnsi" w:cstheme="minorHAnsi"/>
                <w:sz w:val="22"/>
                <w:szCs w:val="22"/>
              </w:rPr>
            </w:pPr>
            <w:r w:rsidRPr="0078103E">
              <w:rPr>
                <w:rFonts w:asciiTheme="minorHAnsi" w:hAnsiTheme="minorHAnsi" w:cstheme="minorHAnsi"/>
                <w:sz w:val="22"/>
                <w:szCs w:val="22"/>
              </w:rPr>
              <w:t xml:space="preserve">Technologie využití druhotných surovin nesmí negativně ovlivnit zdraví pracovníků a dotčených obyvatel. Rozhodování o naplnění tohoto cíle OP PIK musí být provedeno na základě předběžné opatrnosti. </w:t>
            </w:r>
          </w:p>
        </w:tc>
        <w:tc>
          <w:tcPr>
            <w:tcW w:w="4606" w:type="dxa"/>
          </w:tcPr>
          <w:p w:rsidR="00084CCB" w:rsidRPr="0078103E" w:rsidRDefault="00373DE8" w:rsidP="00850E03">
            <w:pPr>
              <w:jc w:val="both"/>
              <w:rPr>
                <w:rFonts w:asciiTheme="minorHAnsi" w:hAnsiTheme="minorHAnsi" w:cstheme="minorHAnsi"/>
                <w:sz w:val="22"/>
                <w:szCs w:val="22"/>
              </w:rPr>
            </w:pPr>
            <w:r>
              <w:rPr>
                <w:rFonts w:asciiTheme="minorHAnsi" w:hAnsiTheme="minorHAnsi" w:cstheme="minorHAnsi"/>
                <w:sz w:val="22"/>
                <w:szCs w:val="22"/>
              </w:rPr>
              <w:t>Zohledněno v rámci horizontálního</w:t>
            </w:r>
            <w:r w:rsidRPr="00186DA6">
              <w:rPr>
                <w:rFonts w:asciiTheme="minorHAnsi" w:hAnsiTheme="minorHAnsi" w:cstheme="minorHAnsi"/>
                <w:sz w:val="22"/>
                <w:szCs w:val="22"/>
              </w:rPr>
              <w:t xml:space="preserve"> </w:t>
            </w:r>
            <w:r>
              <w:rPr>
                <w:rFonts w:asciiTheme="minorHAnsi" w:hAnsiTheme="minorHAnsi" w:cstheme="minorHAnsi"/>
                <w:sz w:val="22"/>
                <w:szCs w:val="22"/>
              </w:rPr>
              <w:t>principu</w:t>
            </w:r>
            <w:r w:rsidRPr="00186DA6">
              <w:rPr>
                <w:rFonts w:asciiTheme="minorHAnsi" w:hAnsiTheme="minorHAnsi" w:cstheme="minorHAnsi"/>
                <w:sz w:val="22"/>
                <w:szCs w:val="22"/>
              </w:rPr>
              <w:t xml:space="preserve"> udržitelný rozvoj</w:t>
            </w:r>
            <w:r>
              <w:rPr>
                <w:rFonts w:asciiTheme="minorHAnsi" w:hAnsiTheme="minorHAnsi" w:cstheme="minorHAnsi"/>
                <w:sz w:val="22"/>
                <w:szCs w:val="22"/>
              </w:rPr>
              <w:t xml:space="preserve"> (součást globálního cíle „</w:t>
            </w:r>
            <w:r w:rsidRPr="00373DE8">
              <w:rPr>
                <w:rFonts w:asciiTheme="minorHAnsi" w:hAnsiTheme="minorHAnsi" w:cstheme="minorHAnsi"/>
                <w:sz w:val="22"/>
                <w:szCs w:val="22"/>
              </w:rPr>
              <w:t>sociální soudržnost</w:t>
            </w:r>
            <w:r>
              <w:rPr>
                <w:rFonts w:asciiTheme="minorHAnsi" w:hAnsiTheme="minorHAnsi" w:cstheme="minorHAnsi"/>
                <w:sz w:val="22"/>
                <w:szCs w:val="22"/>
              </w:rPr>
              <w:t>“ v rámci Strategického rámce udržitelného rozvoje ČR)</w:t>
            </w:r>
            <w:r w:rsidRPr="00186DA6">
              <w:rPr>
                <w:rFonts w:asciiTheme="minorHAnsi" w:hAnsiTheme="minorHAnsi" w:cstheme="minorHAnsi"/>
                <w:sz w:val="22"/>
                <w:szCs w:val="22"/>
              </w:rPr>
              <w:t>.</w:t>
            </w:r>
            <w:r w:rsidRPr="00373DE8">
              <w:rPr>
                <w:rFonts w:asciiTheme="minorHAnsi" w:hAnsiTheme="minorHAnsi" w:cstheme="minorHAnsi"/>
                <w:sz w:val="22"/>
                <w:szCs w:val="22"/>
              </w:rPr>
              <w:t xml:space="preserve"> </w:t>
            </w:r>
            <w:r w:rsidRPr="00186DA6">
              <w:rPr>
                <w:rFonts w:asciiTheme="minorHAnsi" w:hAnsiTheme="minorHAnsi" w:cstheme="minorHAnsi"/>
                <w:sz w:val="22"/>
                <w:szCs w:val="22"/>
              </w:rPr>
              <w:t>Projekt, který bude v rozporu s principy udržitelného rozvoje</w:t>
            </w:r>
            <w:r>
              <w:rPr>
                <w:rFonts w:asciiTheme="minorHAnsi" w:hAnsiTheme="minorHAnsi" w:cstheme="minorHAnsi"/>
                <w:sz w:val="22"/>
                <w:szCs w:val="22"/>
              </w:rPr>
              <w:t>, nebude v rámci OP PIK podpořen.</w:t>
            </w:r>
          </w:p>
        </w:tc>
      </w:tr>
      <w:tr w:rsidR="00084CCB" w:rsidRPr="0078103E" w:rsidTr="00850E03">
        <w:tc>
          <w:tcPr>
            <w:tcW w:w="4606" w:type="dxa"/>
          </w:tcPr>
          <w:p w:rsidR="00084CCB" w:rsidRPr="0078103E" w:rsidRDefault="00EA3851" w:rsidP="00B658AB">
            <w:pPr>
              <w:pStyle w:val="Default"/>
              <w:rPr>
                <w:rFonts w:asciiTheme="minorHAnsi" w:hAnsiTheme="minorHAnsi" w:cstheme="minorHAnsi"/>
                <w:sz w:val="22"/>
                <w:szCs w:val="22"/>
              </w:rPr>
            </w:pPr>
            <w:r w:rsidRPr="0078103E">
              <w:rPr>
                <w:rFonts w:asciiTheme="minorHAnsi" w:hAnsiTheme="minorHAnsi" w:cstheme="minorHAnsi"/>
                <w:sz w:val="22"/>
                <w:szCs w:val="22"/>
              </w:rPr>
              <w:t xml:space="preserve">3. Předkladatel koncepce zveřejní na svých internetových stránkách vypořádání veškerých došlých vyjádření a připomínek, a to jak k návrhu koncepce, tak i k jejímu vyhodnocení. </w:t>
            </w:r>
          </w:p>
        </w:tc>
        <w:tc>
          <w:tcPr>
            <w:tcW w:w="4606" w:type="dxa"/>
          </w:tcPr>
          <w:p w:rsidR="00084CCB" w:rsidRPr="0078103E" w:rsidRDefault="00373DE8" w:rsidP="00850E03">
            <w:pPr>
              <w:jc w:val="both"/>
              <w:rPr>
                <w:rFonts w:asciiTheme="minorHAnsi" w:hAnsiTheme="minorHAnsi" w:cstheme="minorHAnsi"/>
                <w:sz w:val="22"/>
                <w:szCs w:val="22"/>
              </w:rPr>
            </w:pPr>
            <w:r>
              <w:rPr>
                <w:rFonts w:asciiTheme="minorHAnsi" w:hAnsiTheme="minorHAnsi" w:cstheme="minorHAnsi"/>
                <w:sz w:val="22"/>
                <w:szCs w:val="22"/>
              </w:rPr>
              <w:t>V</w:t>
            </w:r>
            <w:r w:rsidRPr="00373DE8">
              <w:rPr>
                <w:rFonts w:asciiTheme="minorHAnsi" w:hAnsiTheme="minorHAnsi" w:cstheme="minorHAnsi"/>
                <w:sz w:val="22"/>
                <w:szCs w:val="22"/>
              </w:rPr>
              <w:t>ypořádání veškerých došlých vyjádření a připomínek</w:t>
            </w:r>
            <w:r>
              <w:rPr>
                <w:rFonts w:asciiTheme="minorHAnsi" w:hAnsiTheme="minorHAnsi" w:cstheme="minorHAnsi"/>
                <w:sz w:val="22"/>
                <w:szCs w:val="22"/>
              </w:rPr>
              <w:t xml:space="preserve"> je </w:t>
            </w:r>
            <w:r w:rsidRPr="00373DE8">
              <w:rPr>
                <w:rFonts w:asciiTheme="minorHAnsi" w:hAnsiTheme="minorHAnsi" w:cstheme="minorHAnsi"/>
                <w:sz w:val="22"/>
                <w:szCs w:val="22"/>
              </w:rPr>
              <w:t>k dispozici na http://www.mpo.cz/dokument150835.html.</w:t>
            </w:r>
          </w:p>
        </w:tc>
      </w:tr>
      <w:tr w:rsidR="00084CCB" w:rsidRPr="0078103E" w:rsidTr="00850E03">
        <w:tc>
          <w:tcPr>
            <w:tcW w:w="9212" w:type="dxa"/>
            <w:gridSpan w:val="2"/>
            <w:shd w:val="clear" w:color="auto" w:fill="DBE5F1" w:themeFill="accent1" w:themeFillTint="33"/>
          </w:tcPr>
          <w:p w:rsidR="00084CCB" w:rsidRPr="0078103E" w:rsidRDefault="00084CCB" w:rsidP="00C9511E">
            <w:pPr>
              <w:jc w:val="both"/>
              <w:rPr>
                <w:rFonts w:asciiTheme="minorHAnsi" w:hAnsiTheme="minorHAnsi" w:cstheme="minorHAnsi"/>
                <w:sz w:val="22"/>
                <w:szCs w:val="22"/>
              </w:rPr>
            </w:pPr>
            <w:r w:rsidRPr="0078103E">
              <w:rPr>
                <w:rFonts w:asciiTheme="minorHAnsi" w:hAnsiTheme="minorHAnsi" w:cstheme="minorHAnsi"/>
                <w:sz w:val="22"/>
                <w:szCs w:val="22"/>
              </w:rPr>
              <w:t>Část B. Podmínky souhlasného stanoviska z hlediska vlivů na lokality soustavy Natura 2000</w:t>
            </w:r>
          </w:p>
        </w:tc>
      </w:tr>
      <w:tr w:rsidR="00084CCB" w:rsidRPr="0078103E" w:rsidTr="00850E03">
        <w:tc>
          <w:tcPr>
            <w:tcW w:w="4606" w:type="dxa"/>
          </w:tcPr>
          <w:p w:rsidR="00EA3851" w:rsidRPr="00146883" w:rsidRDefault="00EA3851" w:rsidP="00C9511E">
            <w:pPr>
              <w:pStyle w:val="Default"/>
              <w:rPr>
                <w:rFonts w:asciiTheme="minorHAnsi" w:hAnsiTheme="minorHAnsi" w:cstheme="minorHAnsi"/>
                <w:sz w:val="22"/>
                <w:szCs w:val="22"/>
              </w:rPr>
            </w:pPr>
            <w:r w:rsidRPr="00146883">
              <w:rPr>
                <w:rFonts w:asciiTheme="minorHAnsi" w:hAnsiTheme="minorHAnsi" w:cstheme="minorHAnsi"/>
                <w:sz w:val="22"/>
                <w:szCs w:val="22"/>
              </w:rPr>
              <w:t xml:space="preserve">Opatřením pro eliminaci negativních vlivů, které je uvedeno v dokumentu OP PIK, je uplatnění principu udržitelného rozvoje (kap. 11.1). Zde je přímo jmenována povinnost žadatelů prokázat, zda projekt nepůsobí negativně na EVL či PO postupem dle zákona č. 114/1992 Sb., o ochraně přírody a krajiny, ve znění pozdějších předpisů. Dodržování tohoto opatření je základní podmínkou pro vyloučení významných negativních vlivů OP PIK. </w:t>
            </w:r>
          </w:p>
          <w:p w:rsidR="00084CCB" w:rsidRPr="00146883" w:rsidRDefault="00EA3851" w:rsidP="00C9511E">
            <w:pPr>
              <w:pStyle w:val="Default"/>
              <w:rPr>
                <w:rFonts w:asciiTheme="minorHAnsi" w:hAnsiTheme="minorHAnsi" w:cstheme="minorHAnsi"/>
                <w:sz w:val="22"/>
                <w:szCs w:val="22"/>
              </w:rPr>
            </w:pPr>
            <w:r w:rsidRPr="00146883">
              <w:rPr>
                <w:rFonts w:asciiTheme="minorHAnsi" w:hAnsiTheme="minorHAnsi" w:cstheme="minorHAnsi"/>
                <w:sz w:val="22"/>
                <w:szCs w:val="22"/>
              </w:rPr>
              <w:t>Při nastavení konkrétních pravidel je třeba zajistit, aby byla dostatečně zohledněna i témata ochrany přírody a krajiny včetně ochrany EVL a PO. Členem hodnotitelské komise by měl být i odborník na tuto oblast.</w:t>
            </w:r>
            <w:r w:rsidR="003A5B60" w:rsidRPr="00146883">
              <w:rPr>
                <w:rFonts w:asciiTheme="minorHAnsi" w:hAnsiTheme="minorHAnsi" w:cstheme="minorHAnsi"/>
                <w:sz w:val="22"/>
                <w:szCs w:val="22"/>
              </w:rPr>
              <w:t xml:space="preserve"> </w:t>
            </w:r>
          </w:p>
        </w:tc>
        <w:tc>
          <w:tcPr>
            <w:tcW w:w="4606" w:type="dxa"/>
          </w:tcPr>
          <w:p w:rsidR="00084CCB" w:rsidRPr="0078103E" w:rsidRDefault="0057586D" w:rsidP="00677E31">
            <w:pPr>
              <w:jc w:val="both"/>
              <w:rPr>
                <w:rFonts w:asciiTheme="minorHAnsi" w:hAnsiTheme="minorHAnsi" w:cstheme="minorHAnsi"/>
                <w:sz w:val="22"/>
                <w:szCs w:val="22"/>
              </w:rPr>
            </w:pPr>
            <w:r>
              <w:rPr>
                <w:rFonts w:asciiTheme="minorHAnsi" w:hAnsiTheme="minorHAnsi" w:cstheme="minorHAnsi"/>
                <w:sz w:val="22"/>
                <w:szCs w:val="22"/>
              </w:rPr>
              <w:t xml:space="preserve">V případě relevantních programů podpory OP PIK bude stálým členem hodnotitelské komise odborník (např. </w:t>
            </w:r>
            <w:r w:rsidR="00677E31">
              <w:rPr>
                <w:rFonts w:asciiTheme="minorHAnsi" w:hAnsiTheme="minorHAnsi" w:cstheme="minorHAnsi"/>
                <w:sz w:val="22"/>
                <w:szCs w:val="22"/>
              </w:rPr>
              <w:t>zástupce</w:t>
            </w:r>
            <w:r>
              <w:rPr>
                <w:rFonts w:asciiTheme="minorHAnsi" w:hAnsiTheme="minorHAnsi" w:cstheme="minorHAnsi"/>
                <w:sz w:val="22"/>
                <w:szCs w:val="22"/>
              </w:rPr>
              <w:t xml:space="preserve"> Ministerstva životního prostředí), </w:t>
            </w:r>
            <w:r w:rsidRPr="0057586D">
              <w:rPr>
                <w:rFonts w:asciiTheme="minorHAnsi" w:hAnsiTheme="minorHAnsi" w:cstheme="minorHAnsi"/>
                <w:sz w:val="22"/>
                <w:szCs w:val="22"/>
              </w:rPr>
              <w:t xml:space="preserve">který </w:t>
            </w:r>
            <w:r>
              <w:rPr>
                <w:rFonts w:asciiTheme="minorHAnsi" w:hAnsiTheme="minorHAnsi" w:cstheme="minorHAnsi"/>
                <w:sz w:val="22"/>
                <w:szCs w:val="22"/>
              </w:rPr>
              <w:t>bude</w:t>
            </w:r>
            <w:r w:rsidRPr="0057586D">
              <w:rPr>
                <w:rFonts w:asciiTheme="minorHAnsi" w:hAnsiTheme="minorHAnsi" w:cstheme="minorHAnsi"/>
                <w:sz w:val="22"/>
                <w:szCs w:val="22"/>
              </w:rPr>
              <w:t xml:space="preserve"> odborně hodnoti</w:t>
            </w:r>
            <w:r>
              <w:rPr>
                <w:rFonts w:asciiTheme="minorHAnsi" w:hAnsiTheme="minorHAnsi" w:cstheme="minorHAnsi"/>
                <w:sz w:val="22"/>
                <w:szCs w:val="22"/>
              </w:rPr>
              <w:t>t</w:t>
            </w:r>
            <w:r w:rsidRPr="0057586D">
              <w:rPr>
                <w:rFonts w:asciiTheme="minorHAnsi" w:hAnsiTheme="minorHAnsi" w:cstheme="minorHAnsi"/>
                <w:sz w:val="22"/>
                <w:szCs w:val="22"/>
              </w:rPr>
              <w:t xml:space="preserve"> </w:t>
            </w:r>
            <w:r w:rsidR="00677E31">
              <w:rPr>
                <w:rFonts w:asciiTheme="minorHAnsi" w:hAnsiTheme="minorHAnsi" w:cstheme="minorHAnsi"/>
                <w:sz w:val="22"/>
                <w:szCs w:val="22"/>
              </w:rPr>
              <w:t>soulad daného projektu se zákonem</w:t>
            </w:r>
            <w:r w:rsidR="00677E31" w:rsidRPr="00146883">
              <w:rPr>
                <w:rFonts w:asciiTheme="minorHAnsi" w:hAnsiTheme="minorHAnsi" w:cstheme="minorHAnsi"/>
                <w:sz w:val="22"/>
                <w:szCs w:val="22"/>
              </w:rPr>
              <w:t xml:space="preserve"> č. 114/1992 Sb.</w:t>
            </w:r>
          </w:p>
        </w:tc>
      </w:tr>
      <w:tr w:rsidR="00084CCB" w:rsidRPr="0078103E" w:rsidTr="00850E03">
        <w:tc>
          <w:tcPr>
            <w:tcW w:w="4606" w:type="dxa"/>
          </w:tcPr>
          <w:p w:rsidR="003A5B60" w:rsidRPr="00146883" w:rsidRDefault="003A5B60" w:rsidP="003A5B60">
            <w:pPr>
              <w:pStyle w:val="Default"/>
              <w:rPr>
                <w:rFonts w:asciiTheme="minorHAnsi" w:hAnsiTheme="minorHAnsi" w:cstheme="minorHAnsi"/>
                <w:sz w:val="22"/>
                <w:szCs w:val="22"/>
              </w:rPr>
            </w:pPr>
            <w:r w:rsidRPr="00146883">
              <w:rPr>
                <w:rFonts w:asciiTheme="minorHAnsi" w:hAnsiTheme="minorHAnsi" w:cstheme="minorHAnsi"/>
                <w:sz w:val="22"/>
                <w:szCs w:val="22"/>
              </w:rPr>
              <w:t>Dále jsou navržena následující opatření pro eliminaci a zmírnění potenciálních negativních vlivů:</w:t>
            </w:r>
          </w:p>
          <w:p w:rsidR="00EA3851" w:rsidRPr="00146883" w:rsidRDefault="00EA3851" w:rsidP="00C9511E">
            <w:pPr>
              <w:pStyle w:val="Default"/>
              <w:numPr>
                <w:ilvl w:val="0"/>
                <w:numId w:val="8"/>
              </w:numPr>
              <w:rPr>
                <w:rFonts w:asciiTheme="minorHAnsi" w:hAnsiTheme="minorHAnsi" w:cstheme="minorHAnsi"/>
                <w:sz w:val="22"/>
                <w:szCs w:val="22"/>
              </w:rPr>
            </w:pPr>
            <w:r w:rsidRPr="00146883">
              <w:rPr>
                <w:rFonts w:asciiTheme="minorHAnsi" w:hAnsiTheme="minorHAnsi" w:cstheme="minorHAnsi"/>
                <w:sz w:val="22"/>
                <w:szCs w:val="22"/>
              </w:rPr>
              <w:t xml:space="preserve">Umisťovat zdroje OZE v EVL, v případě zejména VTE a FVE i v PO, spíše výjimečně po jednoznačném vyloučení vlivů na předměty ochrany (možné jsou například realizace FVE na střechách nebo MVE v EVL, kde předmětem ochrany nejsou vodní a břehové druhy a stanoviště po individuálním přezkoumání všech vlivů). </w:t>
            </w:r>
          </w:p>
          <w:p w:rsidR="00084CCB" w:rsidRPr="00146883" w:rsidRDefault="00EA3851" w:rsidP="00C9511E">
            <w:pPr>
              <w:pStyle w:val="Default"/>
              <w:numPr>
                <w:ilvl w:val="0"/>
                <w:numId w:val="8"/>
              </w:numPr>
              <w:rPr>
                <w:rFonts w:asciiTheme="minorHAnsi" w:hAnsiTheme="minorHAnsi" w:cstheme="minorHAnsi"/>
                <w:sz w:val="22"/>
                <w:szCs w:val="22"/>
              </w:rPr>
            </w:pPr>
            <w:r w:rsidRPr="00146883">
              <w:rPr>
                <w:rFonts w:asciiTheme="minorHAnsi" w:hAnsiTheme="minorHAnsi" w:cstheme="minorHAnsi"/>
                <w:sz w:val="22"/>
                <w:szCs w:val="22"/>
              </w:rPr>
              <w:t xml:space="preserve">Negativní vlivy rozvodných soustav všech typů minimalizovat volbou trasy ideálně mimo EVL a PO, v případě nutnosti vedení uvnitř volbou trasy s nejmenším množstvím střetů s předměty ochrany. </w:t>
            </w:r>
          </w:p>
        </w:tc>
        <w:tc>
          <w:tcPr>
            <w:tcW w:w="4606" w:type="dxa"/>
          </w:tcPr>
          <w:p w:rsidR="003A5B60" w:rsidRDefault="00610E64" w:rsidP="003A5B60">
            <w:pPr>
              <w:jc w:val="both"/>
              <w:rPr>
                <w:rFonts w:asciiTheme="minorHAnsi" w:hAnsiTheme="minorHAnsi" w:cstheme="minorHAnsi"/>
                <w:sz w:val="22"/>
                <w:szCs w:val="22"/>
              </w:rPr>
            </w:pPr>
            <w:r>
              <w:rPr>
                <w:rFonts w:asciiTheme="minorHAnsi" w:hAnsiTheme="minorHAnsi" w:cstheme="minorHAnsi"/>
                <w:sz w:val="22"/>
                <w:szCs w:val="22"/>
              </w:rPr>
              <w:t>Obecně z</w:t>
            </w:r>
            <w:r w:rsidR="003A5B60">
              <w:rPr>
                <w:rFonts w:asciiTheme="minorHAnsi" w:hAnsiTheme="minorHAnsi" w:cstheme="minorHAnsi"/>
                <w:sz w:val="22"/>
                <w:szCs w:val="22"/>
              </w:rPr>
              <w:t>ohledněno v rámci horizontálního</w:t>
            </w:r>
            <w:r w:rsidR="003A5B60" w:rsidRPr="00186DA6">
              <w:rPr>
                <w:rFonts w:asciiTheme="minorHAnsi" w:hAnsiTheme="minorHAnsi" w:cstheme="minorHAnsi"/>
                <w:sz w:val="22"/>
                <w:szCs w:val="22"/>
              </w:rPr>
              <w:t xml:space="preserve"> </w:t>
            </w:r>
            <w:r w:rsidR="003A5B60">
              <w:rPr>
                <w:rFonts w:asciiTheme="minorHAnsi" w:hAnsiTheme="minorHAnsi" w:cstheme="minorHAnsi"/>
                <w:sz w:val="22"/>
                <w:szCs w:val="22"/>
              </w:rPr>
              <w:t>principu</w:t>
            </w:r>
            <w:r w:rsidR="003A5B60" w:rsidRPr="00186DA6">
              <w:rPr>
                <w:rFonts w:asciiTheme="minorHAnsi" w:hAnsiTheme="minorHAnsi" w:cstheme="minorHAnsi"/>
                <w:sz w:val="22"/>
                <w:szCs w:val="22"/>
              </w:rPr>
              <w:t xml:space="preserve"> udržitelný rozvoj.</w:t>
            </w:r>
            <w:r w:rsidR="003A5B60" w:rsidRPr="00186DA6">
              <w:rPr>
                <w:sz w:val="24"/>
              </w:rPr>
              <w:t xml:space="preserve"> </w:t>
            </w:r>
            <w:r w:rsidR="003A5B60" w:rsidRPr="00186DA6">
              <w:rPr>
                <w:rFonts w:asciiTheme="minorHAnsi" w:hAnsiTheme="minorHAnsi" w:cstheme="minorHAnsi"/>
                <w:sz w:val="22"/>
                <w:szCs w:val="22"/>
              </w:rPr>
              <w:t>Projekt, který bude v rozporu s principy udržitelného rozvoje</w:t>
            </w:r>
            <w:r w:rsidR="003A5B60">
              <w:rPr>
                <w:rFonts w:asciiTheme="minorHAnsi" w:hAnsiTheme="minorHAnsi" w:cstheme="minorHAnsi"/>
                <w:sz w:val="22"/>
                <w:szCs w:val="22"/>
              </w:rPr>
              <w:t>, nebude v rámci OP PIK podpořen.</w:t>
            </w:r>
          </w:p>
          <w:p w:rsidR="00084CCB" w:rsidRPr="0078103E" w:rsidRDefault="00610E64" w:rsidP="00610E64">
            <w:pPr>
              <w:jc w:val="both"/>
              <w:rPr>
                <w:rFonts w:asciiTheme="minorHAnsi" w:hAnsiTheme="minorHAnsi" w:cstheme="minorHAnsi"/>
                <w:sz w:val="22"/>
                <w:szCs w:val="22"/>
              </w:rPr>
            </w:pPr>
            <w:r>
              <w:rPr>
                <w:rFonts w:asciiTheme="minorHAnsi" w:hAnsiTheme="minorHAnsi" w:cstheme="minorHAnsi"/>
                <w:sz w:val="22"/>
                <w:szCs w:val="22"/>
              </w:rPr>
              <w:t>Uvedené požadavky jsou předmětem hodnocení EIA pro jednotlivé projekty.</w:t>
            </w:r>
          </w:p>
        </w:tc>
      </w:tr>
      <w:tr w:rsidR="00084CCB" w:rsidRPr="0078103E" w:rsidTr="00850E03">
        <w:tc>
          <w:tcPr>
            <w:tcW w:w="9212" w:type="dxa"/>
            <w:gridSpan w:val="2"/>
            <w:shd w:val="clear" w:color="auto" w:fill="DBE5F1" w:themeFill="accent1" w:themeFillTint="33"/>
          </w:tcPr>
          <w:p w:rsidR="00084CCB" w:rsidRPr="0078103E" w:rsidRDefault="00084CCB" w:rsidP="00C9511E">
            <w:pPr>
              <w:jc w:val="both"/>
              <w:rPr>
                <w:rFonts w:asciiTheme="minorHAnsi" w:hAnsiTheme="minorHAnsi" w:cstheme="minorHAnsi"/>
                <w:sz w:val="22"/>
                <w:szCs w:val="22"/>
              </w:rPr>
            </w:pPr>
            <w:r w:rsidRPr="0078103E">
              <w:rPr>
                <w:rFonts w:asciiTheme="minorHAnsi" w:hAnsiTheme="minorHAnsi" w:cstheme="minorHAnsi"/>
                <w:sz w:val="22"/>
                <w:szCs w:val="22"/>
              </w:rPr>
              <w:t>Část C. Doporučení</w:t>
            </w:r>
          </w:p>
        </w:tc>
      </w:tr>
      <w:tr w:rsidR="00EA3851" w:rsidRPr="0078103E" w:rsidTr="00850E03">
        <w:tc>
          <w:tcPr>
            <w:tcW w:w="4606" w:type="dxa"/>
          </w:tcPr>
          <w:p w:rsidR="00EA3851" w:rsidRPr="0078103E" w:rsidRDefault="00EA3851" w:rsidP="00C9511E">
            <w:pPr>
              <w:jc w:val="both"/>
              <w:rPr>
                <w:rFonts w:asciiTheme="minorHAnsi" w:hAnsiTheme="minorHAnsi" w:cstheme="minorHAnsi"/>
                <w:sz w:val="22"/>
                <w:szCs w:val="22"/>
              </w:rPr>
            </w:pPr>
            <w:r w:rsidRPr="0078103E">
              <w:rPr>
                <w:rFonts w:asciiTheme="minorHAnsi" w:hAnsiTheme="minorHAnsi" w:cstheme="minorHAnsi"/>
                <w:sz w:val="22"/>
                <w:szCs w:val="22"/>
              </w:rPr>
              <w:t>K jednotlivým potenciálním rizikům negativního ovlivnění životního prostředí a veřejného zdraví jsou v kapitolách 7 a 12 SEA hodnocení navržena následující doporučení:</w:t>
            </w:r>
          </w:p>
        </w:tc>
        <w:tc>
          <w:tcPr>
            <w:tcW w:w="4606" w:type="dxa"/>
          </w:tcPr>
          <w:p w:rsidR="00EA3851" w:rsidRPr="0078103E" w:rsidRDefault="00EA3851" w:rsidP="00850E03">
            <w:pPr>
              <w:jc w:val="both"/>
              <w:rPr>
                <w:rFonts w:asciiTheme="minorHAnsi" w:hAnsiTheme="minorHAnsi" w:cstheme="minorHAnsi"/>
                <w:sz w:val="22"/>
                <w:szCs w:val="22"/>
              </w:rPr>
            </w:pPr>
          </w:p>
        </w:tc>
      </w:tr>
      <w:tr w:rsidR="00EA3851" w:rsidRPr="0078103E" w:rsidTr="00850E03">
        <w:tc>
          <w:tcPr>
            <w:tcW w:w="4606" w:type="dxa"/>
          </w:tcPr>
          <w:p w:rsidR="00EA3851" w:rsidRPr="0078103E" w:rsidRDefault="00EA3851" w:rsidP="00C9511E">
            <w:pPr>
              <w:pStyle w:val="Default"/>
              <w:rPr>
                <w:rFonts w:asciiTheme="minorHAnsi" w:hAnsiTheme="minorHAnsi" w:cstheme="minorHAnsi"/>
                <w:sz w:val="22"/>
                <w:szCs w:val="22"/>
                <w:u w:val="single"/>
              </w:rPr>
            </w:pPr>
            <w:r w:rsidRPr="0078103E">
              <w:rPr>
                <w:rFonts w:asciiTheme="minorHAnsi" w:hAnsiTheme="minorHAnsi" w:cstheme="minorHAnsi"/>
                <w:sz w:val="22"/>
                <w:szCs w:val="22"/>
                <w:u w:val="single"/>
              </w:rPr>
              <w:t xml:space="preserve">Emise skleníkových plynů </w:t>
            </w:r>
          </w:p>
          <w:p w:rsidR="00EA3851" w:rsidRPr="0078103E" w:rsidRDefault="00EA3851" w:rsidP="00C9511E">
            <w:pPr>
              <w:pStyle w:val="Default"/>
              <w:rPr>
                <w:rFonts w:asciiTheme="minorHAnsi" w:hAnsiTheme="minorHAnsi" w:cstheme="minorHAnsi"/>
                <w:sz w:val="22"/>
                <w:szCs w:val="22"/>
              </w:rPr>
            </w:pPr>
            <w:r w:rsidRPr="0078103E">
              <w:rPr>
                <w:rFonts w:asciiTheme="minorHAnsi" w:hAnsiTheme="minorHAnsi" w:cstheme="minorHAnsi"/>
                <w:sz w:val="22"/>
                <w:szCs w:val="22"/>
              </w:rPr>
              <w:t xml:space="preserve">V rámci SC 3.1: </w:t>
            </w:r>
          </w:p>
          <w:p w:rsidR="00EA3851" w:rsidRPr="0078103E" w:rsidRDefault="00EA3851" w:rsidP="00C9511E">
            <w:pPr>
              <w:pStyle w:val="Default"/>
              <w:numPr>
                <w:ilvl w:val="0"/>
                <w:numId w:val="9"/>
              </w:numPr>
              <w:rPr>
                <w:rFonts w:asciiTheme="minorHAnsi" w:hAnsiTheme="minorHAnsi" w:cstheme="minorHAnsi"/>
                <w:sz w:val="22"/>
                <w:szCs w:val="22"/>
              </w:rPr>
            </w:pPr>
            <w:r w:rsidRPr="0078103E">
              <w:rPr>
                <w:rFonts w:asciiTheme="minorHAnsi" w:hAnsiTheme="minorHAnsi" w:cstheme="minorHAnsi"/>
                <w:sz w:val="22"/>
                <w:szCs w:val="22"/>
              </w:rPr>
              <w:t xml:space="preserve">U obnovitelných zdrojů podporovat primárně zdroje s vysokou disponibilitou a účinným řízení v krizových stavech. Jedná se zejména o podporu větrné energetiky pouze takového typu, která bude schopna vyrábět i za ztížených povětrnostních </w:t>
            </w:r>
            <w:r w:rsidRPr="002877DC">
              <w:rPr>
                <w:rFonts w:asciiTheme="minorHAnsi" w:hAnsiTheme="minorHAnsi" w:cstheme="minorHAnsi"/>
                <w:sz w:val="22"/>
                <w:szCs w:val="22"/>
              </w:rPr>
              <w:t>podmínek, a zavedení odtokového a akumulačního režimu na vodních elektrárnách, který bude reflektovat změněné podmínky srážkových vzorců.</w:t>
            </w:r>
            <w:r w:rsidRPr="0078103E">
              <w:rPr>
                <w:rFonts w:asciiTheme="minorHAnsi" w:hAnsiTheme="minorHAnsi" w:cstheme="minorHAnsi"/>
                <w:sz w:val="22"/>
                <w:szCs w:val="22"/>
              </w:rPr>
              <w:t xml:space="preserve"> </w:t>
            </w:r>
          </w:p>
        </w:tc>
        <w:tc>
          <w:tcPr>
            <w:tcW w:w="4606" w:type="dxa"/>
          </w:tcPr>
          <w:p w:rsidR="00EA3851" w:rsidRDefault="00FC3EAE" w:rsidP="00FC3EAE">
            <w:pPr>
              <w:jc w:val="both"/>
              <w:rPr>
                <w:rFonts w:asciiTheme="minorHAnsi" w:hAnsiTheme="minorHAnsi" w:cstheme="minorHAnsi"/>
                <w:sz w:val="22"/>
                <w:szCs w:val="22"/>
              </w:rPr>
            </w:pPr>
            <w:r>
              <w:rPr>
                <w:rFonts w:asciiTheme="minorHAnsi" w:hAnsiTheme="minorHAnsi" w:cstheme="minorHAnsi"/>
                <w:sz w:val="22"/>
                <w:szCs w:val="22"/>
              </w:rPr>
              <w:t xml:space="preserve">S podporou </w:t>
            </w:r>
            <w:r w:rsidRPr="00EA6171">
              <w:rPr>
                <w:rFonts w:asciiTheme="minorHAnsi" w:hAnsiTheme="minorHAnsi" w:cstheme="minorHAnsi"/>
                <w:sz w:val="22"/>
                <w:szCs w:val="22"/>
              </w:rPr>
              <w:t>větrn</w:t>
            </w:r>
            <w:r>
              <w:rPr>
                <w:rFonts w:asciiTheme="minorHAnsi" w:hAnsiTheme="minorHAnsi" w:cstheme="minorHAnsi"/>
                <w:sz w:val="22"/>
                <w:szCs w:val="22"/>
              </w:rPr>
              <w:t>é energetiky se v SC 3.1 neuvažuje.</w:t>
            </w:r>
          </w:p>
          <w:p w:rsidR="00FC3EAE" w:rsidRPr="0078103E" w:rsidRDefault="002877DC" w:rsidP="002877DC">
            <w:pPr>
              <w:jc w:val="both"/>
              <w:rPr>
                <w:rFonts w:asciiTheme="minorHAnsi" w:hAnsiTheme="minorHAnsi" w:cstheme="minorHAnsi"/>
                <w:sz w:val="22"/>
                <w:szCs w:val="22"/>
              </w:rPr>
            </w:pPr>
            <w:r>
              <w:rPr>
                <w:rFonts w:asciiTheme="minorHAnsi" w:hAnsiTheme="minorHAnsi" w:cstheme="minorHAnsi"/>
                <w:sz w:val="22"/>
                <w:szCs w:val="22"/>
              </w:rPr>
              <w:t xml:space="preserve">V případě MVE bude požadavek zohledněn v rámci jednotlivých výzev relevantního programu podpory pro SC 3.1, kde bude uplatňována </w:t>
            </w:r>
            <w:r w:rsidRPr="002877DC">
              <w:rPr>
                <w:rFonts w:asciiTheme="minorHAnsi" w:hAnsiTheme="minorHAnsi" w:cstheme="minorHAnsi"/>
                <w:sz w:val="22"/>
                <w:szCs w:val="22"/>
              </w:rPr>
              <w:t>bonifikac</w:t>
            </w:r>
            <w:r>
              <w:rPr>
                <w:rFonts w:asciiTheme="minorHAnsi" w:hAnsiTheme="minorHAnsi" w:cstheme="minorHAnsi"/>
                <w:sz w:val="22"/>
                <w:szCs w:val="22"/>
              </w:rPr>
              <w:t>e akumulačního režimu</w:t>
            </w:r>
            <w:r w:rsidRPr="002877DC">
              <w:rPr>
                <w:rFonts w:asciiTheme="minorHAnsi" w:hAnsiTheme="minorHAnsi" w:cstheme="minorHAnsi"/>
                <w:sz w:val="22"/>
                <w:szCs w:val="22"/>
              </w:rPr>
              <w:t>.</w:t>
            </w:r>
          </w:p>
        </w:tc>
      </w:tr>
      <w:tr w:rsidR="00EA3851" w:rsidRPr="0078103E" w:rsidTr="00850E03">
        <w:tc>
          <w:tcPr>
            <w:tcW w:w="4606" w:type="dxa"/>
          </w:tcPr>
          <w:p w:rsidR="00EA3851" w:rsidRPr="0078103E" w:rsidRDefault="00EA3851" w:rsidP="00C9511E">
            <w:pPr>
              <w:pStyle w:val="Default"/>
              <w:rPr>
                <w:rFonts w:asciiTheme="minorHAnsi" w:hAnsiTheme="minorHAnsi" w:cstheme="minorHAnsi"/>
                <w:sz w:val="22"/>
                <w:szCs w:val="22"/>
              </w:rPr>
            </w:pPr>
            <w:r w:rsidRPr="0078103E">
              <w:rPr>
                <w:rFonts w:asciiTheme="minorHAnsi" w:hAnsiTheme="minorHAnsi" w:cstheme="minorHAnsi"/>
                <w:sz w:val="22"/>
                <w:szCs w:val="22"/>
              </w:rPr>
              <w:t xml:space="preserve">Pro SC 3.1 a 3.2 a zároveň 3.4: </w:t>
            </w:r>
          </w:p>
          <w:p w:rsidR="00EA3851" w:rsidRPr="0078103E" w:rsidRDefault="00EA3851" w:rsidP="00C9511E">
            <w:pPr>
              <w:pStyle w:val="Default"/>
              <w:numPr>
                <w:ilvl w:val="0"/>
                <w:numId w:val="9"/>
              </w:numPr>
              <w:rPr>
                <w:rFonts w:asciiTheme="minorHAnsi" w:hAnsiTheme="minorHAnsi" w:cstheme="minorHAnsi"/>
                <w:sz w:val="22"/>
                <w:szCs w:val="22"/>
              </w:rPr>
            </w:pPr>
            <w:r w:rsidRPr="0078103E">
              <w:rPr>
                <w:rFonts w:asciiTheme="minorHAnsi" w:hAnsiTheme="minorHAnsi" w:cstheme="minorHAnsi"/>
                <w:sz w:val="22"/>
                <w:szCs w:val="22"/>
              </w:rPr>
              <w:t xml:space="preserve">Jako doplňkové bonifikační kritérium po výběr projektů zařadit jejich zapojení do výzkumných projektů (např. hodnocení efektivnosti zařízení OZE a možností jejich další optimalizací, optimalizace dodavatelského řetězce a distribuce energie, analýzy vlivu OZE na životní prostření a možnosti jejich optimalizace) nebo experimentálního vývoje (demonstrační projekty nebo ověřování inovací z oblasti technologií, postupů řízení, provázání výroby a poptávky, apod.). </w:t>
            </w:r>
          </w:p>
        </w:tc>
        <w:tc>
          <w:tcPr>
            <w:tcW w:w="4606" w:type="dxa"/>
          </w:tcPr>
          <w:p w:rsidR="00EA3851" w:rsidRPr="0078103E" w:rsidRDefault="00677E31" w:rsidP="00677E31">
            <w:pPr>
              <w:jc w:val="both"/>
              <w:rPr>
                <w:rFonts w:asciiTheme="minorHAnsi" w:hAnsiTheme="minorHAnsi" w:cstheme="minorHAnsi"/>
                <w:sz w:val="22"/>
                <w:szCs w:val="22"/>
              </w:rPr>
            </w:pPr>
            <w:r>
              <w:rPr>
                <w:rFonts w:asciiTheme="minorHAnsi" w:hAnsiTheme="minorHAnsi" w:cstheme="minorHAnsi"/>
                <w:sz w:val="22"/>
                <w:szCs w:val="22"/>
              </w:rPr>
              <w:t>Bonifikace bude určitě použita v případě SC 3.4, kde by právě měly být podpořeny zejména pilotní projekty. V ostatních SC to není relevantní, protože např. v SC 3.2 se bude jednat pouze o dílčí opatření či v SC 3.1 se bude jednat o standardně používané technologie.</w:t>
            </w:r>
          </w:p>
        </w:tc>
      </w:tr>
      <w:tr w:rsidR="00084CCB" w:rsidRPr="0078103E" w:rsidTr="00850E03">
        <w:tc>
          <w:tcPr>
            <w:tcW w:w="4606" w:type="dxa"/>
          </w:tcPr>
          <w:p w:rsidR="00EA3851" w:rsidRPr="0078103E" w:rsidRDefault="00EA3851" w:rsidP="00C9511E">
            <w:pPr>
              <w:pStyle w:val="Default"/>
              <w:rPr>
                <w:rFonts w:asciiTheme="minorHAnsi" w:hAnsiTheme="minorHAnsi" w:cstheme="minorHAnsi"/>
                <w:sz w:val="22"/>
                <w:szCs w:val="22"/>
              </w:rPr>
            </w:pPr>
            <w:r w:rsidRPr="0078103E">
              <w:rPr>
                <w:rFonts w:asciiTheme="minorHAnsi" w:hAnsiTheme="minorHAnsi" w:cstheme="minorHAnsi"/>
                <w:sz w:val="22"/>
                <w:szCs w:val="22"/>
              </w:rPr>
              <w:t xml:space="preserve">V rámci SC 3.4: </w:t>
            </w:r>
          </w:p>
          <w:p w:rsidR="00084CCB" w:rsidRPr="0078103E" w:rsidRDefault="00EA3851" w:rsidP="00C9511E">
            <w:pPr>
              <w:pStyle w:val="Default"/>
              <w:numPr>
                <w:ilvl w:val="0"/>
                <w:numId w:val="9"/>
              </w:numPr>
              <w:rPr>
                <w:rFonts w:asciiTheme="minorHAnsi" w:hAnsiTheme="minorHAnsi" w:cstheme="minorHAnsi"/>
                <w:sz w:val="22"/>
                <w:szCs w:val="22"/>
              </w:rPr>
            </w:pPr>
            <w:r w:rsidRPr="0078103E">
              <w:rPr>
                <w:rFonts w:asciiTheme="minorHAnsi" w:hAnsiTheme="minorHAnsi" w:cstheme="minorHAnsi"/>
                <w:sz w:val="22"/>
                <w:szCs w:val="22"/>
              </w:rPr>
              <w:t xml:space="preserve">Při podpoře eletromobility prioritně podporovat projekty v sídelních aglomeracích se zhoršenou kvalitou ovzduší. </w:t>
            </w:r>
          </w:p>
        </w:tc>
        <w:tc>
          <w:tcPr>
            <w:tcW w:w="4606" w:type="dxa"/>
          </w:tcPr>
          <w:p w:rsidR="00084CCB" w:rsidRPr="0078103E" w:rsidRDefault="002877DC" w:rsidP="002877DC">
            <w:pPr>
              <w:jc w:val="both"/>
              <w:rPr>
                <w:rFonts w:asciiTheme="minorHAnsi" w:hAnsiTheme="minorHAnsi" w:cstheme="minorHAnsi"/>
                <w:sz w:val="22"/>
                <w:szCs w:val="22"/>
              </w:rPr>
            </w:pPr>
            <w:r>
              <w:rPr>
                <w:rFonts w:asciiTheme="minorHAnsi" w:hAnsiTheme="minorHAnsi" w:cstheme="minorHAnsi"/>
                <w:sz w:val="22"/>
                <w:szCs w:val="22"/>
              </w:rPr>
              <w:t>Bude zohledněno v jednotlivých výzvách relevantního programu podpory pro SC 3.4.</w:t>
            </w:r>
          </w:p>
        </w:tc>
      </w:tr>
      <w:tr w:rsidR="00084CCB" w:rsidRPr="0078103E" w:rsidTr="00850E03">
        <w:tc>
          <w:tcPr>
            <w:tcW w:w="4606" w:type="dxa"/>
          </w:tcPr>
          <w:p w:rsidR="00EA3851" w:rsidRPr="0078103E" w:rsidRDefault="00EA3851" w:rsidP="00C9511E">
            <w:pPr>
              <w:pStyle w:val="Default"/>
              <w:rPr>
                <w:rFonts w:asciiTheme="minorHAnsi" w:hAnsiTheme="minorHAnsi" w:cstheme="minorHAnsi"/>
                <w:sz w:val="22"/>
                <w:szCs w:val="22"/>
              </w:rPr>
            </w:pPr>
            <w:r w:rsidRPr="0078103E">
              <w:rPr>
                <w:rFonts w:asciiTheme="minorHAnsi" w:hAnsiTheme="minorHAnsi" w:cstheme="minorHAnsi"/>
                <w:sz w:val="22"/>
                <w:szCs w:val="22"/>
              </w:rPr>
              <w:t xml:space="preserve">Pro SC 3.6: </w:t>
            </w:r>
          </w:p>
          <w:p w:rsidR="00084CCB" w:rsidRPr="0078103E" w:rsidRDefault="00EA3851" w:rsidP="00C9511E">
            <w:pPr>
              <w:pStyle w:val="Default"/>
              <w:numPr>
                <w:ilvl w:val="0"/>
                <w:numId w:val="9"/>
              </w:numPr>
              <w:rPr>
                <w:rFonts w:asciiTheme="minorHAnsi" w:hAnsiTheme="minorHAnsi" w:cstheme="minorHAnsi"/>
                <w:sz w:val="22"/>
                <w:szCs w:val="22"/>
              </w:rPr>
            </w:pPr>
            <w:r w:rsidRPr="0078103E">
              <w:rPr>
                <w:rFonts w:asciiTheme="minorHAnsi" w:hAnsiTheme="minorHAnsi" w:cstheme="minorHAnsi"/>
                <w:sz w:val="22"/>
                <w:szCs w:val="22"/>
              </w:rPr>
              <w:t xml:space="preserve">zajistit schopnost přenosových sítí velmi vysokého napětí k distribuci elektřiny a řízení provozu sítí i v případě nárůstu spotřeby elektřiny vyvolané jejím využitím jako substitutu v případě omezení dodávek jiného druhu energie. </w:t>
            </w:r>
          </w:p>
        </w:tc>
        <w:tc>
          <w:tcPr>
            <w:tcW w:w="4606" w:type="dxa"/>
          </w:tcPr>
          <w:p w:rsidR="00084CCB" w:rsidRPr="0078103E" w:rsidRDefault="00677E31" w:rsidP="00677E31">
            <w:pPr>
              <w:jc w:val="both"/>
              <w:rPr>
                <w:rFonts w:asciiTheme="minorHAnsi" w:hAnsiTheme="minorHAnsi" w:cstheme="minorHAnsi"/>
                <w:sz w:val="22"/>
                <w:szCs w:val="22"/>
              </w:rPr>
            </w:pPr>
            <w:r>
              <w:rPr>
                <w:rFonts w:asciiTheme="minorHAnsi" w:hAnsiTheme="minorHAnsi" w:cstheme="minorHAnsi"/>
                <w:sz w:val="22"/>
                <w:szCs w:val="22"/>
              </w:rPr>
              <w:t>Nelze zcela akceptovat, neboť SC 3.6 může jen částečně přispět k zajištění této schopnosti. Např.: V případě výpadku celkové dodávky plynu do ČR nelze v žádném případě zajistit přenos ani dostatečnou výroby elektrické energie.</w:t>
            </w:r>
          </w:p>
        </w:tc>
      </w:tr>
      <w:tr w:rsidR="00084CCB" w:rsidRPr="0078103E" w:rsidTr="00850E03">
        <w:tc>
          <w:tcPr>
            <w:tcW w:w="4606" w:type="dxa"/>
          </w:tcPr>
          <w:p w:rsidR="00EA3851" w:rsidRPr="0078103E" w:rsidRDefault="00EA3851" w:rsidP="00C9511E">
            <w:pPr>
              <w:pStyle w:val="Default"/>
              <w:rPr>
                <w:rFonts w:asciiTheme="minorHAnsi" w:hAnsiTheme="minorHAnsi" w:cstheme="minorHAnsi"/>
                <w:sz w:val="22"/>
                <w:szCs w:val="22"/>
                <w:u w:val="single"/>
              </w:rPr>
            </w:pPr>
            <w:r w:rsidRPr="0078103E">
              <w:rPr>
                <w:rFonts w:asciiTheme="minorHAnsi" w:hAnsiTheme="minorHAnsi" w:cstheme="minorHAnsi"/>
                <w:sz w:val="22"/>
                <w:szCs w:val="22"/>
                <w:u w:val="single"/>
              </w:rPr>
              <w:t xml:space="preserve">Ovzduší, energetika a OZE a aplikace environmentálních opatření: </w:t>
            </w:r>
          </w:p>
          <w:p w:rsidR="00EA3851" w:rsidRPr="0078103E" w:rsidRDefault="00EA3851" w:rsidP="00C9511E">
            <w:pPr>
              <w:pStyle w:val="Default"/>
              <w:rPr>
                <w:rFonts w:asciiTheme="minorHAnsi" w:hAnsiTheme="minorHAnsi" w:cstheme="minorHAnsi"/>
                <w:sz w:val="22"/>
                <w:szCs w:val="22"/>
              </w:rPr>
            </w:pPr>
            <w:r w:rsidRPr="0078103E">
              <w:rPr>
                <w:rFonts w:asciiTheme="minorHAnsi" w:hAnsiTheme="minorHAnsi" w:cstheme="minorHAnsi"/>
                <w:sz w:val="22"/>
                <w:szCs w:val="22"/>
              </w:rPr>
              <w:t xml:space="preserve">V rámci SC 1.2 : </w:t>
            </w:r>
          </w:p>
          <w:p w:rsidR="00084CCB" w:rsidRDefault="00EA3851" w:rsidP="00C9511E">
            <w:pPr>
              <w:pStyle w:val="Default"/>
              <w:numPr>
                <w:ilvl w:val="0"/>
                <w:numId w:val="9"/>
              </w:numPr>
              <w:rPr>
                <w:rFonts w:asciiTheme="minorHAnsi" w:hAnsiTheme="minorHAnsi" w:cstheme="minorHAnsi"/>
                <w:sz w:val="22"/>
                <w:szCs w:val="22"/>
              </w:rPr>
            </w:pPr>
            <w:r w:rsidRPr="0078103E">
              <w:rPr>
                <w:rFonts w:asciiTheme="minorHAnsi" w:hAnsiTheme="minorHAnsi" w:cstheme="minorHAnsi"/>
                <w:sz w:val="22"/>
                <w:szCs w:val="22"/>
              </w:rPr>
              <w:t xml:space="preserve">specifikovat typy podporovaných klastrových seskupení, které budou při žádostech o podporu pozitivně bonifikovány. </w:t>
            </w:r>
          </w:p>
          <w:p w:rsidR="00B658AB" w:rsidRPr="0078103E" w:rsidRDefault="00B658AB" w:rsidP="00C9511E">
            <w:pPr>
              <w:pStyle w:val="Default"/>
              <w:numPr>
                <w:ilvl w:val="0"/>
                <w:numId w:val="9"/>
              </w:numPr>
              <w:rPr>
                <w:rFonts w:asciiTheme="minorHAnsi" w:hAnsiTheme="minorHAnsi" w:cstheme="minorHAnsi"/>
                <w:sz w:val="22"/>
                <w:szCs w:val="22"/>
              </w:rPr>
            </w:pPr>
            <w:r w:rsidRPr="0078103E">
              <w:rPr>
                <w:rFonts w:asciiTheme="minorHAnsi" w:hAnsiTheme="minorHAnsi" w:cstheme="minorHAnsi"/>
                <w:sz w:val="22"/>
                <w:szCs w:val="22"/>
              </w:rPr>
              <w:t>nepříznivé stávající emisní trendy jsou sledovány v případě dopravy (stále významnější a do budoucna dalekosáhlý celoevropský problém) a vytápění domácností (aktuální regionální problém České republiky a Polské republiky). Protože nadlimitní zatížení významné části populace ČR imisemi negativně ovlivňuje hospodářskou prosperitu ČR (zvýšená nemocnost, zkrácení délky dožití, migrace pracovní síly do čistějších oblastí, atraktivita „postižených“ regionů pro investory), doporučuje se, aby byla zvýhodněna uskupení propojující výzkumnou sféru s praxí v těchto kritických odvětvích. V souladu s aktivitami, které budou řešeny v rámci OP PIK, je vhodné podporovat zejména spolupráci v oblasti elektromobility a menších systémů centrálního zásobování teplem, které využívají OZE.</w:t>
            </w:r>
          </w:p>
        </w:tc>
        <w:tc>
          <w:tcPr>
            <w:tcW w:w="4606" w:type="dxa"/>
          </w:tcPr>
          <w:p w:rsidR="00084CCB" w:rsidRPr="0057586D" w:rsidRDefault="0057586D" w:rsidP="00850E03">
            <w:pPr>
              <w:jc w:val="both"/>
              <w:rPr>
                <w:rFonts w:asciiTheme="minorHAnsi" w:hAnsiTheme="minorHAnsi" w:cstheme="minorHAnsi"/>
                <w:sz w:val="22"/>
                <w:szCs w:val="22"/>
              </w:rPr>
            </w:pPr>
            <w:r w:rsidRPr="0057586D">
              <w:rPr>
                <w:rFonts w:asciiTheme="minorHAnsi" w:hAnsiTheme="minorHAnsi" w:cstheme="minorHAnsi"/>
                <w:sz w:val="22"/>
                <w:szCs w:val="22"/>
              </w:rPr>
              <w:t>Nelze předem specifikovat typy seskupení, které budou bonifikovány. Bonifikovány mohou být jednotlivé projekty klastrových seskupení, které budou mít pozitivní dopady v těchto oblastech.</w:t>
            </w:r>
          </w:p>
        </w:tc>
      </w:tr>
      <w:tr w:rsidR="00084CCB" w:rsidRPr="0078103E" w:rsidTr="00850E03">
        <w:tc>
          <w:tcPr>
            <w:tcW w:w="4606" w:type="dxa"/>
          </w:tcPr>
          <w:p w:rsidR="00EA3851" w:rsidRPr="00677E31" w:rsidRDefault="00EA3851" w:rsidP="00C9511E">
            <w:pPr>
              <w:pStyle w:val="Default"/>
              <w:rPr>
                <w:rFonts w:asciiTheme="minorHAnsi" w:hAnsiTheme="minorHAnsi" w:cstheme="minorHAnsi"/>
                <w:sz w:val="22"/>
                <w:szCs w:val="22"/>
              </w:rPr>
            </w:pPr>
            <w:r w:rsidRPr="00677E31">
              <w:rPr>
                <w:rFonts w:asciiTheme="minorHAnsi" w:hAnsiTheme="minorHAnsi" w:cstheme="minorHAnsi"/>
                <w:sz w:val="22"/>
                <w:szCs w:val="22"/>
              </w:rPr>
              <w:t xml:space="preserve">Pro SC 3.4: </w:t>
            </w:r>
          </w:p>
          <w:p w:rsidR="00084CCB" w:rsidRPr="00677E31" w:rsidRDefault="00EA3851" w:rsidP="00C9511E">
            <w:pPr>
              <w:pStyle w:val="Default"/>
              <w:numPr>
                <w:ilvl w:val="0"/>
                <w:numId w:val="10"/>
              </w:numPr>
              <w:rPr>
                <w:rFonts w:asciiTheme="minorHAnsi" w:hAnsiTheme="minorHAnsi" w:cstheme="minorHAnsi"/>
                <w:sz w:val="22"/>
                <w:szCs w:val="22"/>
              </w:rPr>
            </w:pPr>
            <w:r w:rsidRPr="00677E31">
              <w:rPr>
                <w:rFonts w:asciiTheme="minorHAnsi" w:hAnsiTheme="minorHAnsi" w:cstheme="minorHAnsi"/>
                <w:sz w:val="22"/>
                <w:szCs w:val="22"/>
              </w:rPr>
              <w:t xml:space="preserve">Z podporovaných aktivit zvýšit podporu projektů zaměřených na rozvoj alternativních pohonů v dopravě (významný potenciál snížení emisí ve městech ze segmentu zdrojů, který vykazuje v krátkodobém i dlouhodobém horizontu neuspokojivý emisní trend). </w:t>
            </w:r>
          </w:p>
        </w:tc>
        <w:tc>
          <w:tcPr>
            <w:tcW w:w="4606" w:type="dxa"/>
          </w:tcPr>
          <w:p w:rsidR="00084CCB" w:rsidRPr="0078103E" w:rsidRDefault="00FC3EAE" w:rsidP="00850E03">
            <w:pPr>
              <w:jc w:val="both"/>
              <w:rPr>
                <w:rFonts w:asciiTheme="minorHAnsi" w:hAnsiTheme="minorHAnsi" w:cstheme="minorHAnsi"/>
                <w:sz w:val="22"/>
                <w:szCs w:val="22"/>
              </w:rPr>
            </w:pPr>
            <w:r>
              <w:rPr>
                <w:rFonts w:asciiTheme="minorHAnsi" w:hAnsiTheme="minorHAnsi" w:cstheme="minorHAnsi"/>
                <w:sz w:val="22"/>
                <w:szCs w:val="22"/>
              </w:rPr>
              <w:t>R</w:t>
            </w:r>
            <w:r w:rsidRPr="00FC3EAE">
              <w:rPr>
                <w:rFonts w:asciiTheme="minorHAnsi" w:hAnsiTheme="minorHAnsi" w:cstheme="minorHAnsi"/>
                <w:sz w:val="22"/>
                <w:szCs w:val="22"/>
              </w:rPr>
              <w:t>ozvoj alternativních pohonů v</w:t>
            </w:r>
            <w:r>
              <w:rPr>
                <w:rFonts w:asciiTheme="minorHAnsi" w:hAnsiTheme="minorHAnsi" w:cstheme="minorHAnsi"/>
                <w:sz w:val="22"/>
                <w:szCs w:val="22"/>
              </w:rPr>
              <w:t> </w:t>
            </w:r>
            <w:r w:rsidRPr="00FC3EAE">
              <w:rPr>
                <w:rFonts w:asciiTheme="minorHAnsi" w:hAnsiTheme="minorHAnsi" w:cstheme="minorHAnsi"/>
                <w:sz w:val="22"/>
                <w:szCs w:val="22"/>
              </w:rPr>
              <w:t>dopravě</w:t>
            </w:r>
            <w:r>
              <w:rPr>
                <w:rFonts w:asciiTheme="minorHAnsi" w:hAnsiTheme="minorHAnsi" w:cstheme="minorHAnsi"/>
                <w:sz w:val="22"/>
                <w:szCs w:val="22"/>
              </w:rPr>
              <w:t xml:space="preserve"> </w:t>
            </w:r>
            <w:r w:rsidR="00850E03">
              <w:rPr>
                <w:rFonts w:asciiTheme="minorHAnsi" w:hAnsiTheme="minorHAnsi" w:cstheme="minorHAnsi"/>
                <w:sz w:val="22"/>
                <w:szCs w:val="22"/>
              </w:rPr>
              <w:t>je jednou z aktivit SC 3.4 v p</w:t>
            </w:r>
            <w:r>
              <w:rPr>
                <w:rFonts w:asciiTheme="minorHAnsi" w:hAnsiTheme="minorHAnsi" w:cstheme="minorHAnsi"/>
                <w:sz w:val="22"/>
                <w:szCs w:val="22"/>
              </w:rPr>
              <w:t>odo</w:t>
            </w:r>
            <w:r w:rsidR="00850E03">
              <w:rPr>
                <w:rFonts w:asciiTheme="minorHAnsi" w:hAnsiTheme="minorHAnsi" w:cstheme="minorHAnsi"/>
                <w:sz w:val="22"/>
                <w:szCs w:val="22"/>
              </w:rPr>
              <w:t>bě podpory z</w:t>
            </w:r>
            <w:r w:rsidR="00850E03" w:rsidRPr="00850E03">
              <w:rPr>
                <w:rFonts w:asciiTheme="minorHAnsi" w:hAnsiTheme="minorHAnsi" w:cstheme="minorHAnsi"/>
                <w:sz w:val="22"/>
                <w:szCs w:val="22"/>
              </w:rPr>
              <w:t>avádění inovativních technologií v oblasti nízkouhlíkové dopravy</w:t>
            </w:r>
            <w:r w:rsidR="00850E03">
              <w:rPr>
                <w:rFonts w:asciiTheme="minorHAnsi" w:hAnsiTheme="minorHAnsi" w:cstheme="minorHAnsi"/>
                <w:sz w:val="22"/>
                <w:szCs w:val="22"/>
              </w:rPr>
              <w:t>.</w:t>
            </w:r>
          </w:p>
        </w:tc>
      </w:tr>
      <w:tr w:rsidR="00084CCB" w:rsidRPr="0078103E" w:rsidTr="00850E03">
        <w:tc>
          <w:tcPr>
            <w:tcW w:w="4606" w:type="dxa"/>
          </w:tcPr>
          <w:p w:rsidR="00EA3851" w:rsidRPr="00677E31" w:rsidRDefault="00EA3851" w:rsidP="00C9511E">
            <w:pPr>
              <w:pStyle w:val="Default"/>
              <w:rPr>
                <w:rFonts w:asciiTheme="minorHAnsi" w:hAnsiTheme="minorHAnsi" w:cstheme="minorHAnsi"/>
                <w:sz w:val="22"/>
                <w:szCs w:val="22"/>
              </w:rPr>
            </w:pPr>
            <w:r w:rsidRPr="00677E31">
              <w:rPr>
                <w:rFonts w:asciiTheme="minorHAnsi" w:hAnsiTheme="minorHAnsi" w:cstheme="minorHAnsi"/>
                <w:sz w:val="22"/>
                <w:szCs w:val="22"/>
              </w:rPr>
              <w:t xml:space="preserve">V rámci SC 3.5 </w:t>
            </w:r>
          </w:p>
          <w:p w:rsidR="00EA3851" w:rsidRPr="00677E31" w:rsidRDefault="00EA3851" w:rsidP="00C9511E">
            <w:pPr>
              <w:pStyle w:val="Default"/>
              <w:numPr>
                <w:ilvl w:val="0"/>
                <w:numId w:val="10"/>
              </w:numPr>
              <w:rPr>
                <w:rFonts w:asciiTheme="minorHAnsi" w:hAnsiTheme="minorHAnsi" w:cstheme="minorHAnsi"/>
                <w:sz w:val="22"/>
                <w:szCs w:val="22"/>
              </w:rPr>
            </w:pPr>
            <w:r w:rsidRPr="00677E31">
              <w:rPr>
                <w:rFonts w:asciiTheme="minorHAnsi" w:hAnsiTheme="minorHAnsi" w:cstheme="minorHAnsi"/>
                <w:sz w:val="22"/>
                <w:szCs w:val="22"/>
              </w:rPr>
              <w:t xml:space="preserve">upřednostnit projekty zvyšující počet obyvatel napojených na CZT. </w:t>
            </w:r>
          </w:p>
          <w:p w:rsidR="00084CCB" w:rsidRPr="00677E31" w:rsidRDefault="00EA3851" w:rsidP="00B658AB">
            <w:pPr>
              <w:pStyle w:val="Default"/>
              <w:numPr>
                <w:ilvl w:val="0"/>
                <w:numId w:val="10"/>
              </w:numPr>
              <w:rPr>
                <w:rFonts w:asciiTheme="minorHAnsi" w:hAnsiTheme="minorHAnsi" w:cstheme="minorHAnsi"/>
                <w:sz w:val="22"/>
                <w:szCs w:val="22"/>
              </w:rPr>
            </w:pPr>
            <w:r w:rsidRPr="00677E31">
              <w:rPr>
                <w:rFonts w:asciiTheme="minorHAnsi" w:hAnsiTheme="minorHAnsi" w:cstheme="minorHAnsi"/>
                <w:sz w:val="22"/>
                <w:szCs w:val="22"/>
              </w:rPr>
              <w:t xml:space="preserve">v případě instalace a rekonstrukce spalovacích zdrojů se doporučuje podporovat pouze projekty splňující požadavky kladené na dolní emisní úroveň BAT (podobně jako v případě SC 3.1. a 3.2). </w:t>
            </w:r>
          </w:p>
        </w:tc>
        <w:tc>
          <w:tcPr>
            <w:tcW w:w="4606" w:type="dxa"/>
          </w:tcPr>
          <w:p w:rsidR="00850E03" w:rsidRDefault="00677E31" w:rsidP="00850E03">
            <w:pPr>
              <w:jc w:val="both"/>
              <w:rPr>
                <w:rFonts w:asciiTheme="minorHAnsi" w:hAnsiTheme="minorHAnsi" w:cstheme="minorHAnsi"/>
                <w:sz w:val="22"/>
                <w:szCs w:val="22"/>
              </w:rPr>
            </w:pPr>
            <w:r>
              <w:rPr>
                <w:rFonts w:asciiTheme="minorHAnsi" w:hAnsiTheme="minorHAnsi" w:cstheme="minorHAnsi"/>
                <w:sz w:val="22"/>
                <w:szCs w:val="22"/>
              </w:rPr>
              <w:t>Požadavek v oblasti CZT bude</w:t>
            </w:r>
            <w:r w:rsidRPr="00677E31">
              <w:rPr>
                <w:rFonts w:asciiTheme="minorHAnsi" w:hAnsiTheme="minorHAnsi" w:cstheme="minorHAnsi"/>
                <w:sz w:val="22"/>
                <w:szCs w:val="22"/>
              </w:rPr>
              <w:t xml:space="preserve"> doplněn do programového dokumentu v zásadách pro výběr operací u SC 3.5.</w:t>
            </w:r>
          </w:p>
          <w:p w:rsidR="00084CCB" w:rsidRPr="0078103E" w:rsidRDefault="00850E03" w:rsidP="00677E31">
            <w:pPr>
              <w:jc w:val="both"/>
              <w:rPr>
                <w:rFonts w:asciiTheme="minorHAnsi" w:hAnsiTheme="minorHAnsi" w:cstheme="minorHAnsi"/>
                <w:sz w:val="22"/>
                <w:szCs w:val="22"/>
              </w:rPr>
            </w:pPr>
            <w:r>
              <w:rPr>
                <w:rFonts w:asciiTheme="minorHAnsi" w:hAnsiTheme="minorHAnsi" w:cstheme="minorHAnsi"/>
                <w:sz w:val="22"/>
                <w:szCs w:val="22"/>
              </w:rPr>
              <w:t>Požadavek na dolní emisní úroveň BAT je</w:t>
            </w:r>
            <w:r w:rsidR="00677E31">
              <w:rPr>
                <w:rFonts w:asciiTheme="minorHAnsi" w:hAnsiTheme="minorHAnsi" w:cstheme="minorHAnsi"/>
                <w:sz w:val="22"/>
                <w:szCs w:val="22"/>
              </w:rPr>
              <w:t xml:space="preserve"> již</w:t>
            </w:r>
            <w:r>
              <w:rPr>
                <w:rFonts w:asciiTheme="minorHAnsi" w:hAnsiTheme="minorHAnsi" w:cstheme="minorHAnsi"/>
                <w:sz w:val="22"/>
                <w:szCs w:val="22"/>
              </w:rPr>
              <w:t xml:space="preserve"> </w:t>
            </w:r>
            <w:r w:rsidR="00677E31">
              <w:rPr>
                <w:rFonts w:asciiTheme="minorHAnsi" w:hAnsiTheme="minorHAnsi" w:cstheme="minorHAnsi"/>
                <w:sz w:val="22"/>
                <w:szCs w:val="22"/>
              </w:rPr>
              <w:t xml:space="preserve">v této kapitole programového dokumentu </w:t>
            </w:r>
            <w:r>
              <w:rPr>
                <w:rFonts w:asciiTheme="minorHAnsi" w:hAnsiTheme="minorHAnsi" w:cstheme="minorHAnsi"/>
                <w:sz w:val="22"/>
                <w:szCs w:val="22"/>
              </w:rPr>
              <w:t>zohledněn.</w:t>
            </w:r>
          </w:p>
        </w:tc>
      </w:tr>
      <w:tr w:rsidR="00084CCB" w:rsidRPr="0078103E" w:rsidTr="00850E03">
        <w:tc>
          <w:tcPr>
            <w:tcW w:w="4606" w:type="dxa"/>
          </w:tcPr>
          <w:p w:rsidR="00EA3851" w:rsidRPr="0078103E" w:rsidRDefault="00EA3851" w:rsidP="00C9511E">
            <w:pPr>
              <w:pStyle w:val="Default"/>
              <w:rPr>
                <w:rFonts w:asciiTheme="minorHAnsi" w:hAnsiTheme="minorHAnsi" w:cstheme="minorHAnsi"/>
                <w:sz w:val="22"/>
                <w:szCs w:val="22"/>
                <w:u w:val="single"/>
              </w:rPr>
            </w:pPr>
            <w:r w:rsidRPr="0078103E">
              <w:rPr>
                <w:rFonts w:asciiTheme="minorHAnsi" w:hAnsiTheme="minorHAnsi" w:cstheme="minorHAnsi"/>
                <w:sz w:val="22"/>
                <w:szCs w:val="22"/>
                <w:u w:val="single"/>
              </w:rPr>
              <w:t xml:space="preserve">Vody </w:t>
            </w:r>
          </w:p>
          <w:p w:rsidR="00EA3851" w:rsidRPr="0078103E" w:rsidRDefault="00EA3851" w:rsidP="00C9511E">
            <w:pPr>
              <w:pStyle w:val="Default"/>
              <w:rPr>
                <w:rFonts w:asciiTheme="minorHAnsi" w:hAnsiTheme="minorHAnsi" w:cstheme="minorHAnsi"/>
                <w:sz w:val="22"/>
                <w:szCs w:val="22"/>
              </w:rPr>
            </w:pPr>
            <w:r w:rsidRPr="0078103E">
              <w:rPr>
                <w:rFonts w:asciiTheme="minorHAnsi" w:hAnsiTheme="minorHAnsi" w:cstheme="minorHAnsi"/>
                <w:sz w:val="22"/>
                <w:szCs w:val="22"/>
              </w:rPr>
              <w:t xml:space="preserve">V rámci SC 1.1 </w:t>
            </w:r>
          </w:p>
          <w:p w:rsidR="00084CCB" w:rsidRPr="0078103E" w:rsidRDefault="00EA3851" w:rsidP="00C9511E">
            <w:pPr>
              <w:pStyle w:val="Default"/>
              <w:numPr>
                <w:ilvl w:val="0"/>
                <w:numId w:val="11"/>
              </w:numPr>
              <w:rPr>
                <w:rFonts w:asciiTheme="minorHAnsi" w:hAnsiTheme="minorHAnsi" w:cstheme="minorHAnsi"/>
                <w:sz w:val="22"/>
                <w:szCs w:val="22"/>
              </w:rPr>
            </w:pPr>
            <w:r w:rsidRPr="0078103E">
              <w:rPr>
                <w:rFonts w:asciiTheme="minorHAnsi" w:hAnsiTheme="minorHAnsi" w:cstheme="minorHAnsi"/>
                <w:sz w:val="22"/>
                <w:szCs w:val="22"/>
              </w:rPr>
              <w:t xml:space="preserve">při výběru projektů eliminovat riziko emise znečišťujících látek do vod, zejména u vývoje a použití materiálů a látek s potenciálně nebezpečnými vlastnostmi (např. nanomateriály, xenobiotika apod.) neregulovanými dosavadní legislativou; popis preventivních opatření musí být součástí projektové dokumentace. </w:t>
            </w:r>
          </w:p>
        </w:tc>
        <w:tc>
          <w:tcPr>
            <w:tcW w:w="4606" w:type="dxa"/>
          </w:tcPr>
          <w:p w:rsidR="00084CCB" w:rsidRPr="0078103E" w:rsidRDefault="00850E03" w:rsidP="00850E03">
            <w:pPr>
              <w:jc w:val="both"/>
              <w:rPr>
                <w:rFonts w:asciiTheme="minorHAnsi" w:hAnsiTheme="minorHAnsi" w:cstheme="minorHAnsi"/>
                <w:sz w:val="22"/>
                <w:szCs w:val="22"/>
              </w:rPr>
            </w:pPr>
            <w:r>
              <w:rPr>
                <w:rFonts w:asciiTheme="minorHAnsi" w:hAnsiTheme="minorHAnsi" w:cstheme="minorHAnsi"/>
                <w:sz w:val="22"/>
                <w:szCs w:val="22"/>
              </w:rPr>
              <w:t>Zohledněno v rámci horizontálního</w:t>
            </w:r>
            <w:r w:rsidRPr="00186DA6">
              <w:rPr>
                <w:rFonts w:asciiTheme="minorHAnsi" w:hAnsiTheme="minorHAnsi" w:cstheme="minorHAnsi"/>
                <w:sz w:val="22"/>
                <w:szCs w:val="22"/>
              </w:rPr>
              <w:t xml:space="preserve"> </w:t>
            </w:r>
            <w:r>
              <w:rPr>
                <w:rFonts w:asciiTheme="minorHAnsi" w:hAnsiTheme="minorHAnsi" w:cstheme="minorHAnsi"/>
                <w:sz w:val="22"/>
                <w:szCs w:val="22"/>
              </w:rPr>
              <w:t>principu</w:t>
            </w:r>
            <w:r w:rsidRPr="00186DA6">
              <w:rPr>
                <w:rFonts w:asciiTheme="minorHAnsi" w:hAnsiTheme="minorHAnsi" w:cstheme="minorHAnsi"/>
                <w:sz w:val="22"/>
                <w:szCs w:val="22"/>
              </w:rPr>
              <w:t xml:space="preserve"> udržitelný rozvoj.</w:t>
            </w:r>
            <w:r w:rsidRPr="00186DA6">
              <w:rPr>
                <w:sz w:val="24"/>
              </w:rPr>
              <w:t xml:space="preserve"> </w:t>
            </w:r>
            <w:r w:rsidRPr="00186DA6">
              <w:rPr>
                <w:rFonts w:asciiTheme="minorHAnsi" w:hAnsiTheme="minorHAnsi" w:cstheme="minorHAnsi"/>
                <w:sz w:val="22"/>
                <w:szCs w:val="22"/>
              </w:rPr>
              <w:t>Projekt, který bude v rozporu s principy udržitelného rozvoje</w:t>
            </w:r>
            <w:r>
              <w:rPr>
                <w:rFonts w:asciiTheme="minorHAnsi" w:hAnsiTheme="minorHAnsi" w:cstheme="minorHAnsi"/>
                <w:sz w:val="22"/>
                <w:szCs w:val="22"/>
              </w:rPr>
              <w:t>, nebude v rámci OP PIK podpořen.</w:t>
            </w:r>
          </w:p>
        </w:tc>
      </w:tr>
      <w:tr w:rsidR="00084CCB" w:rsidRPr="0078103E" w:rsidTr="00850E03">
        <w:tc>
          <w:tcPr>
            <w:tcW w:w="4606" w:type="dxa"/>
          </w:tcPr>
          <w:p w:rsidR="00EA3851" w:rsidRPr="0078103E" w:rsidRDefault="00EA3851" w:rsidP="00C9511E">
            <w:pPr>
              <w:pStyle w:val="Default"/>
              <w:rPr>
                <w:rFonts w:asciiTheme="minorHAnsi" w:hAnsiTheme="minorHAnsi" w:cstheme="minorHAnsi"/>
                <w:sz w:val="22"/>
                <w:szCs w:val="22"/>
              </w:rPr>
            </w:pPr>
            <w:r w:rsidRPr="0078103E">
              <w:rPr>
                <w:rFonts w:asciiTheme="minorHAnsi" w:hAnsiTheme="minorHAnsi" w:cstheme="minorHAnsi"/>
                <w:sz w:val="22"/>
                <w:szCs w:val="22"/>
              </w:rPr>
              <w:t xml:space="preserve">V rámci SC 2.3: </w:t>
            </w:r>
          </w:p>
          <w:p w:rsidR="00084CCB" w:rsidRPr="0078103E" w:rsidRDefault="00EA3851" w:rsidP="00C9511E">
            <w:pPr>
              <w:pStyle w:val="Default"/>
              <w:numPr>
                <w:ilvl w:val="0"/>
                <w:numId w:val="11"/>
              </w:numPr>
              <w:rPr>
                <w:rFonts w:asciiTheme="minorHAnsi" w:hAnsiTheme="minorHAnsi" w:cstheme="minorHAnsi"/>
                <w:sz w:val="22"/>
                <w:szCs w:val="22"/>
              </w:rPr>
            </w:pPr>
            <w:r w:rsidRPr="0078103E">
              <w:rPr>
                <w:rFonts w:asciiTheme="minorHAnsi" w:hAnsiTheme="minorHAnsi" w:cstheme="minorHAnsi"/>
                <w:sz w:val="22"/>
                <w:szCs w:val="22"/>
              </w:rPr>
              <w:t xml:space="preserve">Při výběru projektů eliminovat takové projekty, které přinášejí nadměrnou produkci odpadních vod obsahujících nebezpečné látky. </w:t>
            </w:r>
          </w:p>
        </w:tc>
        <w:tc>
          <w:tcPr>
            <w:tcW w:w="4606" w:type="dxa"/>
          </w:tcPr>
          <w:p w:rsidR="00850E03" w:rsidRDefault="00850E03" w:rsidP="00850E03">
            <w:pPr>
              <w:jc w:val="both"/>
              <w:rPr>
                <w:rFonts w:asciiTheme="minorHAnsi" w:hAnsiTheme="minorHAnsi" w:cstheme="minorHAnsi"/>
                <w:sz w:val="22"/>
                <w:szCs w:val="22"/>
              </w:rPr>
            </w:pPr>
            <w:r>
              <w:rPr>
                <w:rFonts w:asciiTheme="minorHAnsi" w:hAnsiTheme="minorHAnsi" w:cstheme="minorHAnsi"/>
                <w:sz w:val="22"/>
                <w:szCs w:val="22"/>
              </w:rPr>
              <w:t>Zohledněno v rámci horizontálního</w:t>
            </w:r>
            <w:r w:rsidRPr="00186DA6">
              <w:rPr>
                <w:rFonts w:asciiTheme="minorHAnsi" w:hAnsiTheme="minorHAnsi" w:cstheme="minorHAnsi"/>
                <w:sz w:val="22"/>
                <w:szCs w:val="22"/>
              </w:rPr>
              <w:t xml:space="preserve"> </w:t>
            </w:r>
            <w:r>
              <w:rPr>
                <w:rFonts w:asciiTheme="minorHAnsi" w:hAnsiTheme="minorHAnsi" w:cstheme="minorHAnsi"/>
                <w:sz w:val="22"/>
                <w:szCs w:val="22"/>
              </w:rPr>
              <w:t>principu</w:t>
            </w:r>
            <w:r w:rsidRPr="00186DA6">
              <w:rPr>
                <w:rFonts w:asciiTheme="minorHAnsi" w:hAnsiTheme="minorHAnsi" w:cstheme="minorHAnsi"/>
                <w:sz w:val="22"/>
                <w:szCs w:val="22"/>
              </w:rPr>
              <w:t xml:space="preserve"> udržitelný rozvoj.</w:t>
            </w:r>
            <w:r w:rsidRPr="00186DA6">
              <w:rPr>
                <w:sz w:val="24"/>
              </w:rPr>
              <w:t xml:space="preserve"> </w:t>
            </w:r>
            <w:r w:rsidRPr="00186DA6">
              <w:rPr>
                <w:rFonts w:asciiTheme="minorHAnsi" w:hAnsiTheme="minorHAnsi" w:cstheme="minorHAnsi"/>
                <w:sz w:val="22"/>
                <w:szCs w:val="22"/>
              </w:rPr>
              <w:t>Projekt, který bude v rozporu s principy udržitelného rozvoje</w:t>
            </w:r>
            <w:r>
              <w:rPr>
                <w:rFonts w:asciiTheme="minorHAnsi" w:hAnsiTheme="minorHAnsi" w:cstheme="minorHAnsi"/>
                <w:sz w:val="22"/>
                <w:szCs w:val="22"/>
              </w:rPr>
              <w:t>, nebude v rámci OP PIK podpořen.</w:t>
            </w:r>
          </w:p>
          <w:p w:rsidR="00084CCB" w:rsidRPr="0078103E" w:rsidRDefault="00084CCB" w:rsidP="00850E03">
            <w:pPr>
              <w:jc w:val="both"/>
              <w:rPr>
                <w:rFonts w:asciiTheme="minorHAnsi" w:hAnsiTheme="minorHAnsi" w:cstheme="minorHAnsi"/>
                <w:sz w:val="22"/>
                <w:szCs w:val="22"/>
              </w:rPr>
            </w:pPr>
          </w:p>
        </w:tc>
      </w:tr>
      <w:tr w:rsidR="00084CCB" w:rsidRPr="0078103E" w:rsidTr="00850E03">
        <w:tc>
          <w:tcPr>
            <w:tcW w:w="4606" w:type="dxa"/>
          </w:tcPr>
          <w:p w:rsidR="00EA3851" w:rsidRPr="0078103E" w:rsidRDefault="00EA3851" w:rsidP="00C9511E">
            <w:pPr>
              <w:pStyle w:val="Default"/>
              <w:rPr>
                <w:rFonts w:asciiTheme="minorHAnsi" w:hAnsiTheme="minorHAnsi" w:cstheme="minorHAnsi"/>
                <w:sz w:val="22"/>
                <w:szCs w:val="22"/>
              </w:rPr>
            </w:pPr>
            <w:r w:rsidRPr="0078103E">
              <w:rPr>
                <w:rFonts w:asciiTheme="minorHAnsi" w:hAnsiTheme="minorHAnsi" w:cstheme="minorHAnsi"/>
                <w:sz w:val="22"/>
                <w:szCs w:val="22"/>
              </w:rPr>
              <w:t xml:space="preserve">V rámci SC 3.1 </w:t>
            </w:r>
          </w:p>
          <w:p w:rsidR="00084CCB" w:rsidRPr="0078103E" w:rsidRDefault="00EA3851" w:rsidP="00C9511E">
            <w:pPr>
              <w:pStyle w:val="Default"/>
              <w:numPr>
                <w:ilvl w:val="0"/>
                <w:numId w:val="11"/>
              </w:numPr>
              <w:rPr>
                <w:rFonts w:asciiTheme="minorHAnsi" w:hAnsiTheme="minorHAnsi" w:cstheme="minorHAnsi"/>
                <w:sz w:val="22"/>
                <w:szCs w:val="22"/>
              </w:rPr>
            </w:pPr>
            <w:r w:rsidRPr="0078103E">
              <w:rPr>
                <w:rFonts w:asciiTheme="minorHAnsi" w:hAnsiTheme="minorHAnsi" w:cstheme="minorHAnsi"/>
                <w:sz w:val="22"/>
                <w:szCs w:val="22"/>
              </w:rPr>
              <w:t xml:space="preserve">Při výběru projektů velkého rozsahu eliminovat takové projekty, u kterých se předpokládá využití energetické biomasy a technických plodin z velkoplošné intenzivní produkce (aplikace LCA, tzv. životní cyklus výrobku na projektové úrovni). </w:t>
            </w:r>
          </w:p>
        </w:tc>
        <w:tc>
          <w:tcPr>
            <w:tcW w:w="4606" w:type="dxa"/>
          </w:tcPr>
          <w:p w:rsidR="00850E03" w:rsidRDefault="008D5801" w:rsidP="00850E03">
            <w:pPr>
              <w:jc w:val="both"/>
              <w:rPr>
                <w:rFonts w:asciiTheme="minorHAnsi" w:hAnsiTheme="minorHAnsi" w:cstheme="minorHAnsi"/>
                <w:sz w:val="22"/>
                <w:szCs w:val="22"/>
              </w:rPr>
            </w:pPr>
            <w:r>
              <w:rPr>
                <w:rFonts w:asciiTheme="minorHAnsi" w:hAnsiTheme="minorHAnsi" w:cstheme="minorHAnsi"/>
                <w:sz w:val="22"/>
                <w:szCs w:val="22"/>
              </w:rPr>
              <w:t xml:space="preserve">Zohledněno v programovém dokumentu OP PIK: </w:t>
            </w:r>
            <w:r w:rsidR="00850E03">
              <w:rPr>
                <w:rFonts w:asciiTheme="minorHAnsi" w:hAnsiTheme="minorHAnsi" w:cstheme="minorHAnsi"/>
                <w:sz w:val="22"/>
                <w:szCs w:val="22"/>
              </w:rPr>
              <w:t xml:space="preserve">„Půjde o </w:t>
            </w:r>
            <w:r w:rsidR="00850E03" w:rsidRPr="00D2356F">
              <w:rPr>
                <w:rFonts w:asciiTheme="minorHAnsi" w:hAnsiTheme="minorHAnsi" w:cstheme="minorHAnsi"/>
                <w:sz w:val="22"/>
                <w:szCs w:val="22"/>
              </w:rPr>
              <w:t>menší až střední zařízení s maximálním instalovaným výkonem do 10 MW, která respektují potenciál biomasy v daném regionu v souladu s udržitelností zdrojů a ochranou přírody a krajiny</w:t>
            </w:r>
            <w:r w:rsidR="00850E03">
              <w:rPr>
                <w:rFonts w:asciiTheme="minorHAnsi" w:hAnsiTheme="minorHAnsi" w:cstheme="minorHAnsi"/>
                <w:sz w:val="22"/>
                <w:szCs w:val="22"/>
              </w:rPr>
              <w:t>“.</w:t>
            </w:r>
          </w:p>
          <w:p w:rsidR="00084CCB" w:rsidRPr="0078103E" w:rsidRDefault="00084CCB" w:rsidP="00850E03">
            <w:pPr>
              <w:jc w:val="both"/>
              <w:rPr>
                <w:rFonts w:asciiTheme="minorHAnsi" w:hAnsiTheme="minorHAnsi" w:cstheme="minorHAnsi"/>
                <w:sz w:val="22"/>
                <w:szCs w:val="22"/>
              </w:rPr>
            </w:pPr>
          </w:p>
        </w:tc>
      </w:tr>
      <w:tr w:rsidR="00084CCB" w:rsidRPr="0078103E" w:rsidTr="00850E03">
        <w:tc>
          <w:tcPr>
            <w:tcW w:w="4606" w:type="dxa"/>
          </w:tcPr>
          <w:p w:rsidR="00EA3851" w:rsidRPr="0078103E" w:rsidRDefault="00EA3851" w:rsidP="00C9511E">
            <w:pPr>
              <w:pStyle w:val="Default"/>
              <w:rPr>
                <w:rFonts w:asciiTheme="minorHAnsi" w:hAnsiTheme="minorHAnsi" w:cstheme="minorHAnsi"/>
                <w:sz w:val="22"/>
                <w:szCs w:val="22"/>
                <w:u w:val="single"/>
              </w:rPr>
            </w:pPr>
            <w:r w:rsidRPr="0078103E">
              <w:rPr>
                <w:rFonts w:asciiTheme="minorHAnsi" w:hAnsiTheme="minorHAnsi" w:cstheme="minorHAnsi"/>
                <w:sz w:val="22"/>
                <w:szCs w:val="22"/>
                <w:u w:val="single"/>
              </w:rPr>
              <w:t xml:space="preserve">Půdy a horninové prostředí </w:t>
            </w:r>
          </w:p>
          <w:p w:rsidR="00EA3851" w:rsidRPr="0078103E" w:rsidRDefault="00EA3851" w:rsidP="00C9511E">
            <w:pPr>
              <w:pStyle w:val="Default"/>
              <w:rPr>
                <w:rFonts w:asciiTheme="minorHAnsi" w:hAnsiTheme="minorHAnsi" w:cstheme="minorHAnsi"/>
                <w:sz w:val="22"/>
                <w:szCs w:val="22"/>
              </w:rPr>
            </w:pPr>
            <w:r w:rsidRPr="0078103E">
              <w:rPr>
                <w:rFonts w:asciiTheme="minorHAnsi" w:hAnsiTheme="minorHAnsi" w:cstheme="minorHAnsi"/>
                <w:sz w:val="22"/>
                <w:szCs w:val="22"/>
              </w:rPr>
              <w:t xml:space="preserve">V rámci SC 3.1: </w:t>
            </w:r>
          </w:p>
          <w:p w:rsidR="00EA3851" w:rsidRPr="0078103E" w:rsidRDefault="00EA3851" w:rsidP="00C9511E">
            <w:pPr>
              <w:pStyle w:val="Default"/>
              <w:numPr>
                <w:ilvl w:val="0"/>
                <w:numId w:val="11"/>
              </w:numPr>
              <w:rPr>
                <w:rFonts w:asciiTheme="minorHAnsi" w:hAnsiTheme="minorHAnsi" w:cstheme="minorHAnsi"/>
                <w:sz w:val="22"/>
                <w:szCs w:val="22"/>
              </w:rPr>
            </w:pPr>
            <w:r w:rsidRPr="0078103E">
              <w:rPr>
                <w:rFonts w:asciiTheme="minorHAnsi" w:hAnsiTheme="minorHAnsi" w:cstheme="minorHAnsi"/>
                <w:sz w:val="22"/>
                <w:szCs w:val="22"/>
              </w:rPr>
              <w:t xml:space="preserve">Doporučuje se uvést v textu OP PIK, že u projektů velkého rozsahu založených na využití energetické biomasy pěstované velkoplošně a intenzivně bude nutno předložit LCA zahrnující produkční externality. </w:t>
            </w:r>
          </w:p>
          <w:p w:rsidR="00084CCB" w:rsidRPr="0078103E" w:rsidRDefault="00EA3851" w:rsidP="00C9511E">
            <w:pPr>
              <w:pStyle w:val="Default"/>
              <w:numPr>
                <w:ilvl w:val="0"/>
                <w:numId w:val="11"/>
              </w:numPr>
              <w:rPr>
                <w:rFonts w:asciiTheme="minorHAnsi" w:hAnsiTheme="minorHAnsi" w:cstheme="minorHAnsi"/>
                <w:sz w:val="22"/>
                <w:szCs w:val="22"/>
              </w:rPr>
            </w:pPr>
            <w:r w:rsidRPr="0078103E">
              <w:rPr>
                <w:rFonts w:asciiTheme="minorHAnsi" w:hAnsiTheme="minorHAnsi" w:cstheme="minorHAnsi"/>
                <w:sz w:val="22"/>
                <w:szCs w:val="22"/>
              </w:rPr>
              <w:t xml:space="preserve">U menších projektů vyžadovat prohlášení, že dodavatelé budou respektovat zásady „správné pěstební praxe“. </w:t>
            </w:r>
          </w:p>
        </w:tc>
        <w:tc>
          <w:tcPr>
            <w:tcW w:w="4606" w:type="dxa"/>
          </w:tcPr>
          <w:p w:rsidR="00677E31" w:rsidRDefault="00677E31" w:rsidP="00677E31">
            <w:pPr>
              <w:jc w:val="both"/>
              <w:rPr>
                <w:rFonts w:asciiTheme="minorHAnsi" w:hAnsiTheme="minorHAnsi" w:cstheme="minorHAnsi"/>
                <w:sz w:val="22"/>
                <w:szCs w:val="22"/>
              </w:rPr>
            </w:pPr>
            <w:r>
              <w:rPr>
                <w:rFonts w:asciiTheme="minorHAnsi" w:hAnsiTheme="minorHAnsi" w:cstheme="minorHAnsi"/>
                <w:sz w:val="22"/>
                <w:szCs w:val="22"/>
              </w:rPr>
              <w:t xml:space="preserve">Podpora bude zaměřena zejména na </w:t>
            </w:r>
            <w:r w:rsidRPr="00026AD3">
              <w:rPr>
                <w:rFonts w:asciiTheme="minorHAnsi" w:hAnsiTheme="minorHAnsi" w:cstheme="minorHAnsi"/>
                <w:sz w:val="22"/>
                <w:szCs w:val="22"/>
              </w:rPr>
              <w:t>menší až střední zařízení s maximálním instalovaným výkonem do 10 MW, která respektují potenciál biomasy v daném regionu v souladu s udržitelností zdrojů a ochranou přírody a krajiny.</w:t>
            </w:r>
          </w:p>
          <w:p w:rsidR="00084CCB" w:rsidRPr="0078103E" w:rsidRDefault="00677E31" w:rsidP="00677E31">
            <w:pPr>
              <w:jc w:val="both"/>
              <w:rPr>
                <w:rFonts w:asciiTheme="minorHAnsi" w:hAnsiTheme="minorHAnsi" w:cstheme="minorHAnsi"/>
                <w:sz w:val="22"/>
                <w:szCs w:val="22"/>
              </w:rPr>
            </w:pPr>
            <w:r>
              <w:rPr>
                <w:rFonts w:asciiTheme="minorHAnsi" w:hAnsiTheme="minorHAnsi" w:cstheme="minorHAnsi"/>
                <w:sz w:val="22"/>
                <w:szCs w:val="22"/>
              </w:rPr>
              <w:t>Požadavek na prohlášení bude uveden v programovém dokumentu v zásadách pro výběr operací u SC 3.1.</w:t>
            </w:r>
          </w:p>
        </w:tc>
      </w:tr>
      <w:tr w:rsidR="00084CCB" w:rsidRPr="0078103E" w:rsidTr="00850E03">
        <w:tc>
          <w:tcPr>
            <w:tcW w:w="4606" w:type="dxa"/>
          </w:tcPr>
          <w:p w:rsidR="00EA3851" w:rsidRPr="0078103E" w:rsidRDefault="00EA3851" w:rsidP="00C9511E">
            <w:pPr>
              <w:pStyle w:val="Default"/>
              <w:rPr>
                <w:rFonts w:asciiTheme="minorHAnsi" w:hAnsiTheme="minorHAnsi" w:cstheme="minorHAnsi"/>
                <w:sz w:val="22"/>
                <w:szCs w:val="22"/>
                <w:u w:val="single"/>
              </w:rPr>
            </w:pPr>
            <w:r w:rsidRPr="0078103E">
              <w:rPr>
                <w:rFonts w:asciiTheme="minorHAnsi" w:hAnsiTheme="minorHAnsi" w:cstheme="minorHAnsi"/>
                <w:sz w:val="22"/>
                <w:szCs w:val="22"/>
                <w:u w:val="single"/>
              </w:rPr>
              <w:t xml:space="preserve">Odpadové hospodářství </w:t>
            </w:r>
          </w:p>
          <w:p w:rsidR="00EA3851" w:rsidRPr="0078103E" w:rsidRDefault="00EA3851" w:rsidP="00C9511E">
            <w:pPr>
              <w:pStyle w:val="Default"/>
              <w:numPr>
                <w:ilvl w:val="0"/>
                <w:numId w:val="12"/>
              </w:numPr>
              <w:rPr>
                <w:rFonts w:asciiTheme="minorHAnsi" w:hAnsiTheme="minorHAnsi" w:cstheme="minorHAnsi"/>
                <w:sz w:val="22"/>
                <w:szCs w:val="22"/>
              </w:rPr>
            </w:pPr>
            <w:r w:rsidRPr="0078103E">
              <w:rPr>
                <w:rFonts w:asciiTheme="minorHAnsi" w:hAnsiTheme="minorHAnsi" w:cstheme="minorHAnsi"/>
                <w:sz w:val="22"/>
                <w:szCs w:val="22"/>
              </w:rPr>
              <w:t xml:space="preserve">V rámci SC 1.1 podporovat také inovace a opatření, které podporují znovuvyužívání odpadů a předcházení vzniku odpadů. </w:t>
            </w:r>
          </w:p>
          <w:p w:rsidR="00084CCB" w:rsidRPr="0078103E" w:rsidRDefault="00EA3851" w:rsidP="00C9511E">
            <w:pPr>
              <w:pStyle w:val="Default"/>
              <w:numPr>
                <w:ilvl w:val="0"/>
                <w:numId w:val="12"/>
              </w:numPr>
              <w:rPr>
                <w:rFonts w:asciiTheme="minorHAnsi" w:hAnsiTheme="minorHAnsi" w:cstheme="minorHAnsi"/>
                <w:sz w:val="22"/>
                <w:szCs w:val="22"/>
              </w:rPr>
            </w:pPr>
            <w:r w:rsidRPr="0078103E">
              <w:rPr>
                <w:rFonts w:asciiTheme="minorHAnsi" w:hAnsiTheme="minorHAnsi" w:cstheme="minorHAnsi"/>
                <w:sz w:val="22"/>
                <w:szCs w:val="22"/>
              </w:rPr>
              <w:t xml:space="preserve">Při následném uvádění výsledků výzkumu a vývoje do praxe podporovat procesy na využití a zpracování odpadů, které nezpůsobí vyšší emise do ovzduší. </w:t>
            </w:r>
          </w:p>
        </w:tc>
        <w:tc>
          <w:tcPr>
            <w:tcW w:w="4606" w:type="dxa"/>
          </w:tcPr>
          <w:p w:rsidR="00084CCB" w:rsidRPr="0078103E" w:rsidRDefault="008D5801" w:rsidP="008D5801">
            <w:pPr>
              <w:jc w:val="both"/>
              <w:rPr>
                <w:rFonts w:asciiTheme="minorHAnsi" w:hAnsiTheme="minorHAnsi" w:cstheme="minorHAnsi"/>
                <w:sz w:val="22"/>
                <w:szCs w:val="22"/>
              </w:rPr>
            </w:pPr>
            <w:r>
              <w:rPr>
                <w:rFonts w:asciiTheme="minorHAnsi" w:hAnsiTheme="minorHAnsi" w:cstheme="minorHAnsi"/>
                <w:sz w:val="22"/>
                <w:szCs w:val="22"/>
              </w:rPr>
              <w:t>Doporučení spadá pod ekoinovace, což je zohledněno v programovém dokumentu OP PIK: „</w:t>
            </w:r>
            <w:r w:rsidRPr="008D5801">
              <w:rPr>
                <w:rFonts w:asciiTheme="minorHAnsi" w:hAnsiTheme="minorHAnsi" w:cstheme="minorHAnsi"/>
                <w:sz w:val="22"/>
                <w:szCs w:val="22"/>
              </w:rPr>
              <w:t>Zvláštní pozornost zde bude věnována ekoinovacím</w:t>
            </w:r>
            <w:r>
              <w:rPr>
                <w:rFonts w:asciiTheme="minorHAnsi" w:hAnsiTheme="minorHAnsi" w:cstheme="minorHAnsi"/>
                <w:sz w:val="22"/>
                <w:szCs w:val="22"/>
              </w:rPr>
              <w:t>“.</w:t>
            </w:r>
          </w:p>
        </w:tc>
      </w:tr>
      <w:tr w:rsidR="00084CCB" w:rsidRPr="0078103E" w:rsidTr="00850E03">
        <w:tc>
          <w:tcPr>
            <w:tcW w:w="4606" w:type="dxa"/>
          </w:tcPr>
          <w:p w:rsidR="00EA3851" w:rsidRPr="0078103E" w:rsidRDefault="00EA3851" w:rsidP="00C9511E">
            <w:pPr>
              <w:pStyle w:val="Default"/>
              <w:rPr>
                <w:rFonts w:asciiTheme="minorHAnsi" w:hAnsiTheme="minorHAnsi" w:cstheme="minorHAnsi"/>
                <w:sz w:val="22"/>
                <w:szCs w:val="22"/>
                <w:u w:val="single"/>
              </w:rPr>
            </w:pPr>
            <w:r w:rsidRPr="0078103E">
              <w:rPr>
                <w:rFonts w:asciiTheme="minorHAnsi" w:hAnsiTheme="minorHAnsi" w:cstheme="minorHAnsi"/>
                <w:sz w:val="22"/>
                <w:szCs w:val="22"/>
                <w:u w:val="single"/>
              </w:rPr>
              <w:t xml:space="preserve">Veřejné zdraví </w:t>
            </w:r>
          </w:p>
          <w:p w:rsidR="00084CCB" w:rsidRPr="0078103E" w:rsidRDefault="00EA3851" w:rsidP="00C9511E">
            <w:pPr>
              <w:pStyle w:val="Default"/>
              <w:numPr>
                <w:ilvl w:val="0"/>
                <w:numId w:val="13"/>
              </w:numPr>
              <w:rPr>
                <w:rFonts w:asciiTheme="minorHAnsi" w:hAnsiTheme="minorHAnsi" w:cstheme="minorHAnsi"/>
                <w:sz w:val="22"/>
                <w:szCs w:val="22"/>
              </w:rPr>
            </w:pPr>
            <w:r w:rsidRPr="0078103E">
              <w:rPr>
                <w:rFonts w:asciiTheme="minorHAnsi" w:hAnsiTheme="minorHAnsi" w:cstheme="minorHAnsi"/>
                <w:sz w:val="22"/>
                <w:szCs w:val="22"/>
              </w:rPr>
              <w:t xml:space="preserve">V rámci SC 1.1 by podporu měly získávat i sociální inovace, přinášející pracovní místa pro nezaměstnané a osoby ze znevýhodněných skupin populace a sociálně vyloučených skupin obyvatel. </w:t>
            </w:r>
          </w:p>
        </w:tc>
        <w:tc>
          <w:tcPr>
            <w:tcW w:w="4606" w:type="dxa"/>
          </w:tcPr>
          <w:p w:rsidR="00084CCB" w:rsidRDefault="008D5801" w:rsidP="00850E03">
            <w:pPr>
              <w:jc w:val="both"/>
              <w:rPr>
                <w:rFonts w:asciiTheme="minorHAnsi" w:hAnsiTheme="minorHAnsi" w:cstheme="minorHAnsi"/>
                <w:sz w:val="22"/>
                <w:szCs w:val="22"/>
              </w:rPr>
            </w:pPr>
            <w:r>
              <w:rPr>
                <w:rFonts w:asciiTheme="minorHAnsi" w:hAnsiTheme="minorHAnsi" w:cstheme="minorHAnsi"/>
                <w:sz w:val="22"/>
                <w:szCs w:val="22"/>
              </w:rPr>
              <w:t>V SC 1.1 není tento typ inovací vyloučen.</w:t>
            </w:r>
          </w:p>
          <w:p w:rsidR="008D5801" w:rsidRPr="0078103E" w:rsidRDefault="008D5801" w:rsidP="00850E03">
            <w:pPr>
              <w:jc w:val="both"/>
              <w:rPr>
                <w:rFonts w:asciiTheme="minorHAnsi" w:hAnsiTheme="minorHAnsi" w:cstheme="minorHAnsi"/>
                <w:sz w:val="22"/>
                <w:szCs w:val="22"/>
              </w:rPr>
            </w:pPr>
            <w:r>
              <w:rPr>
                <w:rFonts w:asciiTheme="minorHAnsi" w:hAnsiTheme="minorHAnsi" w:cstheme="minorHAnsi"/>
                <w:sz w:val="22"/>
                <w:szCs w:val="22"/>
              </w:rPr>
              <w:t xml:space="preserve">Pro úplnost lze uvést, že OP PIK bude ve specifickém cíli 2.1 zohledněno </w:t>
            </w:r>
            <w:r w:rsidRPr="008D5801">
              <w:rPr>
                <w:rFonts w:asciiTheme="minorHAnsi" w:hAnsiTheme="minorHAnsi" w:cstheme="minorHAnsi"/>
                <w:sz w:val="22"/>
                <w:szCs w:val="22"/>
              </w:rPr>
              <w:t>posílení sociálního rozměru podnikání. Jeho podstatou je, aby jakýkoliv malý či střední podnik, který splní dané podmínky a prokáže realizací podpořeného projektu zaměstnávání osob ze znevýhodněných skupin obyvatelstva, byl zvýhodněn oproti jiným žadatelům, kteří v projektu tento typ pracovních míst nevytvoří.</w:t>
            </w:r>
          </w:p>
        </w:tc>
      </w:tr>
      <w:tr w:rsidR="00084CCB" w:rsidRPr="0078103E" w:rsidTr="00850E03">
        <w:tc>
          <w:tcPr>
            <w:tcW w:w="4606" w:type="dxa"/>
          </w:tcPr>
          <w:p w:rsidR="00EA3851" w:rsidRPr="0078103E" w:rsidRDefault="00EA3851" w:rsidP="00C9511E">
            <w:pPr>
              <w:pStyle w:val="Default"/>
              <w:rPr>
                <w:rFonts w:asciiTheme="minorHAnsi" w:hAnsiTheme="minorHAnsi" w:cstheme="minorHAnsi"/>
                <w:sz w:val="22"/>
                <w:szCs w:val="22"/>
              </w:rPr>
            </w:pPr>
            <w:r w:rsidRPr="0078103E">
              <w:rPr>
                <w:rFonts w:asciiTheme="minorHAnsi" w:hAnsiTheme="minorHAnsi" w:cstheme="minorHAnsi"/>
                <w:sz w:val="22"/>
                <w:szCs w:val="22"/>
              </w:rPr>
              <w:t xml:space="preserve">Environmentální indikátory, navržené v rámci vyhodnocení SEA ke sledování vlivů implementace OP PIK, doporučujeme z důvodu řádného sledování vlivů implementace OP PIK na všechny složky životního prostředí rozšířit o následující environmentální indikátor: </w:t>
            </w:r>
          </w:p>
          <w:p w:rsidR="00084CCB" w:rsidRPr="0078103E" w:rsidRDefault="00EA3851" w:rsidP="00C9511E">
            <w:pPr>
              <w:pStyle w:val="Odstavecseseznamem"/>
              <w:numPr>
                <w:ilvl w:val="0"/>
                <w:numId w:val="13"/>
              </w:numPr>
              <w:jc w:val="both"/>
              <w:rPr>
                <w:rFonts w:asciiTheme="minorHAnsi" w:hAnsiTheme="minorHAnsi" w:cstheme="minorHAnsi"/>
                <w:sz w:val="22"/>
                <w:szCs w:val="22"/>
              </w:rPr>
            </w:pPr>
            <w:r w:rsidRPr="0078103E">
              <w:rPr>
                <w:rFonts w:asciiTheme="minorHAnsi" w:hAnsiTheme="minorHAnsi" w:cstheme="minorHAnsi"/>
                <w:sz w:val="22"/>
                <w:szCs w:val="22"/>
              </w:rPr>
              <w:t>„Míra fragmentace krajiny real</w:t>
            </w:r>
            <w:r w:rsidR="00D14224">
              <w:rPr>
                <w:rFonts w:asciiTheme="minorHAnsi" w:hAnsiTheme="minorHAnsi" w:cstheme="minorHAnsi"/>
                <w:sz w:val="22"/>
                <w:szCs w:val="22"/>
              </w:rPr>
              <w:t>izací liniových projektů (km2)“</w:t>
            </w:r>
          </w:p>
        </w:tc>
        <w:tc>
          <w:tcPr>
            <w:tcW w:w="4606" w:type="dxa"/>
          </w:tcPr>
          <w:p w:rsidR="002A17CF" w:rsidRDefault="006277CF" w:rsidP="002A17CF">
            <w:pPr>
              <w:jc w:val="both"/>
              <w:rPr>
                <w:rFonts w:asciiTheme="minorHAnsi" w:hAnsiTheme="minorHAnsi" w:cstheme="minorHAnsi"/>
                <w:sz w:val="22"/>
                <w:szCs w:val="22"/>
              </w:rPr>
            </w:pPr>
            <w:r w:rsidRPr="006277CF">
              <w:rPr>
                <w:rFonts w:asciiTheme="minorHAnsi" w:hAnsiTheme="minorHAnsi" w:cstheme="minorHAnsi"/>
                <w:sz w:val="22"/>
                <w:szCs w:val="22"/>
              </w:rPr>
              <w:t>Tento indikátor není relevantní pro</w:t>
            </w:r>
            <w:r w:rsidR="002A17CF">
              <w:rPr>
                <w:rFonts w:asciiTheme="minorHAnsi" w:hAnsiTheme="minorHAnsi" w:cstheme="minorHAnsi"/>
                <w:sz w:val="22"/>
                <w:szCs w:val="22"/>
              </w:rPr>
              <w:t xml:space="preserve"> intervence OP PIK.</w:t>
            </w:r>
            <w:r w:rsidR="00DA7CD2">
              <w:rPr>
                <w:rFonts w:asciiTheme="minorHAnsi" w:hAnsiTheme="minorHAnsi" w:cstheme="minorHAnsi"/>
                <w:sz w:val="22"/>
                <w:szCs w:val="22"/>
              </w:rPr>
              <w:t xml:space="preserve"> V případě l</w:t>
            </w:r>
            <w:r w:rsidR="002A17CF">
              <w:rPr>
                <w:rFonts w:asciiTheme="minorHAnsi" w:hAnsiTheme="minorHAnsi" w:cstheme="minorHAnsi"/>
                <w:sz w:val="22"/>
                <w:szCs w:val="22"/>
              </w:rPr>
              <w:t>iniov</w:t>
            </w:r>
            <w:r w:rsidR="00DA7CD2">
              <w:rPr>
                <w:rFonts w:asciiTheme="minorHAnsi" w:hAnsiTheme="minorHAnsi" w:cstheme="minorHAnsi"/>
                <w:sz w:val="22"/>
                <w:szCs w:val="22"/>
              </w:rPr>
              <w:t>ých projektů</w:t>
            </w:r>
            <w:r w:rsidR="002A17CF">
              <w:rPr>
                <w:rFonts w:asciiTheme="minorHAnsi" w:hAnsiTheme="minorHAnsi" w:cstheme="minorHAnsi"/>
                <w:sz w:val="22"/>
                <w:szCs w:val="22"/>
              </w:rPr>
              <w:t xml:space="preserve"> (např. v SC 4.1 či v PO3) </w:t>
            </w:r>
            <w:r w:rsidR="00DA7CD2">
              <w:rPr>
                <w:rFonts w:asciiTheme="minorHAnsi" w:hAnsiTheme="minorHAnsi" w:cstheme="minorHAnsi"/>
                <w:sz w:val="22"/>
                <w:szCs w:val="22"/>
              </w:rPr>
              <w:t>dojde pouze k dočasné fragmentaci krajiny (např. výkopy pro položení optických kabelů v případě vysokorychlostního přístupu k internetu). Nejde o trvalý dopad intervence.</w:t>
            </w:r>
          </w:p>
          <w:p w:rsidR="00DA7CD2" w:rsidRDefault="00DA7CD2" w:rsidP="002A17CF">
            <w:pPr>
              <w:jc w:val="both"/>
              <w:rPr>
                <w:rFonts w:asciiTheme="minorHAnsi" w:hAnsiTheme="minorHAnsi" w:cstheme="minorHAnsi"/>
                <w:sz w:val="22"/>
                <w:szCs w:val="22"/>
              </w:rPr>
            </w:pPr>
            <w:r>
              <w:rPr>
                <w:rFonts w:asciiTheme="minorHAnsi" w:hAnsiTheme="minorHAnsi" w:cstheme="minorHAnsi"/>
                <w:sz w:val="22"/>
                <w:szCs w:val="22"/>
              </w:rPr>
              <w:t xml:space="preserve">Vedle toho je </w:t>
            </w:r>
            <w:r w:rsidRPr="006277CF">
              <w:rPr>
                <w:rFonts w:asciiTheme="minorHAnsi" w:hAnsiTheme="minorHAnsi" w:cstheme="minorHAnsi"/>
                <w:sz w:val="22"/>
                <w:szCs w:val="22"/>
              </w:rPr>
              <w:t>oblast</w:t>
            </w:r>
            <w:r>
              <w:rPr>
                <w:rFonts w:asciiTheme="minorHAnsi" w:hAnsiTheme="minorHAnsi" w:cstheme="minorHAnsi"/>
                <w:sz w:val="22"/>
                <w:szCs w:val="22"/>
              </w:rPr>
              <w:t xml:space="preserve"> „Půda a horninové prostředí“ již sledována</w:t>
            </w:r>
            <w:r w:rsidRPr="006277CF">
              <w:rPr>
                <w:rFonts w:asciiTheme="minorHAnsi" w:hAnsiTheme="minorHAnsi" w:cstheme="minorHAnsi"/>
                <w:sz w:val="22"/>
                <w:szCs w:val="22"/>
              </w:rPr>
              <w:t xml:space="preserve"> </w:t>
            </w:r>
            <w:r>
              <w:rPr>
                <w:rFonts w:asciiTheme="minorHAnsi" w:hAnsiTheme="minorHAnsi" w:cstheme="minorHAnsi"/>
                <w:sz w:val="22"/>
                <w:szCs w:val="22"/>
              </w:rPr>
              <w:t xml:space="preserve">v SC 2.3 prostřednictvím environmentálního indikátoru </w:t>
            </w:r>
            <w:r w:rsidRPr="006277CF">
              <w:rPr>
                <w:rFonts w:asciiTheme="minorHAnsi" w:hAnsiTheme="minorHAnsi" w:cstheme="minorHAnsi"/>
                <w:sz w:val="22"/>
                <w:szCs w:val="22"/>
              </w:rPr>
              <w:t>„Rozšířené, zrekonstruované nebo nově vybudované kapacity bez záboru zemědělského půdního fondu“</w:t>
            </w:r>
            <w:r>
              <w:rPr>
                <w:rFonts w:asciiTheme="minorHAnsi" w:hAnsiTheme="minorHAnsi" w:cstheme="minorHAnsi"/>
                <w:sz w:val="22"/>
                <w:szCs w:val="22"/>
              </w:rPr>
              <w:t>.</w:t>
            </w:r>
          </w:p>
          <w:p w:rsidR="00084CCB" w:rsidRPr="0078103E" w:rsidRDefault="003311B6" w:rsidP="003311B6">
            <w:pPr>
              <w:jc w:val="both"/>
              <w:rPr>
                <w:rFonts w:asciiTheme="minorHAnsi" w:hAnsiTheme="minorHAnsi" w:cstheme="minorHAnsi"/>
                <w:sz w:val="22"/>
                <w:szCs w:val="22"/>
              </w:rPr>
            </w:pPr>
            <w:r>
              <w:rPr>
                <w:rFonts w:asciiTheme="minorHAnsi" w:hAnsiTheme="minorHAnsi" w:cstheme="minorHAnsi"/>
                <w:sz w:val="22"/>
                <w:szCs w:val="22"/>
              </w:rPr>
              <w:t>Obecně platí, že v</w:t>
            </w:r>
            <w:r w:rsidR="002A17CF">
              <w:rPr>
                <w:rFonts w:asciiTheme="minorHAnsi" w:hAnsiTheme="minorHAnsi" w:cstheme="minorHAnsi"/>
                <w:sz w:val="22"/>
                <w:szCs w:val="22"/>
              </w:rPr>
              <w:t xml:space="preserve"> OP PIK jsou zohledněny relevantní environmentální indikátory, </w:t>
            </w:r>
            <w:r w:rsidR="002A17CF" w:rsidRPr="002A17CF">
              <w:rPr>
                <w:rFonts w:asciiTheme="minorHAnsi" w:hAnsiTheme="minorHAnsi" w:cstheme="minorHAnsi"/>
                <w:sz w:val="22"/>
                <w:szCs w:val="22"/>
              </w:rPr>
              <w:t xml:space="preserve">na nichž </w:t>
            </w:r>
            <w:r w:rsidR="002A17CF">
              <w:rPr>
                <w:rFonts w:asciiTheme="minorHAnsi" w:hAnsiTheme="minorHAnsi" w:cstheme="minorHAnsi"/>
                <w:sz w:val="22"/>
                <w:szCs w:val="22"/>
              </w:rPr>
              <w:t xml:space="preserve">se </w:t>
            </w:r>
            <w:r w:rsidR="002A17CF" w:rsidRPr="002A17CF">
              <w:rPr>
                <w:rFonts w:asciiTheme="minorHAnsi" w:hAnsiTheme="minorHAnsi" w:cstheme="minorHAnsi"/>
                <w:sz w:val="22"/>
                <w:szCs w:val="22"/>
              </w:rPr>
              <w:t xml:space="preserve">řídící orgány </w:t>
            </w:r>
            <w:r w:rsidR="002A17CF">
              <w:rPr>
                <w:rFonts w:asciiTheme="minorHAnsi" w:hAnsiTheme="minorHAnsi" w:cstheme="minorHAnsi"/>
                <w:sz w:val="22"/>
                <w:szCs w:val="22"/>
              </w:rPr>
              <w:t>dohodly</w:t>
            </w:r>
            <w:r w:rsidR="002A17CF" w:rsidRPr="002A17CF">
              <w:rPr>
                <w:rFonts w:asciiTheme="minorHAnsi" w:hAnsiTheme="minorHAnsi" w:cstheme="minorHAnsi"/>
                <w:sz w:val="22"/>
                <w:szCs w:val="22"/>
              </w:rPr>
              <w:t xml:space="preserve"> s MŽP a </w:t>
            </w:r>
            <w:r w:rsidR="002A17CF">
              <w:rPr>
                <w:rFonts w:asciiTheme="minorHAnsi" w:hAnsiTheme="minorHAnsi" w:cstheme="minorHAnsi"/>
                <w:sz w:val="22"/>
                <w:szCs w:val="22"/>
              </w:rPr>
              <w:t xml:space="preserve">Národním orgánem pro koordinaci. Tyto indikátory budou </w:t>
            </w:r>
            <w:r w:rsidR="002A17CF" w:rsidRPr="002A17CF">
              <w:rPr>
                <w:rFonts w:asciiTheme="minorHAnsi" w:hAnsiTheme="minorHAnsi" w:cstheme="minorHAnsi"/>
                <w:sz w:val="22"/>
                <w:szCs w:val="22"/>
              </w:rPr>
              <w:t>ve všech relevantních programech</w:t>
            </w:r>
            <w:r w:rsidR="002A17CF">
              <w:rPr>
                <w:rFonts w:asciiTheme="minorHAnsi" w:hAnsiTheme="minorHAnsi" w:cstheme="minorHAnsi"/>
                <w:sz w:val="22"/>
                <w:szCs w:val="22"/>
              </w:rPr>
              <w:t xml:space="preserve"> sledovány</w:t>
            </w:r>
            <w:r w:rsidR="002A17CF" w:rsidRPr="002A17CF">
              <w:rPr>
                <w:rFonts w:asciiTheme="minorHAnsi" w:hAnsiTheme="minorHAnsi" w:cstheme="minorHAnsi"/>
                <w:sz w:val="22"/>
                <w:szCs w:val="22"/>
              </w:rPr>
              <w:t xml:space="preserve"> jednotně</w:t>
            </w:r>
            <w:r w:rsidR="002A17CF">
              <w:rPr>
                <w:rFonts w:asciiTheme="minorHAnsi" w:hAnsiTheme="minorHAnsi" w:cstheme="minorHAnsi"/>
                <w:sz w:val="22"/>
                <w:szCs w:val="22"/>
              </w:rPr>
              <w:t xml:space="preserve">, </w:t>
            </w:r>
            <w:r w:rsidR="002A17CF" w:rsidRPr="002A17CF">
              <w:rPr>
                <w:rFonts w:asciiTheme="minorHAnsi" w:hAnsiTheme="minorHAnsi" w:cstheme="minorHAnsi"/>
                <w:sz w:val="22"/>
                <w:szCs w:val="22"/>
              </w:rPr>
              <w:t>aby mohl být zajištěn souborný monitoring vlivů Dohody o partnerství na životní prostředí.</w:t>
            </w:r>
            <w:r w:rsidRPr="0078103E">
              <w:rPr>
                <w:rFonts w:asciiTheme="minorHAnsi" w:hAnsiTheme="minorHAnsi" w:cstheme="minorHAnsi"/>
                <w:sz w:val="22"/>
                <w:szCs w:val="22"/>
              </w:rPr>
              <w:t xml:space="preserve"> </w:t>
            </w:r>
          </w:p>
        </w:tc>
      </w:tr>
    </w:tbl>
    <w:p w:rsidR="00BF102A" w:rsidRPr="00622035" w:rsidRDefault="00BF102A" w:rsidP="00A14B83">
      <w:pPr>
        <w:jc w:val="both"/>
        <w:rPr>
          <w:sz w:val="24"/>
        </w:rPr>
      </w:pPr>
    </w:p>
    <w:sectPr w:rsidR="00BF102A" w:rsidRPr="00622035" w:rsidSect="00391A2B">
      <w:footerReference w:type="default" r:id="rId9"/>
      <w:pgSz w:w="11906" w:h="16838"/>
      <w:pgMar w:top="1304" w:right="1418" w:bottom="1361"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AC4" w:rsidRDefault="006B6AC4" w:rsidP="007E5FC3">
      <w:r>
        <w:separator/>
      </w:r>
    </w:p>
  </w:endnote>
  <w:endnote w:type="continuationSeparator" w:id="0">
    <w:p w:rsidR="006B6AC4" w:rsidRDefault="006B6AC4" w:rsidP="007E5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3762423"/>
      <w:docPartObj>
        <w:docPartGallery w:val="Page Numbers (Bottom of Page)"/>
        <w:docPartUnique/>
      </w:docPartObj>
    </w:sdtPr>
    <w:sdtEndPr/>
    <w:sdtContent>
      <w:sdt>
        <w:sdtPr>
          <w:id w:val="98381352"/>
          <w:docPartObj>
            <w:docPartGallery w:val="Page Numbers (Top of Page)"/>
            <w:docPartUnique/>
          </w:docPartObj>
        </w:sdtPr>
        <w:sdtEndPr/>
        <w:sdtContent>
          <w:p w:rsidR="00850E03" w:rsidRPr="00A060C0" w:rsidRDefault="00850E03" w:rsidP="00A060C0">
            <w:pPr>
              <w:pStyle w:val="Zpat"/>
              <w:jc w:val="center"/>
            </w:pPr>
            <w:r w:rsidRPr="00A060C0">
              <w:rPr>
                <w:bCs/>
                <w:sz w:val="24"/>
                <w:szCs w:val="24"/>
              </w:rPr>
              <w:fldChar w:fldCharType="begin"/>
            </w:r>
            <w:r w:rsidRPr="00A060C0">
              <w:rPr>
                <w:bCs/>
              </w:rPr>
              <w:instrText>PAGE</w:instrText>
            </w:r>
            <w:r w:rsidRPr="00A060C0">
              <w:rPr>
                <w:bCs/>
                <w:sz w:val="24"/>
                <w:szCs w:val="24"/>
              </w:rPr>
              <w:fldChar w:fldCharType="separate"/>
            </w:r>
            <w:r w:rsidR="002C2404">
              <w:rPr>
                <w:bCs/>
                <w:noProof/>
              </w:rPr>
              <w:t>4</w:t>
            </w:r>
            <w:r w:rsidRPr="00A060C0">
              <w:rPr>
                <w:bCs/>
                <w:sz w:val="24"/>
                <w:szCs w:val="24"/>
              </w:rPr>
              <w:fldChar w:fldCharType="end"/>
            </w:r>
            <w:r w:rsidRPr="00A060C0">
              <w:rPr>
                <w:bCs/>
                <w:sz w:val="24"/>
                <w:szCs w:val="24"/>
              </w:rPr>
              <w:t>/</w:t>
            </w:r>
            <w:r w:rsidRPr="00A060C0">
              <w:rPr>
                <w:bCs/>
                <w:sz w:val="24"/>
                <w:szCs w:val="24"/>
              </w:rPr>
              <w:fldChar w:fldCharType="begin"/>
            </w:r>
            <w:r w:rsidRPr="00A060C0">
              <w:rPr>
                <w:bCs/>
              </w:rPr>
              <w:instrText>NUMPAGES</w:instrText>
            </w:r>
            <w:r w:rsidRPr="00A060C0">
              <w:rPr>
                <w:bCs/>
                <w:sz w:val="24"/>
                <w:szCs w:val="24"/>
              </w:rPr>
              <w:fldChar w:fldCharType="separate"/>
            </w:r>
            <w:r w:rsidR="002C2404">
              <w:rPr>
                <w:bCs/>
                <w:noProof/>
              </w:rPr>
              <w:t>8</w:t>
            </w:r>
            <w:r w:rsidRPr="00A060C0">
              <w:rPr>
                <w:bCs/>
                <w:sz w:val="24"/>
                <w:szCs w:val="24"/>
              </w:rPr>
              <w:fldChar w:fldCharType="end"/>
            </w:r>
          </w:p>
        </w:sdtContent>
      </w:sdt>
    </w:sdtContent>
  </w:sdt>
  <w:p w:rsidR="00850E03" w:rsidRDefault="00850E0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AC4" w:rsidRDefault="006B6AC4" w:rsidP="007E5FC3">
      <w:r>
        <w:separator/>
      </w:r>
    </w:p>
  </w:footnote>
  <w:footnote w:type="continuationSeparator" w:id="0">
    <w:p w:rsidR="006B6AC4" w:rsidRDefault="006B6AC4" w:rsidP="007E5FC3">
      <w:r>
        <w:continuationSeparator/>
      </w:r>
    </w:p>
  </w:footnote>
  <w:footnote w:id="1">
    <w:p w:rsidR="00850E03" w:rsidRDefault="00850E03">
      <w:pPr>
        <w:pStyle w:val="Textpoznpodarou"/>
      </w:pPr>
      <w:r>
        <w:rPr>
          <w:rStyle w:val="Znakapoznpodarou"/>
        </w:rPr>
        <w:footnoteRef/>
      </w:r>
      <w:r>
        <w:t xml:space="preserve"> </w:t>
      </w:r>
      <w:r w:rsidR="003E1A9A">
        <w:t xml:space="preserve">Odkazy na kapitoly v netechnickém shrnutí směřují do dokumentu </w:t>
      </w:r>
      <w:r w:rsidR="003E1A9A" w:rsidRPr="003E1A9A">
        <w:t>vyhodnocení vlivů OP PIK na životní prostředí</w:t>
      </w:r>
      <w:r w:rsidR="003E1A9A">
        <w:t xml:space="preserve">. </w:t>
      </w:r>
      <w:r w:rsidR="003E1A9A" w:rsidRPr="003E1A9A">
        <w:t>Kompletní vyhodnocení koncepce je k nahlédnutí v informačním systému SEA na http://portal.cenia.cz/eiasea/detail/SEA_MZP160K.</w:t>
      </w:r>
    </w:p>
  </w:footnote>
  <w:footnote w:id="2">
    <w:p w:rsidR="00850E03" w:rsidRDefault="00850E03">
      <w:pPr>
        <w:pStyle w:val="Textpoznpodarou"/>
      </w:pPr>
      <w:r>
        <w:rPr>
          <w:rStyle w:val="Znakapoznpodarou"/>
        </w:rPr>
        <w:footnoteRef/>
      </w:r>
      <w:r>
        <w:t xml:space="preserve"> </w:t>
      </w:r>
      <w:r w:rsidRPr="00DB6F45">
        <w:t xml:space="preserve">Viz zápis z veřejného projednání, který lze nalézt v informačním systému SEA na </w:t>
      </w:r>
      <w:hyperlink r:id="rId1" w:history="1">
        <w:r w:rsidRPr="00DB6F45">
          <w:t>http://portal.cenia.cz/eiasea/detail/SEA_MZP160K</w:t>
        </w:r>
      </w:hyperlink>
      <w:r>
        <w:t>.</w:t>
      </w:r>
    </w:p>
  </w:footnote>
  <w:footnote w:id="3">
    <w:p w:rsidR="00850E03" w:rsidRDefault="00850E03">
      <w:pPr>
        <w:pStyle w:val="Textpoznpodarou"/>
      </w:pPr>
      <w:r>
        <w:rPr>
          <w:rStyle w:val="Znakapoznpodarou"/>
        </w:rPr>
        <w:footnoteRef/>
      </w:r>
      <w:r>
        <w:t xml:space="preserve"> </w:t>
      </w:r>
      <w:r w:rsidRPr="0066162F">
        <w:t xml:space="preserve">Vypořádání veškerých došlých vyjádření a připomínek k návrhu OP PIK i k jeho vyhodnocení je k dispozici </w:t>
      </w:r>
      <w:r>
        <w:t xml:space="preserve">na </w:t>
      </w:r>
      <w:r w:rsidRPr="0066162F">
        <w:t>http://www.mpo.cz/dokument150835.html</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8422F"/>
    <w:multiLevelType w:val="hybridMultilevel"/>
    <w:tmpl w:val="2A3825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A3B0DB7"/>
    <w:multiLevelType w:val="hybridMultilevel"/>
    <w:tmpl w:val="B5BC9A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D80781A"/>
    <w:multiLevelType w:val="hybridMultilevel"/>
    <w:tmpl w:val="D7067AF0"/>
    <w:lvl w:ilvl="0" w:tplc="A804169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E2A66EC"/>
    <w:multiLevelType w:val="hybridMultilevel"/>
    <w:tmpl w:val="E7C896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9822228"/>
    <w:multiLevelType w:val="hybridMultilevel"/>
    <w:tmpl w:val="4282D2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BD41CB0"/>
    <w:multiLevelType w:val="hybridMultilevel"/>
    <w:tmpl w:val="1FE86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E35478C"/>
    <w:multiLevelType w:val="hybridMultilevel"/>
    <w:tmpl w:val="8FFA1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508B32D4"/>
    <w:multiLevelType w:val="hybridMultilevel"/>
    <w:tmpl w:val="54280D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4E351BD"/>
    <w:multiLevelType w:val="hybridMultilevel"/>
    <w:tmpl w:val="08C617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55486222"/>
    <w:multiLevelType w:val="hybridMultilevel"/>
    <w:tmpl w:val="2214A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9282C4D"/>
    <w:multiLevelType w:val="hybridMultilevel"/>
    <w:tmpl w:val="C5ACFC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60B55A00"/>
    <w:multiLevelType w:val="hybridMultilevel"/>
    <w:tmpl w:val="07440776"/>
    <w:lvl w:ilvl="0" w:tplc="1556F2CC">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7D057F48"/>
    <w:multiLevelType w:val="hybridMultilevel"/>
    <w:tmpl w:val="74EE6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9"/>
  </w:num>
  <w:num w:numId="4">
    <w:abstractNumId w:val="6"/>
  </w:num>
  <w:num w:numId="5">
    <w:abstractNumId w:val="12"/>
  </w:num>
  <w:num w:numId="6">
    <w:abstractNumId w:val="10"/>
  </w:num>
  <w:num w:numId="7">
    <w:abstractNumId w:val="3"/>
  </w:num>
  <w:num w:numId="8">
    <w:abstractNumId w:val="1"/>
  </w:num>
  <w:num w:numId="9">
    <w:abstractNumId w:val="0"/>
  </w:num>
  <w:num w:numId="10">
    <w:abstractNumId w:val="8"/>
  </w:num>
  <w:num w:numId="11">
    <w:abstractNumId w:val="4"/>
  </w:num>
  <w:num w:numId="12">
    <w:abstractNumId w:val="7"/>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E0F"/>
    <w:rsid w:val="000524FE"/>
    <w:rsid w:val="00084CCB"/>
    <w:rsid w:val="000A11C0"/>
    <w:rsid w:val="000F4429"/>
    <w:rsid w:val="000F74EB"/>
    <w:rsid w:val="001157E9"/>
    <w:rsid w:val="001432D2"/>
    <w:rsid w:val="00146883"/>
    <w:rsid w:val="00186DA6"/>
    <w:rsid w:val="002877DC"/>
    <w:rsid w:val="002A17CF"/>
    <w:rsid w:val="002A4A28"/>
    <w:rsid w:val="002C2404"/>
    <w:rsid w:val="00304AE7"/>
    <w:rsid w:val="00330D72"/>
    <w:rsid w:val="003311B6"/>
    <w:rsid w:val="00373DE8"/>
    <w:rsid w:val="00391A2B"/>
    <w:rsid w:val="003A5B60"/>
    <w:rsid w:val="003B523F"/>
    <w:rsid w:val="003E1A9A"/>
    <w:rsid w:val="003F5F81"/>
    <w:rsid w:val="0041720E"/>
    <w:rsid w:val="004240E0"/>
    <w:rsid w:val="00494C65"/>
    <w:rsid w:val="004A6DE2"/>
    <w:rsid w:val="0057586D"/>
    <w:rsid w:val="005D71CB"/>
    <w:rsid w:val="00610E64"/>
    <w:rsid w:val="00622035"/>
    <w:rsid w:val="006277CF"/>
    <w:rsid w:val="00655E0F"/>
    <w:rsid w:val="0066162F"/>
    <w:rsid w:val="00677E31"/>
    <w:rsid w:val="006B6AC4"/>
    <w:rsid w:val="00712D82"/>
    <w:rsid w:val="0073117A"/>
    <w:rsid w:val="0078103E"/>
    <w:rsid w:val="00790F9A"/>
    <w:rsid w:val="007E5FC3"/>
    <w:rsid w:val="00811E29"/>
    <w:rsid w:val="00850E03"/>
    <w:rsid w:val="0088665B"/>
    <w:rsid w:val="00887D64"/>
    <w:rsid w:val="00890D8E"/>
    <w:rsid w:val="008D5801"/>
    <w:rsid w:val="009712A0"/>
    <w:rsid w:val="00997B09"/>
    <w:rsid w:val="009A72AB"/>
    <w:rsid w:val="00A060C0"/>
    <w:rsid w:val="00A14B83"/>
    <w:rsid w:val="00A543E6"/>
    <w:rsid w:val="00A6182B"/>
    <w:rsid w:val="00AA354F"/>
    <w:rsid w:val="00AC77CD"/>
    <w:rsid w:val="00AE64FF"/>
    <w:rsid w:val="00B06E3F"/>
    <w:rsid w:val="00B56D1D"/>
    <w:rsid w:val="00B658AB"/>
    <w:rsid w:val="00B71A76"/>
    <w:rsid w:val="00BD2BD3"/>
    <w:rsid w:val="00BE18F0"/>
    <w:rsid w:val="00BE6616"/>
    <w:rsid w:val="00BF102A"/>
    <w:rsid w:val="00BF6711"/>
    <w:rsid w:val="00C9511E"/>
    <w:rsid w:val="00CA5834"/>
    <w:rsid w:val="00CB534A"/>
    <w:rsid w:val="00D14224"/>
    <w:rsid w:val="00D2356F"/>
    <w:rsid w:val="00D358C6"/>
    <w:rsid w:val="00DA7CD2"/>
    <w:rsid w:val="00DB6F45"/>
    <w:rsid w:val="00E809E7"/>
    <w:rsid w:val="00EA3851"/>
    <w:rsid w:val="00EA6171"/>
    <w:rsid w:val="00EC2F68"/>
    <w:rsid w:val="00EF67BF"/>
    <w:rsid w:val="00F21EE2"/>
    <w:rsid w:val="00F3559C"/>
    <w:rsid w:val="00FC3E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overflowPunct w:val="0"/>
      <w:autoSpaceDE w:val="0"/>
      <w:autoSpaceDN w:val="0"/>
      <w:adjustRightInd w:val="0"/>
      <w:textAlignment w:val="baseline"/>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F6711"/>
    <w:pPr>
      <w:ind w:left="720"/>
      <w:contextualSpacing/>
    </w:pPr>
  </w:style>
  <w:style w:type="paragraph" w:styleId="Textpoznpodarou">
    <w:name w:val="footnote text"/>
    <w:basedOn w:val="Normln"/>
    <w:link w:val="TextpoznpodarouChar"/>
    <w:uiPriority w:val="99"/>
    <w:semiHidden/>
    <w:unhideWhenUsed/>
    <w:rsid w:val="007E5FC3"/>
  </w:style>
  <w:style w:type="character" w:customStyle="1" w:styleId="TextpoznpodarouChar">
    <w:name w:val="Text pozn. pod čarou Char"/>
    <w:basedOn w:val="Standardnpsmoodstavce"/>
    <w:link w:val="Textpoznpodarou"/>
    <w:uiPriority w:val="99"/>
    <w:semiHidden/>
    <w:rsid w:val="007E5FC3"/>
  </w:style>
  <w:style w:type="character" w:styleId="Znakapoznpodarou">
    <w:name w:val="footnote reference"/>
    <w:basedOn w:val="Standardnpsmoodstavce"/>
    <w:uiPriority w:val="99"/>
    <w:semiHidden/>
    <w:unhideWhenUsed/>
    <w:rsid w:val="007E5FC3"/>
    <w:rPr>
      <w:vertAlign w:val="superscript"/>
    </w:rPr>
  </w:style>
  <w:style w:type="paragraph" w:styleId="Zhlav">
    <w:name w:val="header"/>
    <w:basedOn w:val="Normln"/>
    <w:link w:val="ZhlavChar"/>
    <w:uiPriority w:val="99"/>
    <w:unhideWhenUsed/>
    <w:rsid w:val="00A060C0"/>
    <w:pPr>
      <w:tabs>
        <w:tab w:val="center" w:pos="4536"/>
        <w:tab w:val="right" w:pos="9072"/>
      </w:tabs>
    </w:pPr>
  </w:style>
  <w:style w:type="character" w:customStyle="1" w:styleId="ZhlavChar">
    <w:name w:val="Záhlaví Char"/>
    <w:basedOn w:val="Standardnpsmoodstavce"/>
    <w:link w:val="Zhlav"/>
    <w:uiPriority w:val="99"/>
    <w:rsid w:val="00A060C0"/>
  </w:style>
  <w:style w:type="paragraph" w:styleId="Zpat">
    <w:name w:val="footer"/>
    <w:basedOn w:val="Normln"/>
    <w:link w:val="ZpatChar"/>
    <w:uiPriority w:val="99"/>
    <w:unhideWhenUsed/>
    <w:rsid w:val="00A060C0"/>
    <w:pPr>
      <w:tabs>
        <w:tab w:val="center" w:pos="4536"/>
        <w:tab w:val="right" w:pos="9072"/>
      </w:tabs>
    </w:pPr>
  </w:style>
  <w:style w:type="character" w:customStyle="1" w:styleId="ZpatChar">
    <w:name w:val="Zápatí Char"/>
    <w:basedOn w:val="Standardnpsmoodstavce"/>
    <w:link w:val="Zpat"/>
    <w:uiPriority w:val="99"/>
    <w:rsid w:val="00A060C0"/>
  </w:style>
  <w:style w:type="character" w:styleId="Hypertextovodkaz">
    <w:name w:val="Hyperlink"/>
    <w:basedOn w:val="Standardnpsmoodstavce"/>
    <w:uiPriority w:val="99"/>
    <w:unhideWhenUsed/>
    <w:rsid w:val="0041720E"/>
    <w:rPr>
      <w:color w:val="0000FF" w:themeColor="hyperlink"/>
      <w:u w:val="single"/>
    </w:rPr>
  </w:style>
  <w:style w:type="table" w:styleId="Mkatabulky">
    <w:name w:val="Table Grid"/>
    <w:basedOn w:val="Normlntabulka"/>
    <w:uiPriority w:val="59"/>
    <w:rsid w:val="00115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A543E6"/>
    <w:rPr>
      <w:rFonts w:ascii="Tahoma" w:hAnsi="Tahoma" w:cs="Tahoma"/>
      <w:sz w:val="16"/>
      <w:szCs w:val="16"/>
    </w:rPr>
  </w:style>
  <w:style w:type="character" w:customStyle="1" w:styleId="TextbublinyChar">
    <w:name w:val="Text bubliny Char"/>
    <w:basedOn w:val="Standardnpsmoodstavce"/>
    <w:link w:val="Textbubliny"/>
    <w:uiPriority w:val="99"/>
    <w:semiHidden/>
    <w:rsid w:val="00A543E6"/>
    <w:rPr>
      <w:rFonts w:ascii="Tahoma" w:hAnsi="Tahoma" w:cs="Tahoma"/>
      <w:sz w:val="16"/>
      <w:szCs w:val="16"/>
    </w:rPr>
  </w:style>
  <w:style w:type="paragraph" w:customStyle="1" w:styleId="Default">
    <w:name w:val="Default"/>
    <w:rsid w:val="000524FE"/>
    <w:pPr>
      <w:autoSpaceDE w:val="0"/>
      <w:autoSpaceDN w:val="0"/>
      <w:adjustRightInd w:val="0"/>
    </w:pPr>
    <w:rPr>
      <w:color w:val="000000"/>
      <w:sz w:val="24"/>
      <w:szCs w:val="24"/>
    </w:rPr>
  </w:style>
  <w:style w:type="character" w:styleId="Odkaznakoment">
    <w:name w:val="annotation reference"/>
    <w:basedOn w:val="Standardnpsmoodstavce"/>
    <w:uiPriority w:val="99"/>
    <w:semiHidden/>
    <w:unhideWhenUsed/>
    <w:rsid w:val="00CB534A"/>
    <w:rPr>
      <w:sz w:val="16"/>
      <w:szCs w:val="16"/>
    </w:rPr>
  </w:style>
  <w:style w:type="paragraph" w:styleId="Textkomente">
    <w:name w:val="annotation text"/>
    <w:basedOn w:val="Normln"/>
    <w:link w:val="TextkomenteChar"/>
    <w:uiPriority w:val="99"/>
    <w:semiHidden/>
    <w:unhideWhenUsed/>
    <w:rsid w:val="00CB534A"/>
  </w:style>
  <w:style w:type="character" w:customStyle="1" w:styleId="TextkomenteChar">
    <w:name w:val="Text komentáře Char"/>
    <w:basedOn w:val="Standardnpsmoodstavce"/>
    <w:link w:val="Textkomente"/>
    <w:uiPriority w:val="99"/>
    <w:semiHidden/>
    <w:rsid w:val="00CB534A"/>
  </w:style>
  <w:style w:type="paragraph" w:styleId="Pedmtkomente">
    <w:name w:val="annotation subject"/>
    <w:basedOn w:val="Textkomente"/>
    <w:next w:val="Textkomente"/>
    <w:link w:val="PedmtkomenteChar"/>
    <w:uiPriority w:val="99"/>
    <w:semiHidden/>
    <w:unhideWhenUsed/>
    <w:rsid w:val="00CB534A"/>
    <w:rPr>
      <w:b/>
      <w:bCs/>
    </w:rPr>
  </w:style>
  <w:style w:type="character" w:customStyle="1" w:styleId="PedmtkomenteChar">
    <w:name w:val="Předmět komentáře Char"/>
    <w:basedOn w:val="TextkomenteChar"/>
    <w:link w:val="Pedmtkomente"/>
    <w:uiPriority w:val="99"/>
    <w:semiHidden/>
    <w:rsid w:val="00CB534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overflowPunct w:val="0"/>
      <w:autoSpaceDE w:val="0"/>
      <w:autoSpaceDN w:val="0"/>
      <w:adjustRightInd w:val="0"/>
      <w:textAlignment w:val="baseline"/>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F6711"/>
    <w:pPr>
      <w:ind w:left="720"/>
      <w:contextualSpacing/>
    </w:pPr>
  </w:style>
  <w:style w:type="paragraph" w:styleId="Textpoznpodarou">
    <w:name w:val="footnote text"/>
    <w:basedOn w:val="Normln"/>
    <w:link w:val="TextpoznpodarouChar"/>
    <w:uiPriority w:val="99"/>
    <w:semiHidden/>
    <w:unhideWhenUsed/>
    <w:rsid w:val="007E5FC3"/>
  </w:style>
  <w:style w:type="character" w:customStyle="1" w:styleId="TextpoznpodarouChar">
    <w:name w:val="Text pozn. pod čarou Char"/>
    <w:basedOn w:val="Standardnpsmoodstavce"/>
    <w:link w:val="Textpoznpodarou"/>
    <w:uiPriority w:val="99"/>
    <w:semiHidden/>
    <w:rsid w:val="007E5FC3"/>
  </w:style>
  <w:style w:type="character" w:styleId="Znakapoznpodarou">
    <w:name w:val="footnote reference"/>
    <w:basedOn w:val="Standardnpsmoodstavce"/>
    <w:uiPriority w:val="99"/>
    <w:semiHidden/>
    <w:unhideWhenUsed/>
    <w:rsid w:val="007E5FC3"/>
    <w:rPr>
      <w:vertAlign w:val="superscript"/>
    </w:rPr>
  </w:style>
  <w:style w:type="paragraph" w:styleId="Zhlav">
    <w:name w:val="header"/>
    <w:basedOn w:val="Normln"/>
    <w:link w:val="ZhlavChar"/>
    <w:uiPriority w:val="99"/>
    <w:unhideWhenUsed/>
    <w:rsid w:val="00A060C0"/>
    <w:pPr>
      <w:tabs>
        <w:tab w:val="center" w:pos="4536"/>
        <w:tab w:val="right" w:pos="9072"/>
      </w:tabs>
    </w:pPr>
  </w:style>
  <w:style w:type="character" w:customStyle="1" w:styleId="ZhlavChar">
    <w:name w:val="Záhlaví Char"/>
    <w:basedOn w:val="Standardnpsmoodstavce"/>
    <w:link w:val="Zhlav"/>
    <w:uiPriority w:val="99"/>
    <w:rsid w:val="00A060C0"/>
  </w:style>
  <w:style w:type="paragraph" w:styleId="Zpat">
    <w:name w:val="footer"/>
    <w:basedOn w:val="Normln"/>
    <w:link w:val="ZpatChar"/>
    <w:uiPriority w:val="99"/>
    <w:unhideWhenUsed/>
    <w:rsid w:val="00A060C0"/>
    <w:pPr>
      <w:tabs>
        <w:tab w:val="center" w:pos="4536"/>
        <w:tab w:val="right" w:pos="9072"/>
      </w:tabs>
    </w:pPr>
  </w:style>
  <w:style w:type="character" w:customStyle="1" w:styleId="ZpatChar">
    <w:name w:val="Zápatí Char"/>
    <w:basedOn w:val="Standardnpsmoodstavce"/>
    <w:link w:val="Zpat"/>
    <w:uiPriority w:val="99"/>
    <w:rsid w:val="00A060C0"/>
  </w:style>
  <w:style w:type="character" w:styleId="Hypertextovodkaz">
    <w:name w:val="Hyperlink"/>
    <w:basedOn w:val="Standardnpsmoodstavce"/>
    <w:uiPriority w:val="99"/>
    <w:unhideWhenUsed/>
    <w:rsid w:val="0041720E"/>
    <w:rPr>
      <w:color w:val="0000FF" w:themeColor="hyperlink"/>
      <w:u w:val="single"/>
    </w:rPr>
  </w:style>
  <w:style w:type="table" w:styleId="Mkatabulky">
    <w:name w:val="Table Grid"/>
    <w:basedOn w:val="Normlntabulka"/>
    <w:uiPriority w:val="59"/>
    <w:rsid w:val="00115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A543E6"/>
    <w:rPr>
      <w:rFonts w:ascii="Tahoma" w:hAnsi="Tahoma" w:cs="Tahoma"/>
      <w:sz w:val="16"/>
      <w:szCs w:val="16"/>
    </w:rPr>
  </w:style>
  <w:style w:type="character" w:customStyle="1" w:styleId="TextbublinyChar">
    <w:name w:val="Text bubliny Char"/>
    <w:basedOn w:val="Standardnpsmoodstavce"/>
    <w:link w:val="Textbubliny"/>
    <w:uiPriority w:val="99"/>
    <w:semiHidden/>
    <w:rsid w:val="00A543E6"/>
    <w:rPr>
      <w:rFonts w:ascii="Tahoma" w:hAnsi="Tahoma" w:cs="Tahoma"/>
      <w:sz w:val="16"/>
      <w:szCs w:val="16"/>
    </w:rPr>
  </w:style>
  <w:style w:type="paragraph" w:customStyle="1" w:styleId="Default">
    <w:name w:val="Default"/>
    <w:rsid w:val="000524FE"/>
    <w:pPr>
      <w:autoSpaceDE w:val="0"/>
      <w:autoSpaceDN w:val="0"/>
      <w:adjustRightInd w:val="0"/>
    </w:pPr>
    <w:rPr>
      <w:color w:val="000000"/>
      <w:sz w:val="24"/>
      <w:szCs w:val="24"/>
    </w:rPr>
  </w:style>
  <w:style w:type="character" w:styleId="Odkaznakoment">
    <w:name w:val="annotation reference"/>
    <w:basedOn w:val="Standardnpsmoodstavce"/>
    <w:uiPriority w:val="99"/>
    <w:semiHidden/>
    <w:unhideWhenUsed/>
    <w:rsid w:val="00CB534A"/>
    <w:rPr>
      <w:sz w:val="16"/>
      <w:szCs w:val="16"/>
    </w:rPr>
  </w:style>
  <w:style w:type="paragraph" w:styleId="Textkomente">
    <w:name w:val="annotation text"/>
    <w:basedOn w:val="Normln"/>
    <w:link w:val="TextkomenteChar"/>
    <w:uiPriority w:val="99"/>
    <w:semiHidden/>
    <w:unhideWhenUsed/>
    <w:rsid w:val="00CB534A"/>
  </w:style>
  <w:style w:type="character" w:customStyle="1" w:styleId="TextkomenteChar">
    <w:name w:val="Text komentáře Char"/>
    <w:basedOn w:val="Standardnpsmoodstavce"/>
    <w:link w:val="Textkomente"/>
    <w:uiPriority w:val="99"/>
    <w:semiHidden/>
    <w:rsid w:val="00CB534A"/>
  </w:style>
  <w:style w:type="paragraph" w:styleId="Pedmtkomente">
    <w:name w:val="annotation subject"/>
    <w:basedOn w:val="Textkomente"/>
    <w:next w:val="Textkomente"/>
    <w:link w:val="PedmtkomenteChar"/>
    <w:uiPriority w:val="99"/>
    <w:semiHidden/>
    <w:unhideWhenUsed/>
    <w:rsid w:val="00CB534A"/>
    <w:rPr>
      <w:b/>
      <w:bCs/>
    </w:rPr>
  </w:style>
  <w:style w:type="character" w:customStyle="1" w:styleId="PedmtkomenteChar">
    <w:name w:val="Předmět komentáře Char"/>
    <w:basedOn w:val="TextkomenteChar"/>
    <w:link w:val="Pedmtkomente"/>
    <w:uiPriority w:val="99"/>
    <w:semiHidden/>
    <w:rsid w:val="00CB534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portal.cenia.cz/eiasea/detail/SEA_MZP160K"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C3B6F-8BBB-4FAE-B62B-926BE6071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99ACB69D.dotm</Template>
  <TotalTime>1386</TotalTime>
  <Pages>8</Pages>
  <Words>5437</Words>
  <Characters>32084</Characters>
  <Application>Microsoft Office Word</Application>
  <DocSecurity>0</DocSecurity>
  <Lines>267</Lines>
  <Paragraphs>74</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37447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Ptáčník</dc:creator>
  <cp:lastModifiedBy>Martin Ptáčník</cp:lastModifiedBy>
  <cp:revision>4</cp:revision>
  <cp:lastPrinted>2014-10-29T14:13:00Z</cp:lastPrinted>
  <dcterms:created xsi:type="dcterms:W3CDTF">2014-11-03T09:13:00Z</dcterms:created>
  <dcterms:modified xsi:type="dcterms:W3CDTF">2014-11-04T09:31:00Z</dcterms:modified>
</cp:coreProperties>
</file>