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C66" w:rsidRDefault="00D71C66"/>
    <w:p w:rsidR="00752B0C" w:rsidRDefault="00752B0C"/>
    <w:p w:rsidR="00752B0C" w:rsidRDefault="00752B0C"/>
    <w:p w:rsidR="00752B0C" w:rsidRDefault="00752B0C"/>
    <w:p w:rsidR="00752B0C" w:rsidRDefault="00752B0C"/>
    <w:p w:rsidR="00752B0C" w:rsidRDefault="00752B0C"/>
    <w:p w:rsidR="00D5399B" w:rsidRDefault="00D5399B"/>
    <w:p w:rsidR="00752B0C" w:rsidRDefault="00752B0C"/>
    <w:p w:rsidR="00752B0C" w:rsidRDefault="00752B0C"/>
    <w:p w:rsidR="00752B0C" w:rsidRDefault="00752B0C"/>
    <w:p w:rsidR="00752B0C" w:rsidRDefault="00752B0C"/>
    <w:p w:rsidR="00752B0C" w:rsidRDefault="00752B0C"/>
    <w:p w:rsidR="00752B0C" w:rsidRDefault="00752B0C"/>
    <w:p w:rsidR="00752B0C" w:rsidRDefault="00752B0C"/>
    <w:p w:rsidR="00CD36D8" w:rsidRDefault="00CD36D8"/>
    <w:p w:rsidR="00752B0C" w:rsidRDefault="00752B0C"/>
    <w:p w:rsidR="00752B0C" w:rsidRDefault="00752B0C"/>
    <w:p w:rsidR="00752B0C" w:rsidRDefault="00752B0C"/>
    <w:p w:rsidR="00752B0C" w:rsidRDefault="00752B0C"/>
    <w:p w:rsidR="003F38FB" w:rsidRPr="00D5399B" w:rsidRDefault="006D4EB5" w:rsidP="00752B0C">
      <w:pPr>
        <w:jc w:val="center"/>
        <w:rPr>
          <w:b/>
          <w:sz w:val="32"/>
          <w:szCs w:val="32"/>
        </w:rPr>
      </w:pPr>
      <w:r w:rsidRPr="00D5399B">
        <w:rPr>
          <w:b/>
          <w:sz w:val="32"/>
          <w:szCs w:val="32"/>
        </w:rPr>
        <w:t xml:space="preserve">Ex-ante </w:t>
      </w:r>
      <w:r w:rsidR="00D71C66" w:rsidRPr="00D5399B">
        <w:rPr>
          <w:b/>
          <w:sz w:val="32"/>
          <w:szCs w:val="32"/>
        </w:rPr>
        <w:t>hodnocení Operačního programu Podnikání a inovace</w:t>
      </w:r>
      <w:r w:rsidRPr="00D5399B">
        <w:rPr>
          <w:b/>
          <w:sz w:val="32"/>
          <w:szCs w:val="32"/>
        </w:rPr>
        <w:t xml:space="preserve"> pro konkurenceschopnost</w:t>
      </w:r>
      <w:r w:rsidR="00D71C66" w:rsidRPr="00D5399B">
        <w:rPr>
          <w:b/>
          <w:sz w:val="32"/>
          <w:szCs w:val="32"/>
        </w:rPr>
        <w:t xml:space="preserve"> 20</w:t>
      </w:r>
      <w:r w:rsidR="00011FD3" w:rsidRPr="00D5399B">
        <w:rPr>
          <w:b/>
          <w:sz w:val="32"/>
          <w:szCs w:val="32"/>
        </w:rPr>
        <w:t>14</w:t>
      </w:r>
      <w:r w:rsidR="00486697" w:rsidRPr="00D5399B">
        <w:rPr>
          <w:b/>
          <w:sz w:val="32"/>
          <w:szCs w:val="32"/>
        </w:rPr>
        <w:t xml:space="preserve"> </w:t>
      </w:r>
      <w:r w:rsidR="00D71C66" w:rsidRPr="00D5399B">
        <w:rPr>
          <w:b/>
          <w:sz w:val="32"/>
          <w:szCs w:val="32"/>
        </w:rPr>
        <w:t>-</w:t>
      </w:r>
      <w:r w:rsidR="00486697" w:rsidRPr="00D5399B">
        <w:rPr>
          <w:b/>
          <w:sz w:val="32"/>
          <w:szCs w:val="32"/>
        </w:rPr>
        <w:t xml:space="preserve"> </w:t>
      </w:r>
      <w:r w:rsidR="00D71C66" w:rsidRPr="00D5399B">
        <w:rPr>
          <w:b/>
          <w:sz w:val="32"/>
          <w:szCs w:val="32"/>
        </w:rPr>
        <w:t>20</w:t>
      </w:r>
      <w:r w:rsidRPr="00D5399B">
        <w:rPr>
          <w:b/>
          <w:sz w:val="32"/>
          <w:szCs w:val="32"/>
        </w:rPr>
        <w:t>20</w:t>
      </w:r>
    </w:p>
    <w:p w:rsidR="00752B0C" w:rsidRDefault="00752B0C" w:rsidP="00752B0C">
      <w:pPr>
        <w:jc w:val="center"/>
      </w:pPr>
    </w:p>
    <w:p w:rsidR="00752B0C" w:rsidRDefault="00752B0C" w:rsidP="00752B0C">
      <w:pPr>
        <w:jc w:val="center"/>
      </w:pPr>
    </w:p>
    <w:p w:rsidR="00752B0C" w:rsidRDefault="00752B0C" w:rsidP="00752B0C">
      <w:pPr>
        <w:jc w:val="center"/>
      </w:pPr>
    </w:p>
    <w:p w:rsidR="00752B0C" w:rsidRPr="00D5399B" w:rsidRDefault="00752B0C" w:rsidP="00752B0C">
      <w:pPr>
        <w:jc w:val="center"/>
        <w:rPr>
          <w:sz w:val="28"/>
          <w:szCs w:val="28"/>
        </w:rPr>
      </w:pPr>
    </w:p>
    <w:p w:rsidR="00D71C66" w:rsidRPr="00D5399B" w:rsidRDefault="00E8031B" w:rsidP="00752B0C">
      <w:pPr>
        <w:jc w:val="center"/>
        <w:rPr>
          <w:sz w:val="28"/>
          <w:szCs w:val="28"/>
        </w:rPr>
      </w:pPr>
      <w:r w:rsidRPr="00D5399B">
        <w:rPr>
          <w:sz w:val="28"/>
          <w:szCs w:val="28"/>
        </w:rPr>
        <w:t>Z</w:t>
      </w:r>
      <w:r w:rsidR="006779E1" w:rsidRPr="00D5399B">
        <w:rPr>
          <w:sz w:val="28"/>
          <w:szCs w:val="28"/>
        </w:rPr>
        <w:t>ávěrečn</w:t>
      </w:r>
      <w:r w:rsidRPr="00D5399B">
        <w:rPr>
          <w:sz w:val="28"/>
          <w:szCs w:val="28"/>
        </w:rPr>
        <w:t>á</w:t>
      </w:r>
      <w:r w:rsidR="006779E1" w:rsidRPr="00D5399B">
        <w:rPr>
          <w:sz w:val="28"/>
          <w:szCs w:val="28"/>
        </w:rPr>
        <w:t xml:space="preserve"> </w:t>
      </w:r>
      <w:r w:rsidR="00D71C66" w:rsidRPr="00D5399B">
        <w:rPr>
          <w:sz w:val="28"/>
          <w:szCs w:val="28"/>
        </w:rPr>
        <w:t>zpráv</w:t>
      </w:r>
      <w:r w:rsidRPr="00D5399B">
        <w:rPr>
          <w:sz w:val="28"/>
          <w:szCs w:val="28"/>
        </w:rPr>
        <w:t>a</w:t>
      </w:r>
      <w:r w:rsidR="009C1CC3" w:rsidRPr="00D5399B">
        <w:rPr>
          <w:sz w:val="28"/>
          <w:szCs w:val="28"/>
        </w:rPr>
        <w:t xml:space="preserve"> </w:t>
      </w:r>
    </w:p>
    <w:p w:rsidR="00752B0C" w:rsidRDefault="00752B0C" w:rsidP="00752B0C">
      <w:pPr>
        <w:jc w:val="center"/>
        <w:rPr>
          <w:sz w:val="32"/>
          <w:szCs w:val="32"/>
        </w:rPr>
      </w:pPr>
    </w:p>
    <w:p w:rsidR="00752B0C" w:rsidRDefault="00752B0C" w:rsidP="00752B0C">
      <w:pPr>
        <w:jc w:val="center"/>
        <w:rPr>
          <w:sz w:val="32"/>
          <w:szCs w:val="32"/>
        </w:rPr>
      </w:pPr>
    </w:p>
    <w:p w:rsidR="00752B0C" w:rsidRDefault="00752B0C" w:rsidP="00752B0C">
      <w:pPr>
        <w:jc w:val="center"/>
        <w:rPr>
          <w:sz w:val="32"/>
          <w:szCs w:val="32"/>
        </w:rPr>
      </w:pPr>
    </w:p>
    <w:p w:rsidR="00752B0C" w:rsidRDefault="00752B0C" w:rsidP="00752B0C">
      <w:pPr>
        <w:jc w:val="center"/>
        <w:rPr>
          <w:sz w:val="32"/>
          <w:szCs w:val="32"/>
        </w:rPr>
      </w:pPr>
    </w:p>
    <w:p w:rsidR="00010002" w:rsidRDefault="00010002" w:rsidP="00752B0C">
      <w:pPr>
        <w:jc w:val="center"/>
        <w:rPr>
          <w:sz w:val="32"/>
          <w:szCs w:val="32"/>
        </w:rPr>
      </w:pPr>
    </w:p>
    <w:p w:rsidR="00752B0C" w:rsidRDefault="00752B0C" w:rsidP="00752B0C">
      <w:pPr>
        <w:jc w:val="center"/>
        <w:rPr>
          <w:sz w:val="32"/>
          <w:szCs w:val="32"/>
        </w:rPr>
      </w:pPr>
    </w:p>
    <w:p w:rsidR="00752B0C" w:rsidRDefault="00752B0C" w:rsidP="00752B0C">
      <w:pPr>
        <w:jc w:val="center"/>
        <w:rPr>
          <w:sz w:val="32"/>
          <w:szCs w:val="32"/>
        </w:rPr>
      </w:pPr>
    </w:p>
    <w:p w:rsidR="00D8687D" w:rsidRDefault="00D8687D" w:rsidP="00752B0C">
      <w:pPr>
        <w:jc w:val="center"/>
        <w:rPr>
          <w:sz w:val="32"/>
          <w:szCs w:val="32"/>
        </w:rPr>
      </w:pPr>
    </w:p>
    <w:p w:rsidR="00D8687D" w:rsidRPr="00752B0C" w:rsidRDefault="00D8687D" w:rsidP="00752B0C">
      <w:pPr>
        <w:jc w:val="center"/>
        <w:rPr>
          <w:sz w:val="32"/>
          <w:szCs w:val="32"/>
        </w:rPr>
      </w:pPr>
    </w:p>
    <w:p w:rsidR="00D71C66" w:rsidRDefault="00D71C66" w:rsidP="00752B0C">
      <w:pPr>
        <w:jc w:val="center"/>
      </w:pPr>
    </w:p>
    <w:p w:rsidR="00752B0C" w:rsidRDefault="00752B0C" w:rsidP="00752B0C">
      <w:pPr>
        <w:jc w:val="center"/>
      </w:pPr>
      <w:r>
        <w:rPr>
          <w:noProof/>
          <w:lang w:eastAsia="cs-CZ"/>
        </w:rPr>
        <w:drawing>
          <wp:inline distT="0" distB="0" distL="0" distR="0">
            <wp:extent cx="383717" cy="690690"/>
            <wp:effectExtent l="19050" t="0" r="0" b="0"/>
            <wp:docPr id="17"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8" cstate="print"/>
                    <a:srcRect/>
                    <a:stretch>
                      <a:fillRect/>
                    </a:stretch>
                  </pic:blipFill>
                  <pic:spPr bwMode="auto">
                    <a:xfrm>
                      <a:off x="0" y="0"/>
                      <a:ext cx="389885" cy="701792"/>
                    </a:xfrm>
                    <a:prstGeom prst="rect">
                      <a:avLst/>
                    </a:prstGeom>
                    <a:noFill/>
                    <a:ln w="9525">
                      <a:noFill/>
                      <a:miter lim="800000"/>
                      <a:headEnd/>
                      <a:tailEnd/>
                    </a:ln>
                  </pic:spPr>
                </pic:pic>
              </a:graphicData>
            </a:graphic>
          </wp:inline>
        </w:drawing>
      </w:r>
    </w:p>
    <w:p w:rsidR="00752B0C" w:rsidRDefault="00752B0C" w:rsidP="00752B0C">
      <w:pPr>
        <w:jc w:val="center"/>
      </w:pPr>
    </w:p>
    <w:p w:rsidR="00752B0C" w:rsidRDefault="00752B0C" w:rsidP="00752B0C">
      <w:pPr>
        <w:jc w:val="center"/>
        <w:rPr>
          <w:sz w:val="24"/>
          <w:szCs w:val="24"/>
        </w:rPr>
      </w:pPr>
    </w:p>
    <w:p w:rsidR="00752B0C" w:rsidRDefault="00752B0C" w:rsidP="00752B0C">
      <w:pPr>
        <w:jc w:val="center"/>
        <w:rPr>
          <w:sz w:val="24"/>
          <w:szCs w:val="24"/>
        </w:rPr>
      </w:pPr>
    </w:p>
    <w:p w:rsidR="00010002" w:rsidRDefault="00010002" w:rsidP="00752B0C">
      <w:pPr>
        <w:jc w:val="center"/>
        <w:rPr>
          <w:sz w:val="24"/>
          <w:szCs w:val="24"/>
        </w:rPr>
      </w:pPr>
    </w:p>
    <w:p w:rsidR="00E012E2" w:rsidRDefault="00E012E2" w:rsidP="00752B0C">
      <w:pPr>
        <w:jc w:val="center"/>
        <w:rPr>
          <w:sz w:val="24"/>
          <w:szCs w:val="24"/>
        </w:rPr>
      </w:pPr>
    </w:p>
    <w:p w:rsidR="00D71C66" w:rsidRPr="00325DBD" w:rsidRDefault="009C1CC3" w:rsidP="00752B0C">
      <w:pPr>
        <w:jc w:val="center"/>
        <w:rPr>
          <w:sz w:val="22"/>
        </w:rPr>
      </w:pPr>
      <w:r>
        <w:rPr>
          <w:sz w:val="22"/>
        </w:rPr>
        <w:t>červen</w:t>
      </w:r>
      <w:r w:rsidR="006D4EB5" w:rsidRPr="00302F88">
        <w:rPr>
          <w:sz w:val="22"/>
        </w:rPr>
        <w:t xml:space="preserve"> 201</w:t>
      </w:r>
      <w:r w:rsidR="00E8031B">
        <w:rPr>
          <w:sz w:val="22"/>
        </w:rPr>
        <w:t>4</w:t>
      </w:r>
    </w:p>
    <w:p w:rsidR="00D71C66" w:rsidRDefault="00D71C66"/>
    <w:p w:rsidR="00B50F34" w:rsidRDefault="00B50F34">
      <w:pPr>
        <w:rPr>
          <w:rFonts w:ascii="Times New Roman" w:eastAsia="Times New Roman" w:hAnsi="Times New Roman" w:cs="Arial"/>
          <w:b/>
          <w:bCs/>
          <w:color w:val="000066"/>
          <w:kern w:val="32"/>
          <w:sz w:val="28"/>
          <w:szCs w:val="28"/>
        </w:rPr>
      </w:pPr>
      <w:bookmarkStart w:id="0" w:name="_Toc210708433"/>
      <w:r>
        <w:br w:type="page"/>
      </w:r>
    </w:p>
    <w:sdt>
      <w:sdtPr>
        <w:rPr>
          <w:rFonts w:ascii="Tahoma" w:eastAsiaTheme="minorHAnsi" w:hAnsi="Tahoma" w:cstheme="minorBidi"/>
          <w:b w:val="0"/>
          <w:bCs w:val="0"/>
          <w:color w:val="auto"/>
          <w:sz w:val="20"/>
          <w:szCs w:val="22"/>
        </w:rPr>
        <w:id w:val="54934645"/>
        <w:docPartObj>
          <w:docPartGallery w:val="Table of Contents"/>
          <w:docPartUnique/>
        </w:docPartObj>
      </w:sdtPr>
      <w:sdtContent>
        <w:p w:rsidR="00B50F34" w:rsidRDefault="00B50F34">
          <w:pPr>
            <w:pStyle w:val="Nadpisobsahu"/>
          </w:pPr>
          <w:r w:rsidRPr="00332838">
            <w:rPr>
              <w:rFonts w:ascii="Times New Roman" w:hAnsi="Times New Roman" w:cs="Times New Roman"/>
            </w:rPr>
            <w:t>Obsah</w:t>
          </w:r>
        </w:p>
        <w:p w:rsidR="00752B0C" w:rsidRPr="00752B0C" w:rsidRDefault="00752B0C" w:rsidP="00752B0C"/>
        <w:p w:rsidR="005F1E32" w:rsidRDefault="009E5BE4">
          <w:pPr>
            <w:pStyle w:val="Obsah2"/>
            <w:tabs>
              <w:tab w:val="right" w:leader="dot" w:pos="9060"/>
            </w:tabs>
            <w:rPr>
              <w:rFonts w:asciiTheme="minorHAnsi" w:eastAsiaTheme="minorEastAsia" w:hAnsiTheme="minorHAnsi"/>
              <w:noProof/>
              <w:sz w:val="22"/>
              <w:lang w:eastAsia="cs-CZ"/>
            </w:rPr>
          </w:pPr>
          <w:r>
            <w:fldChar w:fldCharType="begin"/>
          </w:r>
          <w:r w:rsidR="00B50F34">
            <w:instrText xml:space="preserve"> TOC \o "1-3" \h \z \u </w:instrText>
          </w:r>
          <w:r>
            <w:fldChar w:fldCharType="separate"/>
          </w:r>
          <w:hyperlink w:anchor="_Toc392583653" w:history="1">
            <w:r w:rsidR="005F1E32" w:rsidRPr="00264948">
              <w:rPr>
                <w:rStyle w:val="Hypertextovodkaz"/>
                <w:noProof/>
              </w:rPr>
              <w:t>Seznam zkratek</w:t>
            </w:r>
            <w:r w:rsidR="005F1E32">
              <w:rPr>
                <w:noProof/>
                <w:webHidden/>
              </w:rPr>
              <w:tab/>
            </w:r>
            <w:r>
              <w:rPr>
                <w:noProof/>
                <w:webHidden/>
              </w:rPr>
              <w:fldChar w:fldCharType="begin"/>
            </w:r>
            <w:r w:rsidR="005F1E32">
              <w:rPr>
                <w:noProof/>
                <w:webHidden/>
              </w:rPr>
              <w:instrText xml:space="preserve"> PAGEREF _Toc392583653 \h </w:instrText>
            </w:r>
            <w:r>
              <w:rPr>
                <w:noProof/>
                <w:webHidden/>
              </w:rPr>
            </w:r>
            <w:r>
              <w:rPr>
                <w:noProof/>
                <w:webHidden/>
              </w:rPr>
              <w:fldChar w:fldCharType="separate"/>
            </w:r>
            <w:r w:rsidR="00F21883">
              <w:rPr>
                <w:noProof/>
                <w:webHidden/>
              </w:rPr>
              <w:t>3</w:t>
            </w:r>
            <w:r>
              <w:rPr>
                <w:noProof/>
                <w:webHidden/>
              </w:rPr>
              <w:fldChar w:fldCharType="end"/>
            </w:r>
          </w:hyperlink>
        </w:p>
        <w:p w:rsidR="005F1E32" w:rsidRDefault="009E5BE4">
          <w:pPr>
            <w:pStyle w:val="Obsah1"/>
            <w:tabs>
              <w:tab w:val="left" w:pos="400"/>
              <w:tab w:val="right" w:leader="dot" w:pos="9060"/>
            </w:tabs>
            <w:rPr>
              <w:rFonts w:asciiTheme="minorHAnsi" w:eastAsiaTheme="minorEastAsia" w:hAnsiTheme="minorHAnsi"/>
              <w:noProof/>
              <w:sz w:val="22"/>
              <w:lang w:eastAsia="cs-CZ"/>
            </w:rPr>
          </w:pPr>
          <w:hyperlink w:anchor="_Toc392583654" w:history="1">
            <w:r w:rsidR="005F1E32" w:rsidRPr="00264948">
              <w:rPr>
                <w:rStyle w:val="Hypertextovodkaz"/>
                <w:noProof/>
              </w:rPr>
              <w:t>1</w:t>
            </w:r>
            <w:r w:rsidR="005F1E32">
              <w:rPr>
                <w:rFonts w:asciiTheme="minorHAnsi" w:eastAsiaTheme="minorEastAsia" w:hAnsiTheme="minorHAnsi"/>
                <w:noProof/>
                <w:sz w:val="22"/>
                <w:lang w:eastAsia="cs-CZ"/>
              </w:rPr>
              <w:tab/>
            </w:r>
            <w:r w:rsidR="005F1E32" w:rsidRPr="00264948">
              <w:rPr>
                <w:rStyle w:val="Hypertextovodkaz"/>
                <w:noProof/>
              </w:rPr>
              <w:t>Úvod</w:t>
            </w:r>
            <w:r w:rsidR="005F1E32">
              <w:rPr>
                <w:noProof/>
                <w:webHidden/>
              </w:rPr>
              <w:tab/>
            </w:r>
            <w:r>
              <w:rPr>
                <w:noProof/>
                <w:webHidden/>
              </w:rPr>
              <w:fldChar w:fldCharType="begin"/>
            </w:r>
            <w:r w:rsidR="005F1E32">
              <w:rPr>
                <w:noProof/>
                <w:webHidden/>
              </w:rPr>
              <w:instrText xml:space="preserve"> PAGEREF _Toc392583654 \h </w:instrText>
            </w:r>
            <w:r>
              <w:rPr>
                <w:noProof/>
                <w:webHidden/>
              </w:rPr>
            </w:r>
            <w:r>
              <w:rPr>
                <w:noProof/>
                <w:webHidden/>
              </w:rPr>
              <w:fldChar w:fldCharType="separate"/>
            </w:r>
            <w:r w:rsidR="00F21883">
              <w:rPr>
                <w:noProof/>
                <w:webHidden/>
              </w:rPr>
              <w:t>4</w:t>
            </w:r>
            <w:r>
              <w:rPr>
                <w:noProof/>
                <w:webHidden/>
              </w:rPr>
              <w:fldChar w:fldCharType="end"/>
            </w:r>
          </w:hyperlink>
        </w:p>
        <w:p w:rsidR="005F1E32" w:rsidRDefault="009E5BE4">
          <w:pPr>
            <w:pStyle w:val="Obsah2"/>
            <w:tabs>
              <w:tab w:val="left" w:pos="880"/>
              <w:tab w:val="right" w:leader="dot" w:pos="9060"/>
            </w:tabs>
            <w:rPr>
              <w:rFonts w:asciiTheme="minorHAnsi" w:eastAsiaTheme="minorEastAsia" w:hAnsiTheme="minorHAnsi"/>
              <w:noProof/>
              <w:sz w:val="22"/>
              <w:lang w:eastAsia="cs-CZ"/>
            </w:rPr>
          </w:pPr>
          <w:hyperlink w:anchor="_Toc392583655" w:history="1">
            <w:r w:rsidR="005F1E32" w:rsidRPr="00264948">
              <w:rPr>
                <w:rStyle w:val="Hypertextovodkaz"/>
                <w:noProof/>
              </w:rPr>
              <w:t>1.1</w:t>
            </w:r>
            <w:r w:rsidR="005F1E32">
              <w:rPr>
                <w:rFonts w:asciiTheme="minorHAnsi" w:eastAsiaTheme="minorEastAsia" w:hAnsiTheme="minorHAnsi"/>
                <w:noProof/>
                <w:sz w:val="22"/>
                <w:lang w:eastAsia="cs-CZ"/>
              </w:rPr>
              <w:tab/>
            </w:r>
            <w:r w:rsidR="005F1E32" w:rsidRPr="00264948">
              <w:rPr>
                <w:rStyle w:val="Hypertextovodkaz"/>
                <w:noProof/>
              </w:rPr>
              <w:t>Identifikace zadavatele a zhotovitele</w:t>
            </w:r>
            <w:r w:rsidR="005F1E32">
              <w:rPr>
                <w:noProof/>
                <w:webHidden/>
              </w:rPr>
              <w:tab/>
            </w:r>
            <w:r>
              <w:rPr>
                <w:noProof/>
                <w:webHidden/>
              </w:rPr>
              <w:fldChar w:fldCharType="begin"/>
            </w:r>
            <w:r w:rsidR="005F1E32">
              <w:rPr>
                <w:noProof/>
                <w:webHidden/>
              </w:rPr>
              <w:instrText xml:space="preserve"> PAGEREF _Toc392583655 \h </w:instrText>
            </w:r>
            <w:r>
              <w:rPr>
                <w:noProof/>
                <w:webHidden/>
              </w:rPr>
            </w:r>
            <w:r>
              <w:rPr>
                <w:noProof/>
                <w:webHidden/>
              </w:rPr>
              <w:fldChar w:fldCharType="separate"/>
            </w:r>
            <w:r w:rsidR="00F21883">
              <w:rPr>
                <w:noProof/>
                <w:webHidden/>
              </w:rPr>
              <w:t>4</w:t>
            </w:r>
            <w:r>
              <w:rPr>
                <w:noProof/>
                <w:webHidden/>
              </w:rPr>
              <w:fldChar w:fldCharType="end"/>
            </w:r>
          </w:hyperlink>
        </w:p>
        <w:p w:rsidR="005F1E32" w:rsidRDefault="009E5BE4">
          <w:pPr>
            <w:pStyle w:val="Obsah2"/>
            <w:tabs>
              <w:tab w:val="left" w:pos="880"/>
              <w:tab w:val="right" w:leader="dot" w:pos="9060"/>
            </w:tabs>
            <w:rPr>
              <w:rFonts w:asciiTheme="minorHAnsi" w:eastAsiaTheme="minorEastAsia" w:hAnsiTheme="minorHAnsi"/>
              <w:noProof/>
              <w:sz w:val="22"/>
              <w:lang w:eastAsia="cs-CZ"/>
            </w:rPr>
          </w:pPr>
          <w:hyperlink w:anchor="_Toc392583656" w:history="1">
            <w:r w:rsidR="005F1E32" w:rsidRPr="00264948">
              <w:rPr>
                <w:rStyle w:val="Hypertextovodkaz"/>
                <w:noProof/>
              </w:rPr>
              <w:t>1.2</w:t>
            </w:r>
            <w:r w:rsidR="005F1E32">
              <w:rPr>
                <w:rFonts w:asciiTheme="minorHAnsi" w:eastAsiaTheme="minorEastAsia" w:hAnsiTheme="minorHAnsi"/>
                <w:noProof/>
                <w:sz w:val="22"/>
                <w:lang w:eastAsia="cs-CZ"/>
              </w:rPr>
              <w:tab/>
            </w:r>
            <w:r w:rsidR="005F1E32" w:rsidRPr="00264948">
              <w:rPr>
                <w:rStyle w:val="Hypertextovodkaz"/>
                <w:noProof/>
              </w:rPr>
              <w:t>Cíl a účel této zprávy</w:t>
            </w:r>
            <w:r w:rsidR="005F1E32">
              <w:rPr>
                <w:noProof/>
                <w:webHidden/>
              </w:rPr>
              <w:tab/>
            </w:r>
            <w:r>
              <w:rPr>
                <w:noProof/>
                <w:webHidden/>
              </w:rPr>
              <w:fldChar w:fldCharType="begin"/>
            </w:r>
            <w:r w:rsidR="005F1E32">
              <w:rPr>
                <w:noProof/>
                <w:webHidden/>
              </w:rPr>
              <w:instrText xml:space="preserve"> PAGEREF _Toc392583656 \h </w:instrText>
            </w:r>
            <w:r>
              <w:rPr>
                <w:noProof/>
                <w:webHidden/>
              </w:rPr>
            </w:r>
            <w:r>
              <w:rPr>
                <w:noProof/>
                <w:webHidden/>
              </w:rPr>
              <w:fldChar w:fldCharType="separate"/>
            </w:r>
            <w:r w:rsidR="00F21883">
              <w:rPr>
                <w:noProof/>
                <w:webHidden/>
              </w:rPr>
              <w:t>4</w:t>
            </w:r>
            <w:r>
              <w:rPr>
                <w:noProof/>
                <w:webHidden/>
              </w:rPr>
              <w:fldChar w:fldCharType="end"/>
            </w:r>
          </w:hyperlink>
        </w:p>
        <w:p w:rsidR="005F1E32" w:rsidRDefault="009E5BE4">
          <w:pPr>
            <w:pStyle w:val="Obsah2"/>
            <w:tabs>
              <w:tab w:val="left" w:pos="880"/>
              <w:tab w:val="right" w:leader="dot" w:pos="9060"/>
            </w:tabs>
            <w:rPr>
              <w:rFonts w:asciiTheme="minorHAnsi" w:eastAsiaTheme="minorEastAsia" w:hAnsiTheme="minorHAnsi"/>
              <w:noProof/>
              <w:sz w:val="22"/>
              <w:lang w:eastAsia="cs-CZ"/>
            </w:rPr>
          </w:pPr>
          <w:hyperlink w:anchor="_Toc392583657" w:history="1">
            <w:r w:rsidR="005F1E32" w:rsidRPr="00264948">
              <w:rPr>
                <w:rStyle w:val="Hypertextovodkaz"/>
                <w:noProof/>
              </w:rPr>
              <w:t>1.3</w:t>
            </w:r>
            <w:r w:rsidR="005F1E32">
              <w:rPr>
                <w:rFonts w:asciiTheme="minorHAnsi" w:eastAsiaTheme="minorEastAsia" w:hAnsiTheme="minorHAnsi"/>
                <w:noProof/>
                <w:sz w:val="22"/>
                <w:lang w:eastAsia="cs-CZ"/>
              </w:rPr>
              <w:tab/>
            </w:r>
            <w:r w:rsidR="005F1E32" w:rsidRPr="00264948">
              <w:rPr>
                <w:rStyle w:val="Hypertextovodkaz"/>
                <w:noProof/>
              </w:rPr>
              <w:t>Seznam zdrojů a podkladů pro zpracování zprávy</w:t>
            </w:r>
            <w:r w:rsidR="005F1E32">
              <w:rPr>
                <w:noProof/>
                <w:webHidden/>
              </w:rPr>
              <w:tab/>
            </w:r>
            <w:r>
              <w:rPr>
                <w:noProof/>
                <w:webHidden/>
              </w:rPr>
              <w:fldChar w:fldCharType="begin"/>
            </w:r>
            <w:r w:rsidR="005F1E32">
              <w:rPr>
                <w:noProof/>
                <w:webHidden/>
              </w:rPr>
              <w:instrText xml:space="preserve"> PAGEREF _Toc392583657 \h </w:instrText>
            </w:r>
            <w:r>
              <w:rPr>
                <w:noProof/>
                <w:webHidden/>
              </w:rPr>
            </w:r>
            <w:r>
              <w:rPr>
                <w:noProof/>
                <w:webHidden/>
              </w:rPr>
              <w:fldChar w:fldCharType="separate"/>
            </w:r>
            <w:r w:rsidR="00F21883">
              <w:rPr>
                <w:noProof/>
                <w:webHidden/>
              </w:rPr>
              <w:t>4</w:t>
            </w:r>
            <w:r>
              <w:rPr>
                <w:noProof/>
                <w:webHidden/>
              </w:rPr>
              <w:fldChar w:fldCharType="end"/>
            </w:r>
          </w:hyperlink>
        </w:p>
        <w:p w:rsidR="005F1E32" w:rsidRDefault="009E5BE4">
          <w:pPr>
            <w:pStyle w:val="Obsah1"/>
            <w:tabs>
              <w:tab w:val="left" w:pos="400"/>
              <w:tab w:val="right" w:leader="dot" w:pos="9060"/>
            </w:tabs>
            <w:rPr>
              <w:rFonts w:asciiTheme="minorHAnsi" w:eastAsiaTheme="minorEastAsia" w:hAnsiTheme="minorHAnsi"/>
              <w:noProof/>
              <w:sz w:val="22"/>
              <w:lang w:eastAsia="cs-CZ"/>
            </w:rPr>
          </w:pPr>
          <w:hyperlink w:anchor="_Toc392583658" w:history="1">
            <w:r w:rsidR="005F1E32" w:rsidRPr="00264948">
              <w:rPr>
                <w:rStyle w:val="Hypertextovodkaz"/>
                <w:noProof/>
              </w:rPr>
              <w:t>2</w:t>
            </w:r>
            <w:r w:rsidR="005F1E32">
              <w:rPr>
                <w:rFonts w:asciiTheme="minorHAnsi" w:eastAsiaTheme="minorEastAsia" w:hAnsiTheme="minorHAnsi"/>
                <w:noProof/>
                <w:sz w:val="22"/>
                <w:lang w:eastAsia="cs-CZ"/>
              </w:rPr>
              <w:tab/>
            </w:r>
            <w:r w:rsidR="005F1E32" w:rsidRPr="00264948">
              <w:rPr>
                <w:rStyle w:val="Hypertextovodkaz"/>
                <w:noProof/>
              </w:rPr>
              <w:t>Východiska</w:t>
            </w:r>
            <w:r w:rsidR="005F1E32">
              <w:rPr>
                <w:noProof/>
                <w:webHidden/>
              </w:rPr>
              <w:tab/>
            </w:r>
            <w:r>
              <w:rPr>
                <w:noProof/>
                <w:webHidden/>
              </w:rPr>
              <w:fldChar w:fldCharType="begin"/>
            </w:r>
            <w:r w:rsidR="005F1E32">
              <w:rPr>
                <w:noProof/>
                <w:webHidden/>
              </w:rPr>
              <w:instrText xml:space="preserve"> PAGEREF _Toc392583658 \h </w:instrText>
            </w:r>
            <w:r>
              <w:rPr>
                <w:noProof/>
                <w:webHidden/>
              </w:rPr>
            </w:r>
            <w:r>
              <w:rPr>
                <w:noProof/>
                <w:webHidden/>
              </w:rPr>
              <w:fldChar w:fldCharType="separate"/>
            </w:r>
            <w:r w:rsidR="00F21883">
              <w:rPr>
                <w:noProof/>
                <w:webHidden/>
              </w:rPr>
              <w:t>8</w:t>
            </w:r>
            <w:r>
              <w:rPr>
                <w:noProof/>
                <w:webHidden/>
              </w:rPr>
              <w:fldChar w:fldCharType="end"/>
            </w:r>
          </w:hyperlink>
        </w:p>
        <w:p w:rsidR="005F1E32" w:rsidRDefault="009E5BE4">
          <w:pPr>
            <w:pStyle w:val="Obsah2"/>
            <w:tabs>
              <w:tab w:val="left" w:pos="880"/>
              <w:tab w:val="right" w:leader="dot" w:pos="9060"/>
            </w:tabs>
            <w:rPr>
              <w:rFonts w:asciiTheme="minorHAnsi" w:eastAsiaTheme="minorEastAsia" w:hAnsiTheme="minorHAnsi"/>
              <w:noProof/>
              <w:sz w:val="22"/>
              <w:lang w:eastAsia="cs-CZ"/>
            </w:rPr>
          </w:pPr>
          <w:hyperlink w:anchor="_Toc392583659" w:history="1">
            <w:r w:rsidR="005F1E32" w:rsidRPr="00264948">
              <w:rPr>
                <w:rStyle w:val="Hypertextovodkaz"/>
                <w:noProof/>
              </w:rPr>
              <w:t>2.1</w:t>
            </w:r>
            <w:r w:rsidR="005F1E32">
              <w:rPr>
                <w:rFonts w:asciiTheme="minorHAnsi" w:eastAsiaTheme="minorEastAsia" w:hAnsiTheme="minorHAnsi"/>
                <w:noProof/>
                <w:sz w:val="22"/>
                <w:lang w:eastAsia="cs-CZ"/>
              </w:rPr>
              <w:tab/>
            </w:r>
            <w:r w:rsidR="005F1E32" w:rsidRPr="00264948">
              <w:rPr>
                <w:rStyle w:val="Hypertextovodkaz"/>
                <w:noProof/>
              </w:rPr>
              <w:t>Cíle evaluačního projektu</w:t>
            </w:r>
            <w:r w:rsidR="005F1E32">
              <w:rPr>
                <w:noProof/>
                <w:webHidden/>
              </w:rPr>
              <w:tab/>
            </w:r>
            <w:r>
              <w:rPr>
                <w:noProof/>
                <w:webHidden/>
              </w:rPr>
              <w:fldChar w:fldCharType="begin"/>
            </w:r>
            <w:r w:rsidR="005F1E32">
              <w:rPr>
                <w:noProof/>
                <w:webHidden/>
              </w:rPr>
              <w:instrText xml:space="preserve"> PAGEREF _Toc392583659 \h </w:instrText>
            </w:r>
            <w:r>
              <w:rPr>
                <w:noProof/>
                <w:webHidden/>
              </w:rPr>
            </w:r>
            <w:r>
              <w:rPr>
                <w:noProof/>
                <w:webHidden/>
              </w:rPr>
              <w:fldChar w:fldCharType="separate"/>
            </w:r>
            <w:r w:rsidR="00F21883">
              <w:rPr>
                <w:noProof/>
                <w:webHidden/>
              </w:rPr>
              <w:t>8</w:t>
            </w:r>
            <w:r>
              <w:rPr>
                <w:noProof/>
                <w:webHidden/>
              </w:rPr>
              <w:fldChar w:fldCharType="end"/>
            </w:r>
          </w:hyperlink>
        </w:p>
        <w:p w:rsidR="005F1E32" w:rsidRDefault="009E5BE4">
          <w:pPr>
            <w:pStyle w:val="Obsah2"/>
            <w:tabs>
              <w:tab w:val="left" w:pos="880"/>
              <w:tab w:val="right" w:leader="dot" w:pos="9060"/>
            </w:tabs>
            <w:rPr>
              <w:rFonts w:asciiTheme="minorHAnsi" w:eastAsiaTheme="minorEastAsia" w:hAnsiTheme="minorHAnsi"/>
              <w:noProof/>
              <w:sz w:val="22"/>
              <w:lang w:eastAsia="cs-CZ"/>
            </w:rPr>
          </w:pPr>
          <w:hyperlink w:anchor="_Toc392583660" w:history="1">
            <w:r w:rsidR="005F1E32" w:rsidRPr="00264948">
              <w:rPr>
                <w:rStyle w:val="Hypertextovodkaz"/>
                <w:noProof/>
              </w:rPr>
              <w:t>2.2</w:t>
            </w:r>
            <w:r w:rsidR="005F1E32">
              <w:rPr>
                <w:rFonts w:asciiTheme="minorHAnsi" w:eastAsiaTheme="minorEastAsia" w:hAnsiTheme="minorHAnsi"/>
                <w:noProof/>
                <w:sz w:val="22"/>
                <w:lang w:eastAsia="cs-CZ"/>
              </w:rPr>
              <w:tab/>
            </w:r>
            <w:r w:rsidR="005F1E32" w:rsidRPr="00264948">
              <w:rPr>
                <w:rStyle w:val="Hypertextovodkaz"/>
                <w:noProof/>
              </w:rPr>
              <w:t>Průběh realizace projektu a použitá metodika</w:t>
            </w:r>
            <w:r w:rsidR="005F1E32">
              <w:rPr>
                <w:noProof/>
                <w:webHidden/>
              </w:rPr>
              <w:tab/>
            </w:r>
            <w:r>
              <w:rPr>
                <w:noProof/>
                <w:webHidden/>
              </w:rPr>
              <w:fldChar w:fldCharType="begin"/>
            </w:r>
            <w:r w:rsidR="005F1E32">
              <w:rPr>
                <w:noProof/>
                <w:webHidden/>
              </w:rPr>
              <w:instrText xml:space="preserve"> PAGEREF _Toc392583660 \h </w:instrText>
            </w:r>
            <w:r>
              <w:rPr>
                <w:noProof/>
                <w:webHidden/>
              </w:rPr>
            </w:r>
            <w:r>
              <w:rPr>
                <w:noProof/>
                <w:webHidden/>
              </w:rPr>
              <w:fldChar w:fldCharType="separate"/>
            </w:r>
            <w:r w:rsidR="00F21883">
              <w:rPr>
                <w:noProof/>
                <w:webHidden/>
              </w:rPr>
              <w:t>8</w:t>
            </w:r>
            <w:r>
              <w:rPr>
                <w:noProof/>
                <w:webHidden/>
              </w:rPr>
              <w:fldChar w:fldCharType="end"/>
            </w:r>
          </w:hyperlink>
        </w:p>
        <w:p w:rsidR="005F1E32" w:rsidRDefault="009E5BE4">
          <w:pPr>
            <w:pStyle w:val="Obsah2"/>
            <w:tabs>
              <w:tab w:val="left" w:pos="880"/>
              <w:tab w:val="right" w:leader="dot" w:pos="9060"/>
            </w:tabs>
            <w:rPr>
              <w:rFonts w:asciiTheme="minorHAnsi" w:eastAsiaTheme="minorEastAsia" w:hAnsiTheme="minorHAnsi"/>
              <w:noProof/>
              <w:sz w:val="22"/>
              <w:lang w:eastAsia="cs-CZ"/>
            </w:rPr>
          </w:pPr>
          <w:hyperlink w:anchor="_Toc392583661" w:history="1">
            <w:r w:rsidR="005F1E32" w:rsidRPr="00264948">
              <w:rPr>
                <w:rStyle w:val="Hypertextovodkaz"/>
                <w:noProof/>
              </w:rPr>
              <w:t>2.3</w:t>
            </w:r>
            <w:r w:rsidR="005F1E32">
              <w:rPr>
                <w:rFonts w:asciiTheme="minorHAnsi" w:eastAsiaTheme="minorEastAsia" w:hAnsiTheme="minorHAnsi"/>
                <w:noProof/>
                <w:sz w:val="22"/>
                <w:lang w:eastAsia="cs-CZ"/>
              </w:rPr>
              <w:tab/>
            </w:r>
            <w:r w:rsidR="005F1E32" w:rsidRPr="00264948">
              <w:rPr>
                <w:rStyle w:val="Hypertextovodkaz"/>
                <w:noProof/>
              </w:rPr>
              <w:t>Dosavadní doporučení ex-ante hodnotitele</w:t>
            </w:r>
            <w:r w:rsidR="005F1E32">
              <w:rPr>
                <w:noProof/>
                <w:webHidden/>
              </w:rPr>
              <w:tab/>
            </w:r>
            <w:r>
              <w:rPr>
                <w:noProof/>
                <w:webHidden/>
              </w:rPr>
              <w:fldChar w:fldCharType="begin"/>
            </w:r>
            <w:r w:rsidR="005F1E32">
              <w:rPr>
                <w:noProof/>
                <w:webHidden/>
              </w:rPr>
              <w:instrText xml:space="preserve"> PAGEREF _Toc392583661 \h </w:instrText>
            </w:r>
            <w:r>
              <w:rPr>
                <w:noProof/>
                <w:webHidden/>
              </w:rPr>
            </w:r>
            <w:r>
              <w:rPr>
                <w:noProof/>
                <w:webHidden/>
              </w:rPr>
              <w:fldChar w:fldCharType="separate"/>
            </w:r>
            <w:r w:rsidR="00F21883">
              <w:rPr>
                <w:noProof/>
                <w:webHidden/>
              </w:rPr>
              <w:t>10</w:t>
            </w:r>
            <w:r>
              <w:rPr>
                <w:noProof/>
                <w:webHidden/>
              </w:rPr>
              <w:fldChar w:fldCharType="end"/>
            </w:r>
          </w:hyperlink>
        </w:p>
        <w:p w:rsidR="005F1E32" w:rsidRDefault="009E5BE4">
          <w:pPr>
            <w:pStyle w:val="Obsah2"/>
            <w:tabs>
              <w:tab w:val="left" w:pos="880"/>
              <w:tab w:val="right" w:leader="dot" w:pos="9060"/>
            </w:tabs>
            <w:rPr>
              <w:rFonts w:asciiTheme="minorHAnsi" w:eastAsiaTheme="minorEastAsia" w:hAnsiTheme="minorHAnsi"/>
              <w:noProof/>
              <w:sz w:val="22"/>
              <w:lang w:eastAsia="cs-CZ"/>
            </w:rPr>
          </w:pPr>
          <w:hyperlink w:anchor="_Toc392583662" w:history="1">
            <w:r w:rsidR="005F1E32" w:rsidRPr="00264948">
              <w:rPr>
                <w:rStyle w:val="Hypertextovodkaz"/>
                <w:noProof/>
              </w:rPr>
              <w:t>2.4</w:t>
            </w:r>
            <w:r w:rsidR="005F1E32">
              <w:rPr>
                <w:rFonts w:asciiTheme="minorHAnsi" w:eastAsiaTheme="minorEastAsia" w:hAnsiTheme="minorHAnsi"/>
                <w:noProof/>
                <w:sz w:val="22"/>
                <w:lang w:eastAsia="cs-CZ"/>
              </w:rPr>
              <w:tab/>
            </w:r>
            <w:r w:rsidR="005F1E32" w:rsidRPr="00264948">
              <w:rPr>
                <w:rStyle w:val="Hypertextovodkaz"/>
                <w:noProof/>
              </w:rPr>
              <w:t>Otevřené otázky, nedořešená témata</w:t>
            </w:r>
            <w:r w:rsidR="005F1E32">
              <w:rPr>
                <w:noProof/>
                <w:webHidden/>
              </w:rPr>
              <w:tab/>
            </w:r>
            <w:r>
              <w:rPr>
                <w:noProof/>
                <w:webHidden/>
              </w:rPr>
              <w:fldChar w:fldCharType="begin"/>
            </w:r>
            <w:r w:rsidR="005F1E32">
              <w:rPr>
                <w:noProof/>
                <w:webHidden/>
              </w:rPr>
              <w:instrText xml:space="preserve"> PAGEREF _Toc392583662 \h </w:instrText>
            </w:r>
            <w:r>
              <w:rPr>
                <w:noProof/>
                <w:webHidden/>
              </w:rPr>
            </w:r>
            <w:r>
              <w:rPr>
                <w:noProof/>
                <w:webHidden/>
              </w:rPr>
              <w:fldChar w:fldCharType="separate"/>
            </w:r>
            <w:r w:rsidR="00F21883">
              <w:rPr>
                <w:noProof/>
                <w:webHidden/>
              </w:rPr>
              <w:t>11</w:t>
            </w:r>
            <w:r>
              <w:rPr>
                <w:noProof/>
                <w:webHidden/>
              </w:rPr>
              <w:fldChar w:fldCharType="end"/>
            </w:r>
          </w:hyperlink>
        </w:p>
        <w:p w:rsidR="005F1E32" w:rsidRDefault="009E5BE4">
          <w:pPr>
            <w:pStyle w:val="Obsah1"/>
            <w:tabs>
              <w:tab w:val="left" w:pos="400"/>
              <w:tab w:val="right" w:leader="dot" w:pos="9060"/>
            </w:tabs>
            <w:rPr>
              <w:rFonts w:asciiTheme="minorHAnsi" w:eastAsiaTheme="minorEastAsia" w:hAnsiTheme="minorHAnsi"/>
              <w:noProof/>
              <w:sz w:val="22"/>
              <w:lang w:eastAsia="cs-CZ"/>
            </w:rPr>
          </w:pPr>
          <w:hyperlink w:anchor="_Toc392583663" w:history="1">
            <w:r w:rsidR="005F1E32" w:rsidRPr="00264948">
              <w:rPr>
                <w:rStyle w:val="Hypertextovodkaz"/>
                <w:noProof/>
              </w:rPr>
              <w:t>3</w:t>
            </w:r>
            <w:r w:rsidR="005F1E32">
              <w:rPr>
                <w:rFonts w:asciiTheme="minorHAnsi" w:eastAsiaTheme="minorEastAsia" w:hAnsiTheme="minorHAnsi"/>
                <w:noProof/>
                <w:sz w:val="22"/>
                <w:lang w:eastAsia="cs-CZ"/>
              </w:rPr>
              <w:tab/>
            </w:r>
            <w:r w:rsidR="005F1E32" w:rsidRPr="00264948">
              <w:rPr>
                <w:rStyle w:val="Hypertextovodkaz"/>
                <w:noProof/>
              </w:rPr>
              <w:t>Celkové posouzení a zhodnocení textu programu</w:t>
            </w:r>
            <w:r w:rsidR="005F1E32">
              <w:rPr>
                <w:noProof/>
                <w:webHidden/>
              </w:rPr>
              <w:tab/>
            </w:r>
            <w:r>
              <w:rPr>
                <w:noProof/>
                <w:webHidden/>
              </w:rPr>
              <w:fldChar w:fldCharType="begin"/>
            </w:r>
            <w:r w:rsidR="005F1E32">
              <w:rPr>
                <w:noProof/>
                <w:webHidden/>
              </w:rPr>
              <w:instrText xml:space="preserve"> PAGEREF _Toc392583663 \h </w:instrText>
            </w:r>
            <w:r>
              <w:rPr>
                <w:noProof/>
                <w:webHidden/>
              </w:rPr>
            </w:r>
            <w:r>
              <w:rPr>
                <w:noProof/>
                <w:webHidden/>
              </w:rPr>
              <w:fldChar w:fldCharType="separate"/>
            </w:r>
            <w:r w:rsidR="00F21883">
              <w:rPr>
                <w:noProof/>
                <w:webHidden/>
              </w:rPr>
              <w:t>12</w:t>
            </w:r>
            <w:r>
              <w:rPr>
                <w:noProof/>
                <w:webHidden/>
              </w:rPr>
              <w:fldChar w:fldCharType="end"/>
            </w:r>
          </w:hyperlink>
        </w:p>
        <w:p w:rsidR="005F1E32" w:rsidRDefault="009E5BE4">
          <w:pPr>
            <w:pStyle w:val="Obsah1"/>
            <w:tabs>
              <w:tab w:val="left" w:pos="400"/>
              <w:tab w:val="right" w:leader="dot" w:pos="9060"/>
            </w:tabs>
            <w:rPr>
              <w:rFonts w:asciiTheme="minorHAnsi" w:eastAsiaTheme="minorEastAsia" w:hAnsiTheme="minorHAnsi"/>
              <w:noProof/>
              <w:sz w:val="22"/>
              <w:lang w:eastAsia="cs-CZ"/>
            </w:rPr>
          </w:pPr>
          <w:hyperlink w:anchor="_Toc392583664" w:history="1">
            <w:r w:rsidR="005F1E32" w:rsidRPr="00264948">
              <w:rPr>
                <w:rStyle w:val="Hypertextovodkaz"/>
                <w:noProof/>
              </w:rPr>
              <w:t>4</w:t>
            </w:r>
            <w:r w:rsidR="005F1E32">
              <w:rPr>
                <w:rFonts w:asciiTheme="minorHAnsi" w:eastAsiaTheme="minorEastAsia" w:hAnsiTheme="minorHAnsi"/>
                <w:noProof/>
                <w:sz w:val="22"/>
                <w:lang w:eastAsia="cs-CZ"/>
              </w:rPr>
              <w:tab/>
            </w:r>
            <w:r w:rsidR="005F1E32" w:rsidRPr="00264948">
              <w:rPr>
                <w:rStyle w:val="Hypertextovodkaz"/>
                <w:noProof/>
              </w:rPr>
              <w:t>Strategie programu</w:t>
            </w:r>
            <w:r w:rsidR="005F1E32">
              <w:rPr>
                <w:noProof/>
                <w:webHidden/>
              </w:rPr>
              <w:tab/>
            </w:r>
            <w:r>
              <w:rPr>
                <w:noProof/>
                <w:webHidden/>
              </w:rPr>
              <w:fldChar w:fldCharType="begin"/>
            </w:r>
            <w:r w:rsidR="005F1E32">
              <w:rPr>
                <w:noProof/>
                <w:webHidden/>
              </w:rPr>
              <w:instrText xml:space="preserve"> PAGEREF _Toc392583664 \h </w:instrText>
            </w:r>
            <w:r>
              <w:rPr>
                <w:noProof/>
                <w:webHidden/>
              </w:rPr>
            </w:r>
            <w:r>
              <w:rPr>
                <w:noProof/>
                <w:webHidden/>
              </w:rPr>
              <w:fldChar w:fldCharType="separate"/>
            </w:r>
            <w:r w:rsidR="00F21883">
              <w:rPr>
                <w:noProof/>
                <w:webHidden/>
              </w:rPr>
              <w:t>13</w:t>
            </w:r>
            <w:r>
              <w:rPr>
                <w:noProof/>
                <w:webHidden/>
              </w:rPr>
              <w:fldChar w:fldCharType="end"/>
            </w:r>
          </w:hyperlink>
        </w:p>
        <w:p w:rsidR="005F1E32" w:rsidRDefault="009E5BE4">
          <w:pPr>
            <w:pStyle w:val="Obsah2"/>
            <w:tabs>
              <w:tab w:val="left" w:pos="880"/>
              <w:tab w:val="right" w:leader="dot" w:pos="9060"/>
            </w:tabs>
            <w:rPr>
              <w:rFonts w:asciiTheme="minorHAnsi" w:eastAsiaTheme="minorEastAsia" w:hAnsiTheme="minorHAnsi"/>
              <w:noProof/>
              <w:sz w:val="22"/>
              <w:lang w:eastAsia="cs-CZ"/>
            </w:rPr>
          </w:pPr>
          <w:hyperlink w:anchor="_Toc392583665" w:history="1">
            <w:r w:rsidR="005F1E32" w:rsidRPr="00264948">
              <w:rPr>
                <w:rStyle w:val="Hypertextovodkaz"/>
                <w:noProof/>
              </w:rPr>
              <w:t>4.1</w:t>
            </w:r>
            <w:r w:rsidR="005F1E32">
              <w:rPr>
                <w:rFonts w:asciiTheme="minorHAnsi" w:eastAsiaTheme="minorEastAsia" w:hAnsiTheme="minorHAnsi"/>
                <w:noProof/>
                <w:sz w:val="22"/>
                <w:lang w:eastAsia="cs-CZ"/>
              </w:rPr>
              <w:tab/>
            </w:r>
            <w:r w:rsidR="005F1E32" w:rsidRPr="00264948">
              <w:rPr>
                <w:rStyle w:val="Hypertextovodkaz"/>
                <w:noProof/>
              </w:rPr>
              <w:t>Konzistence programových cílů</w:t>
            </w:r>
            <w:r w:rsidR="005F1E32">
              <w:rPr>
                <w:noProof/>
                <w:webHidden/>
              </w:rPr>
              <w:tab/>
            </w:r>
            <w:r>
              <w:rPr>
                <w:noProof/>
                <w:webHidden/>
              </w:rPr>
              <w:fldChar w:fldCharType="begin"/>
            </w:r>
            <w:r w:rsidR="005F1E32">
              <w:rPr>
                <w:noProof/>
                <w:webHidden/>
              </w:rPr>
              <w:instrText xml:space="preserve"> PAGEREF _Toc392583665 \h </w:instrText>
            </w:r>
            <w:r>
              <w:rPr>
                <w:noProof/>
                <w:webHidden/>
              </w:rPr>
            </w:r>
            <w:r>
              <w:rPr>
                <w:noProof/>
                <w:webHidden/>
              </w:rPr>
              <w:fldChar w:fldCharType="separate"/>
            </w:r>
            <w:r w:rsidR="00F21883">
              <w:rPr>
                <w:noProof/>
                <w:webHidden/>
              </w:rPr>
              <w:t>13</w:t>
            </w:r>
            <w:r>
              <w:rPr>
                <w:noProof/>
                <w:webHidden/>
              </w:rPr>
              <w:fldChar w:fldCharType="end"/>
            </w:r>
          </w:hyperlink>
        </w:p>
        <w:p w:rsidR="005F1E32" w:rsidRDefault="009E5BE4">
          <w:pPr>
            <w:pStyle w:val="Obsah2"/>
            <w:tabs>
              <w:tab w:val="left" w:pos="880"/>
              <w:tab w:val="right" w:leader="dot" w:pos="9060"/>
            </w:tabs>
            <w:rPr>
              <w:rFonts w:asciiTheme="minorHAnsi" w:eastAsiaTheme="minorEastAsia" w:hAnsiTheme="minorHAnsi"/>
              <w:noProof/>
              <w:sz w:val="22"/>
              <w:lang w:eastAsia="cs-CZ"/>
            </w:rPr>
          </w:pPr>
          <w:hyperlink w:anchor="_Toc392583666" w:history="1">
            <w:r w:rsidR="005F1E32" w:rsidRPr="00264948">
              <w:rPr>
                <w:rStyle w:val="Hypertextovodkaz"/>
                <w:noProof/>
              </w:rPr>
              <w:t>4.2</w:t>
            </w:r>
            <w:r w:rsidR="005F1E32">
              <w:rPr>
                <w:rFonts w:asciiTheme="minorHAnsi" w:eastAsiaTheme="minorEastAsia" w:hAnsiTheme="minorHAnsi"/>
                <w:noProof/>
                <w:sz w:val="22"/>
                <w:lang w:eastAsia="cs-CZ"/>
              </w:rPr>
              <w:tab/>
            </w:r>
            <w:r w:rsidR="005F1E32" w:rsidRPr="00264948">
              <w:rPr>
                <w:rStyle w:val="Hypertextovodkaz"/>
                <w:noProof/>
              </w:rPr>
              <w:t>Koherence</w:t>
            </w:r>
            <w:r w:rsidR="005F1E32">
              <w:rPr>
                <w:noProof/>
                <w:webHidden/>
              </w:rPr>
              <w:tab/>
            </w:r>
            <w:r>
              <w:rPr>
                <w:noProof/>
                <w:webHidden/>
              </w:rPr>
              <w:fldChar w:fldCharType="begin"/>
            </w:r>
            <w:r w:rsidR="005F1E32">
              <w:rPr>
                <w:noProof/>
                <w:webHidden/>
              </w:rPr>
              <w:instrText xml:space="preserve"> PAGEREF _Toc392583666 \h </w:instrText>
            </w:r>
            <w:r>
              <w:rPr>
                <w:noProof/>
                <w:webHidden/>
              </w:rPr>
            </w:r>
            <w:r>
              <w:rPr>
                <w:noProof/>
                <w:webHidden/>
              </w:rPr>
              <w:fldChar w:fldCharType="separate"/>
            </w:r>
            <w:r w:rsidR="00F21883">
              <w:rPr>
                <w:noProof/>
                <w:webHidden/>
              </w:rPr>
              <w:t>18</w:t>
            </w:r>
            <w:r>
              <w:rPr>
                <w:noProof/>
                <w:webHidden/>
              </w:rPr>
              <w:fldChar w:fldCharType="end"/>
            </w:r>
          </w:hyperlink>
        </w:p>
        <w:p w:rsidR="005F1E32" w:rsidRDefault="009E5BE4">
          <w:pPr>
            <w:pStyle w:val="Obsah2"/>
            <w:tabs>
              <w:tab w:val="left" w:pos="880"/>
              <w:tab w:val="right" w:leader="dot" w:pos="9060"/>
            </w:tabs>
            <w:rPr>
              <w:rFonts w:asciiTheme="minorHAnsi" w:eastAsiaTheme="minorEastAsia" w:hAnsiTheme="minorHAnsi"/>
              <w:noProof/>
              <w:sz w:val="22"/>
              <w:lang w:eastAsia="cs-CZ"/>
            </w:rPr>
          </w:pPr>
          <w:hyperlink w:anchor="_Toc392583667" w:history="1">
            <w:r w:rsidR="005F1E32" w:rsidRPr="00264948">
              <w:rPr>
                <w:rStyle w:val="Hypertextovodkaz"/>
                <w:noProof/>
              </w:rPr>
              <w:t>4.3</w:t>
            </w:r>
            <w:r w:rsidR="005F1E32">
              <w:rPr>
                <w:rFonts w:asciiTheme="minorHAnsi" w:eastAsiaTheme="minorEastAsia" w:hAnsiTheme="minorHAnsi"/>
                <w:noProof/>
                <w:sz w:val="22"/>
                <w:lang w:eastAsia="cs-CZ"/>
              </w:rPr>
              <w:tab/>
            </w:r>
            <w:r w:rsidR="005F1E32" w:rsidRPr="00264948">
              <w:rPr>
                <w:rStyle w:val="Hypertextovodkaz"/>
                <w:noProof/>
              </w:rPr>
              <w:t>Vztah mezi podporovanými akcemi, očekávanými výstupy a výsledky</w:t>
            </w:r>
            <w:r w:rsidR="005F1E32">
              <w:rPr>
                <w:noProof/>
                <w:webHidden/>
              </w:rPr>
              <w:tab/>
            </w:r>
            <w:r>
              <w:rPr>
                <w:noProof/>
                <w:webHidden/>
              </w:rPr>
              <w:fldChar w:fldCharType="begin"/>
            </w:r>
            <w:r w:rsidR="005F1E32">
              <w:rPr>
                <w:noProof/>
                <w:webHidden/>
              </w:rPr>
              <w:instrText xml:space="preserve"> PAGEREF _Toc392583667 \h </w:instrText>
            </w:r>
            <w:r>
              <w:rPr>
                <w:noProof/>
                <w:webHidden/>
              </w:rPr>
            </w:r>
            <w:r>
              <w:rPr>
                <w:noProof/>
                <w:webHidden/>
              </w:rPr>
              <w:fldChar w:fldCharType="separate"/>
            </w:r>
            <w:r w:rsidR="00F21883">
              <w:rPr>
                <w:noProof/>
                <w:webHidden/>
              </w:rPr>
              <w:t>21</w:t>
            </w:r>
            <w:r>
              <w:rPr>
                <w:noProof/>
                <w:webHidden/>
              </w:rPr>
              <w:fldChar w:fldCharType="end"/>
            </w:r>
          </w:hyperlink>
        </w:p>
        <w:p w:rsidR="005F1E32" w:rsidRDefault="009E5BE4">
          <w:pPr>
            <w:pStyle w:val="Obsah2"/>
            <w:tabs>
              <w:tab w:val="left" w:pos="880"/>
              <w:tab w:val="right" w:leader="dot" w:pos="9060"/>
            </w:tabs>
            <w:rPr>
              <w:rFonts w:asciiTheme="minorHAnsi" w:eastAsiaTheme="minorEastAsia" w:hAnsiTheme="minorHAnsi"/>
              <w:noProof/>
              <w:sz w:val="22"/>
              <w:lang w:eastAsia="cs-CZ"/>
            </w:rPr>
          </w:pPr>
          <w:hyperlink w:anchor="_Toc392583668" w:history="1">
            <w:r w:rsidR="005F1E32" w:rsidRPr="00264948">
              <w:rPr>
                <w:rStyle w:val="Hypertextovodkaz"/>
                <w:noProof/>
              </w:rPr>
              <w:t>4.4</w:t>
            </w:r>
            <w:r w:rsidR="005F1E32">
              <w:rPr>
                <w:rFonts w:asciiTheme="minorHAnsi" w:eastAsiaTheme="minorEastAsia" w:hAnsiTheme="minorHAnsi"/>
                <w:noProof/>
                <w:sz w:val="22"/>
                <w:lang w:eastAsia="cs-CZ"/>
              </w:rPr>
              <w:tab/>
            </w:r>
            <w:r w:rsidR="005F1E32" w:rsidRPr="00264948">
              <w:rPr>
                <w:rStyle w:val="Hypertextovodkaz"/>
                <w:noProof/>
              </w:rPr>
              <w:t>Horizontální principy</w:t>
            </w:r>
            <w:r w:rsidR="005F1E32">
              <w:rPr>
                <w:noProof/>
                <w:webHidden/>
              </w:rPr>
              <w:tab/>
            </w:r>
            <w:r>
              <w:rPr>
                <w:noProof/>
                <w:webHidden/>
              </w:rPr>
              <w:fldChar w:fldCharType="begin"/>
            </w:r>
            <w:r w:rsidR="005F1E32">
              <w:rPr>
                <w:noProof/>
                <w:webHidden/>
              </w:rPr>
              <w:instrText xml:space="preserve"> PAGEREF _Toc392583668 \h </w:instrText>
            </w:r>
            <w:r>
              <w:rPr>
                <w:noProof/>
                <w:webHidden/>
              </w:rPr>
            </w:r>
            <w:r>
              <w:rPr>
                <w:noProof/>
                <w:webHidden/>
              </w:rPr>
              <w:fldChar w:fldCharType="separate"/>
            </w:r>
            <w:r w:rsidR="00F21883">
              <w:rPr>
                <w:noProof/>
                <w:webHidden/>
              </w:rPr>
              <w:t>27</w:t>
            </w:r>
            <w:r>
              <w:rPr>
                <w:noProof/>
                <w:webHidden/>
              </w:rPr>
              <w:fldChar w:fldCharType="end"/>
            </w:r>
          </w:hyperlink>
        </w:p>
        <w:p w:rsidR="005F1E32" w:rsidRDefault="009E5BE4">
          <w:pPr>
            <w:pStyle w:val="Obsah2"/>
            <w:tabs>
              <w:tab w:val="left" w:pos="880"/>
              <w:tab w:val="right" w:leader="dot" w:pos="9060"/>
            </w:tabs>
            <w:rPr>
              <w:rFonts w:asciiTheme="minorHAnsi" w:eastAsiaTheme="minorEastAsia" w:hAnsiTheme="minorHAnsi"/>
              <w:noProof/>
              <w:sz w:val="22"/>
              <w:lang w:eastAsia="cs-CZ"/>
            </w:rPr>
          </w:pPr>
          <w:hyperlink w:anchor="_Toc392583669" w:history="1">
            <w:r w:rsidR="005F1E32" w:rsidRPr="00264948">
              <w:rPr>
                <w:rStyle w:val="Hypertextovodkaz"/>
                <w:noProof/>
              </w:rPr>
              <w:t>4.5</w:t>
            </w:r>
            <w:r w:rsidR="005F1E32">
              <w:rPr>
                <w:rFonts w:asciiTheme="minorHAnsi" w:eastAsiaTheme="minorEastAsia" w:hAnsiTheme="minorHAnsi"/>
                <w:noProof/>
                <w:sz w:val="22"/>
                <w:lang w:eastAsia="cs-CZ"/>
              </w:rPr>
              <w:tab/>
            </w:r>
            <w:r w:rsidR="005F1E32" w:rsidRPr="00264948">
              <w:rPr>
                <w:rStyle w:val="Hypertextovodkaz"/>
                <w:noProof/>
              </w:rPr>
              <w:t>Regionální dimenze a integrované přístupy</w:t>
            </w:r>
            <w:r w:rsidR="005F1E32">
              <w:rPr>
                <w:noProof/>
                <w:webHidden/>
              </w:rPr>
              <w:tab/>
            </w:r>
            <w:r>
              <w:rPr>
                <w:noProof/>
                <w:webHidden/>
              </w:rPr>
              <w:fldChar w:fldCharType="begin"/>
            </w:r>
            <w:r w:rsidR="005F1E32">
              <w:rPr>
                <w:noProof/>
                <w:webHidden/>
              </w:rPr>
              <w:instrText xml:space="preserve"> PAGEREF _Toc392583669 \h </w:instrText>
            </w:r>
            <w:r>
              <w:rPr>
                <w:noProof/>
                <w:webHidden/>
              </w:rPr>
            </w:r>
            <w:r>
              <w:rPr>
                <w:noProof/>
                <w:webHidden/>
              </w:rPr>
              <w:fldChar w:fldCharType="separate"/>
            </w:r>
            <w:r w:rsidR="00F21883">
              <w:rPr>
                <w:noProof/>
                <w:webHidden/>
              </w:rPr>
              <w:t>27</w:t>
            </w:r>
            <w:r>
              <w:rPr>
                <w:noProof/>
                <w:webHidden/>
              </w:rPr>
              <w:fldChar w:fldCharType="end"/>
            </w:r>
          </w:hyperlink>
        </w:p>
        <w:p w:rsidR="005F1E32" w:rsidRDefault="009E5BE4">
          <w:pPr>
            <w:pStyle w:val="Obsah2"/>
            <w:tabs>
              <w:tab w:val="left" w:pos="880"/>
              <w:tab w:val="right" w:leader="dot" w:pos="9060"/>
            </w:tabs>
            <w:rPr>
              <w:rFonts w:asciiTheme="minorHAnsi" w:eastAsiaTheme="minorEastAsia" w:hAnsiTheme="minorHAnsi"/>
              <w:noProof/>
              <w:sz w:val="22"/>
              <w:lang w:eastAsia="cs-CZ"/>
            </w:rPr>
          </w:pPr>
          <w:hyperlink w:anchor="_Toc392583670" w:history="1">
            <w:r w:rsidR="005F1E32" w:rsidRPr="00264948">
              <w:rPr>
                <w:rStyle w:val="Hypertextovodkaz"/>
                <w:noProof/>
              </w:rPr>
              <w:t>4.6</w:t>
            </w:r>
            <w:r w:rsidR="005F1E32">
              <w:rPr>
                <w:rFonts w:asciiTheme="minorHAnsi" w:eastAsiaTheme="minorEastAsia" w:hAnsiTheme="minorHAnsi"/>
                <w:noProof/>
                <w:sz w:val="22"/>
                <w:lang w:eastAsia="cs-CZ"/>
              </w:rPr>
              <w:tab/>
            </w:r>
            <w:r w:rsidR="005F1E32" w:rsidRPr="00264948">
              <w:rPr>
                <w:rStyle w:val="Hypertextovodkaz"/>
                <w:noProof/>
              </w:rPr>
              <w:t>Ex-ante kondicionality</w:t>
            </w:r>
            <w:r w:rsidR="005F1E32">
              <w:rPr>
                <w:noProof/>
                <w:webHidden/>
              </w:rPr>
              <w:tab/>
            </w:r>
            <w:r>
              <w:rPr>
                <w:noProof/>
                <w:webHidden/>
              </w:rPr>
              <w:fldChar w:fldCharType="begin"/>
            </w:r>
            <w:r w:rsidR="005F1E32">
              <w:rPr>
                <w:noProof/>
                <w:webHidden/>
              </w:rPr>
              <w:instrText xml:space="preserve"> PAGEREF _Toc392583670 \h </w:instrText>
            </w:r>
            <w:r>
              <w:rPr>
                <w:noProof/>
                <w:webHidden/>
              </w:rPr>
            </w:r>
            <w:r>
              <w:rPr>
                <w:noProof/>
                <w:webHidden/>
              </w:rPr>
              <w:fldChar w:fldCharType="separate"/>
            </w:r>
            <w:r w:rsidR="00F21883">
              <w:rPr>
                <w:noProof/>
                <w:webHidden/>
              </w:rPr>
              <w:t>28</w:t>
            </w:r>
            <w:r>
              <w:rPr>
                <w:noProof/>
                <w:webHidden/>
              </w:rPr>
              <w:fldChar w:fldCharType="end"/>
            </w:r>
          </w:hyperlink>
        </w:p>
        <w:p w:rsidR="005F1E32" w:rsidRDefault="009E5BE4">
          <w:pPr>
            <w:pStyle w:val="Obsah2"/>
            <w:tabs>
              <w:tab w:val="left" w:pos="880"/>
              <w:tab w:val="right" w:leader="dot" w:pos="9060"/>
            </w:tabs>
            <w:rPr>
              <w:rFonts w:asciiTheme="minorHAnsi" w:eastAsiaTheme="minorEastAsia" w:hAnsiTheme="minorHAnsi"/>
              <w:noProof/>
              <w:sz w:val="22"/>
              <w:lang w:eastAsia="cs-CZ"/>
            </w:rPr>
          </w:pPr>
          <w:hyperlink w:anchor="_Toc392583671" w:history="1">
            <w:r w:rsidR="005F1E32" w:rsidRPr="00264948">
              <w:rPr>
                <w:rStyle w:val="Hypertextovodkaz"/>
                <w:noProof/>
              </w:rPr>
              <w:t>4.7</w:t>
            </w:r>
            <w:r w:rsidR="005F1E32">
              <w:rPr>
                <w:rFonts w:asciiTheme="minorHAnsi" w:eastAsiaTheme="minorEastAsia" w:hAnsiTheme="minorHAnsi"/>
                <w:noProof/>
                <w:sz w:val="22"/>
                <w:lang w:eastAsia="cs-CZ"/>
              </w:rPr>
              <w:tab/>
            </w:r>
            <w:r w:rsidR="005F1E32" w:rsidRPr="00264948">
              <w:rPr>
                <w:rStyle w:val="Hypertextovodkaz"/>
                <w:noProof/>
              </w:rPr>
              <w:t>Princip partnerství</w:t>
            </w:r>
            <w:r w:rsidR="005F1E32">
              <w:rPr>
                <w:noProof/>
                <w:webHidden/>
              </w:rPr>
              <w:tab/>
            </w:r>
            <w:r>
              <w:rPr>
                <w:noProof/>
                <w:webHidden/>
              </w:rPr>
              <w:fldChar w:fldCharType="begin"/>
            </w:r>
            <w:r w:rsidR="005F1E32">
              <w:rPr>
                <w:noProof/>
                <w:webHidden/>
              </w:rPr>
              <w:instrText xml:space="preserve"> PAGEREF _Toc392583671 \h </w:instrText>
            </w:r>
            <w:r>
              <w:rPr>
                <w:noProof/>
                <w:webHidden/>
              </w:rPr>
            </w:r>
            <w:r>
              <w:rPr>
                <w:noProof/>
                <w:webHidden/>
              </w:rPr>
              <w:fldChar w:fldCharType="separate"/>
            </w:r>
            <w:r w:rsidR="00F21883">
              <w:rPr>
                <w:noProof/>
                <w:webHidden/>
              </w:rPr>
              <w:t>29</w:t>
            </w:r>
            <w:r>
              <w:rPr>
                <w:noProof/>
                <w:webHidden/>
              </w:rPr>
              <w:fldChar w:fldCharType="end"/>
            </w:r>
          </w:hyperlink>
        </w:p>
        <w:p w:rsidR="005F1E32" w:rsidRDefault="009E5BE4">
          <w:pPr>
            <w:pStyle w:val="Obsah1"/>
            <w:tabs>
              <w:tab w:val="left" w:pos="400"/>
              <w:tab w:val="right" w:leader="dot" w:pos="9060"/>
            </w:tabs>
            <w:rPr>
              <w:rFonts w:asciiTheme="minorHAnsi" w:eastAsiaTheme="minorEastAsia" w:hAnsiTheme="minorHAnsi"/>
              <w:noProof/>
              <w:sz w:val="22"/>
              <w:lang w:eastAsia="cs-CZ"/>
            </w:rPr>
          </w:pPr>
          <w:hyperlink w:anchor="_Toc392583672" w:history="1">
            <w:r w:rsidR="005F1E32" w:rsidRPr="00264948">
              <w:rPr>
                <w:rStyle w:val="Hypertextovodkaz"/>
                <w:noProof/>
              </w:rPr>
              <w:t>5</w:t>
            </w:r>
            <w:r w:rsidR="005F1E32">
              <w:rPr>
                <w:rFonts w:asciiTheme="minorHAnsi" w:eastAsiaTheme="minorEastAsia" w:hAnsiTheme="minorHAnsi"/>
                <w:noProof/>
                <w:sz w:val="22"/>
                <w:lang w:eastAsia="cs-CZ"/>
              </w:rPr>
              <w:tab/>
            </w:r>
            <w:r w:rsidR="005F1E32" w:rsidRPr="00264948">
              <w:rPr>
                <w:rStyle w:val="Hypertextovodkaz"/>
                <w:noProof/>
              </w:rPr>
              <w:t>Indikátory, monitoring a evaluace</w:t>
            </w:r>
            <w:r w:rsidR="005F1E32">
              <w:rPr>
                <w:noProof/>
                <w:webHidden/>
              </w:rPr>
              <w:tab/>
            </w:r>
            <w:r>
              <w:rPr>
                <w:noProof/>
                <w:webHidden/>
              </w:rPr>
              <w:fldChar w:fldCharType="begin"/>
            </w:r>
            <w:r w:rsidR="005F1E32">
              <w:rPr>
                <w:noProof/>
                <w:webHidden/>
              </w:rPr>
              <w:instrText xml:space="preserve"> PAGEREF _Toc392583672 \h </w:instrText>
            </w:r>
            <w:r>
              <w:rPr>
                <w:noProof/>
                <w:webHidden/>
              </w:rPr>
            </w:r>
            <w:r>
              <w:rPr>
                <w:noProof/>
                <w:webHidden/>
              </w:rPr>
              <w:fldChar w:fldCharType="separate"/>
            </w:r>
            <w:r w:rsidR="00F21883">
              <w:rPr>
                <w:noProof/>
                <w:webHidden/>
              </w:rPr>
              <w:t>31</w:t>
            </w:r>
            <w:r>
              <w:rPr>
                <w:noProof/>
                <w:webHidden/>
              </w:rPr>
              <w:fldChar w:fldCharType="end"/>
            </w:r>
          </w:hyperlink>
        </w:p>
        <w:p w:rsidR="005F1E32" w:rsidRDefault="009E5BE4">
          <w:pPr>
            <w:pStyle w:val="Obsah2"/>
            <w:tabs>
              <w:tab w:val="left" w:pos="880"/>
              <w:tab w:val="right" w:leader="dot" w:pos="9060"/>
            </w:tabs>
            <w:rPr>
              <w:rFonts w:asciiTheme="minorHAnsi" w:eastAsiaTheme="minorEastAsia" w:hAnsiTheme="minorHAnsi"/>
              <w:noProof/>
              <w:sz w:val="22"/>
              <w:lang w:eastAsia="cs-CZ"/>
            </w:rPr>
          </w:pPr>
          <w:hyperlink w:anchor="_Toc392583673" w:history="1">
            <w:r w:rsidR="005F1E32" w:rsidRPr="00264948">
              <w:rPr>
                <w:rStyle w:val="Hypertextovodkaz"/>
                <w:noProof/>
              </w:rPr>
              <w:t>5.1</w:t>
            </w:r>
            <w:r w:rsidR="005F1E32">
              <w:rPr>
                <w:rFonts w:asciiTheme="minorHAnsi" w:eastAsiaTheme="minorEastAsia" w:hAnsiTheme="minorHAnsi"/>
                <w:noProof/>
                <w:sz w:val="22"/>
                <w:lang w:eastAsia="cs-CZ"/>
              </w:rPr>
              <w:tab/>
            </w:r>
            <w:r w:rsidR="005F1E32" w:rsidRPr="00264948">
              <w:rPr>
                <w:rStyle w:val="Hypertextovodkaz"/>
                <w:noProof/>
              </w:rPr>
              <w:t>Relevantnost a srozumitelnost navržených programových indikátorů</w:t>
            </w:r>
            <w:r w:rsidR="005F1E32">
              <w:rPr>
                <w:noProof/>
                <w:webHidden/>
              </w:rPr>
              <w:tab/>
            </w:r>
            <w:r>
              <w:rPr>
                <w:noProof/>
                <w:webHidden/>
              </w:rPr>
              <w:fldChar w:fldCharType="begin"/>
            </w:r>
            <w:r w:rsidR="005F1E32">
              <w:rPr>
                <w:noProof/>
                <w:webHidden/>
              </w:rPr>
              <w:instrText xml:space="preserve"> PAGEREF _Toc392583673 \h </w:instrText>
            </w:r>
            <w:r>
              <w:rPr>
                <w:noProof/>
                <w:webHidden/>
              </w:rPr>
            </w:r>
            <w:r>
              <w:rPr>
                <w:noProof/>
                <w:webHidden/>
              </w:rPr>
              <w:fldChar w:fldCharType="separate"/>
            </w:r>
            <w:r w:rsidR="00F21883">
              <w:rPr>
                <w:noProof/>
                <w:webHidden/>
              </w:rPr>
              <w:t>31</w:t>
            </w:r>
            <w:r>
              <w:rPr>
                <w:noProof/>
                <w:webHidden/>
              </w:rPr>
              <w:fldChar w:fldCharType="end"/>
            </w:r>
          </w:hyperlink>
        </w:p>
        <w:p w:rsidR="005F1E32" w:rsidRDefault="009E5BE4">
          <w:pPr>
            <w:pStyle w:val="Obsah2"/>
            <w:tabs>
              <w:tab w:val="left" w:pos="880"/>
              <w:tab w:val="right" w:leader="dot" w:pos="9060"/>
            </w:tabs>
            <w:rPr>
              <w:rFonts w:asciiTheme="minorHAnsi" w:eastAsiaTheme="minorEastAsia" w:hAnsiTheme="minorHAnsi"/>
              <w:noProof/>
              <w:sz w:val="22"/>
              <w:lang w:eastAsia="cs-CZ"/>
            </w:rPr>
          </w:pPr>
          <w:hyperlink w:anchor="_Toc392583674" w:history="1">
            <w:r w:rsidR="005F1E32" w:rsidRPr="00264948">
              <w:rPr>
                <w:rStyle w:val="Hypertextovodkaz"/>
                <w:noProof/>
              </w:rPr>
              <w:t>5.2</w:t>
            </w:r>
            <w:r w:rsidR="005F1E32">
              <w:rPr>
                <w:rFonts w:asciiTheme="minorHAnsi" w:eastAsiaTheme="minorEastAsia" w:hAnsiTheme="minorHAnsi"/>
                <w:noProof/>
                <w:sz w:val="22"/>
                <w:lang w:eastAsia="cs-CZ"/>
              </w:rPr>
              <w:tab/>
            </w:r>
            <w:r w:rsidR="005F1E32" w:rsidRPr="00264948">
              <w:rPr>
                <w:rStyle w:val="Hypertextovodkaz"/>
                <w:noProof/>
              </w:rPr>
              <w:t>Kvantifikované výchozí hodnoty a cílové hodnoty indikátorů</w:t>
            </w:r>
            <w:r w:rsidR="005F1E32">
              <w:rPr>
                <w:noProof/>
                <w:webHidden/>
              </w:rPr>
              <w:tab/>
            </w:r>
            <w:r>
              <w:rPr>
                <w:noProof/>
                <w:webHidden/>
              </w:rPr>
              <w:fldChar w:fldCharType="begin"/>
            </w:r>
            <w:r w:rsidR="005F1E32">
              <w:rPr>
                <w:noProof/>
                <w:webHidden/>
              </w:rPr>
              <w:instrText xml:space="preserve"> PAGEREF _Toc392583674 \h </w:instrText>
            </w:r>
            <w:r>
              <w:rPr>
                <w:noProof/>
                <w:webHidden/>
              </w:rPr>
            </w:r>
            <w:r>
              <w:rPr>
                <w:noProof/>
                <w:webHidden/>
              </w:rPr>
              <w:fldChar w:fldCharType="separate"/>
            </w:r>
            <w:r w:rsidR="00F21883">
              <w:rPr>
                <w:noProof/>
                <w:webHidden/>
              </w:rPr>
              <w:t>34</w:t>
            </w:r>
            <w:r>
              <w:rPr>
                <w:noProof/>
                <w:webHidden/>
              </w:rPr>
              <w:fldChar w:fldCharType="end"/>
            </w:r>
          </w:hyperlink>
        </w:p>
        <w:p w:rsidR="005F1E32" w:rsidRDefault="009E5BE4">
          <w:pPr>
            <w:pStyle w:val="Obsah2"/>
            <w:tabs>
              <w:tab w:val="left" w:pos="880"/>
              <w:tab w:val="right" w:leader="dot" w:pos="9060"/>
            </w:tabs>
            <w:rPr>
              <w:rFonts w:asciiTheme="minorHAnsi" w:eastAsiaTheme="minorEastAsia" w:hAnsiTheme="minorHAnsi"/>
              <w:noProof/>
              <w:sz w:val="22"/>
              <w:lang w:eastAsia="cs-CZ"/>
            </w:rPr>
          </w:pPr>
          <w:hyperlink w:anchor="_Toc392583675" w:history="1">
            <w:r w:rsidR="005F1E32" w:rsidRPr="00264948">
              <w:rPr>
                <w:rStyle w:val="Hypertextovodkaz"/>
                <w:noProof/>
              </w:rPr>
              <w:t>5.3</w:t>
            </w:r>
            <w:r w:rsidR="005F1E32">
              <w:rPr>
                <w:rFonts w:asciiTheme="minorHAnsi" w:eastAsiaTheme="minorEastAsia" w:hAnsiTheme="minorHAnsi"/>
                <w:noProof/>
                <w:sz w:val="22"/>
                <w:lang w:eastAsia="cs-CZ"/>
              </w:rPr>
              <w:tab/>
            </w:r>
            <w:r w:rsidR="005F1E32" w:rsidRPr="00264948">
              <w:rPr>
                <w:rStyle w:val="Hypertextovodkaz"/>
                <w:noProof/>
              </w:rPr>
              <w:t>Vhodnost stanovených milníků</w:t>
            </w:r>
            <w:r w:rsidR="005F1E32">
              <w:rPr>
                <w:noProof/>
                <w:webHidden/>
              </w:rPr>
              <w:tab/>
            </w:r>
            <w:r>
              <w:rPr>
                <w:noProof/>
                <w:webHidden/>
              </w:rPr>
              <w:fldChar w:fldCharType="begin"/>
            </w:r>
            <w:r w:rsidR="005F1E32">
              <w:rPr>
                <w:noProof/>
                <w:webHidden/>
              </w:rPr>
              <w:instrText xml:space="preserve"> PAGEREF _Toc392583675 \h </w:instrText>
            </w:r>
            <w:r>
              <w:rPr>
                <w:noProof/>
                <w:webHidden/>
              </w:rPr>
            </w:r>
            <w:r>
              <w:rPr>
                <w:noProof/>
                <w:webHidden/>
              </w:rPr>
              <w:fldChar w:fldCharType="separate"/>
            </w:r>
            <w:r w:rsidR="00F21883">
              <w:rPr>
                <w:noProof/>
                <w:webHidden/>
              </w:rPr>
              <w:t>34</w:t>
            </w:r>
            <w:r>
              <w:rPr>
                <w:noProof/>
                <w:webHidden/>
              </w:rPr>
              <w:fldChar w:fldCharType="end"/>
            </w:r>
          </w:hyperlink>
        </w:p>
        <w:p w:rsidR="005F1E32" w:rsidRDefault="009E5BE4">
          <w:pPr>
            <w:pStyle w:val="Obsah2"/>
            <w:tabs>
              <w:tab w:val="left" w:pos="880"/>
              <w:tab w:val="right" w:leader="dot" w:pos="9060"/>
            </w:tabs>
            <w:rPr>
              <w:rFonts w:asciiTheme="minorHAnsi" w:eastAsiaTheme="minorEastAsia" w:hAnsiTheme="minorHAnsi"/>
              <w:noProof/>
              <w:sz w:val="22"/>
              <w:lang w:eastAsia="cs-CZ"/>
            </w:rPr>
          </w:pPr>
          <w:hyperlink w:anchor="_Toc392583676" w:history="1">
            <w:r w:rsidR="005F1E32" w:rsidRPr="00264948">
              <w:rPr>
                <w:rStyle w:val="Hypertextovodkaz"/>
                <w:noProof/>
              </w:rPr>
              <w:t>5.4</w:t>
            </w:r>
            <w:r w:rsidR="005F1E32">
              <w:rPr>
                <w:rFonts w:asciiTheme="minorHAnsi" w:eastAsiaTheme="minorEastAsia" w:hAnsiTheme="minorHAnsi"/>
                <w:noProof/>
                <w:sz w:val="22"/>
                <w:lang w:eastAsia="cs-CZ"/>
              </w:rPr>
              <w:tab/>
            </w:r>
            <w:r w:rsidR="005F1E32" w:rsidRPr="00264948">
              <w:rPr>
                <w:rStyle w:val="Hypertextovodkaz"/>
                <w:noProof/>
              </w:rPr>
              <w:t>Administrativní kapacita, procedury sběru dat a evaluace</w:t>
            </w:r>
            <w:r w:rsidR="005F1E32">
              <w:rPr>
                <w:noProof/>
                <w:webHidden/>
              </w:rPr>
              <w:tab/>
            </w:r>
            <w:r>
              <w:rPr>
                <w:noProof/>
                <w:webHidden/>
              </w:rPr>
              <w:fldChar w:fldCharType="begin"/>
            </w:r>
            <w:r w:rsidR="005F1E32">
              <w:rPr>
                <w:noProof/>
                <w:webHidden/>
              </w:rPr>
              <w:instrText xml:space="preserve"> PAGEREF _Toc392583676 \h </w:instrText>
            </w:r>
            <w:r>
              <w:rPr>
                <w:noProof/>
                <w:webHidden/>
              </w:rPr>
            </w:r>
            <w:r>
              <w:rPr>
                <w:noProof/>
                <w:webHidden/>
              </w:rPr>
              <w:fldChar w:fldCharType="separate"/>
            </w:r>
            <w:r w:rsidR="00F21883">
              <w:rPr>
                <w:noProof/>
                <w:webHidden/>
              </w:rPr>
              <w:t>35</w:t>
            </w:r>
            <w:r>
              <w:rPr>
                <w:noProof/>
                <w:webHidden/>
              </w:rPr>
              <w:fldChar w:fldCharType="end"/>
            </w:r>
          </w:hyperlink>
        </w:p>
        <w:p w:rsidR="005F1E32" w:rsidRDefault="009E5BE4">
          <w:pPr>
            <w:pStyle w:val="Obsah1"/>
            <w:tabs>
              <w:tab w:val="left" w:pos="400"/>
              <w:tab w:val="right" w:leader="dot" w:pos="9060"/>
            </w:tabs>
            <w:rPr>
              <w:rFonts w:asciiTheme="minorHAnsi" w:eastAsiaTheme="minorEastAsia" w:hAnsiTheme="minorHAnsi"/>
              <w:noProof/>
              <w:sz w:val="22"/>
              <w:lang w:eastAsia="cs-CZ"/>
            </w:rPr>
          </w:pPr>
          <w:hyperlink w:anchor="_Toc392583677" w:history="1">
            <w:r w:rsidR="005F1E32" w:rsidRPr="00264948">
              <w:rPr>
                <w:rStyle w:val="Hypertextovodkaz"/>
                <w:noProof/>
              </w:rPr>
              <w:t>6</w:t>
            </w:r>
            <w:r w:rsidR="005F1E32">
              <w:rPr>
                <w:rFonts w:asciiTheme="minorHAnsi" w:eastAsiaTheme="minorEastAsia" w:hAnsiTheme="minorHAnsi"/>
                <w:noProof/>
                <w:sz w:val="22"/>
                <w:lang w:eastAsia="cs-CZ"/>
              </w:rPr>
              <w:tab/>
            </w:r>
            <w:r w:rsidR="005F1E32" w:rsidRPr="00264948">
              <w:rPr>
                <w:rStyle w:val="Hypertextovodkaz"/>
                <w:noProof/>
              </w:rPr>
              <w:t>Konzistence finančních alokací</w:t>
            </w:r>
            <w:r w:rsidR="005F1E32">
              <w:rPr>
                <w:noProof/>
                <w:webHidden/>
              </w:rPr>
              <w:tab/>
            </w:r>
            <w:r>
              <w:rPr>
                <w:noProof/>
                <w:webHidden/>
              </w:rPr>
              <w:fldChar w:fldCharType="begin"/>
            </w:r>
            <w:r w:rsidR="005F1E32">
              <w:rPr>
                <w:noProof/>
                <w:webHidden/>
              </w:rPr>
              <w:instrText xml:space="preserve"> PAGEREF _Toc392583677 \h </w:instrText>
            </w:r>
            <w:r>
              <w:rPr>
                <w:noProof/>
                <w:webHidden/>
              </w:rPr>
            </w:r>
            <w:r>
              <w:rPr>
                <w:noProof/>
                <w:webHidden/>
              </w:rPr>
              <w:fldChar w:fldCharType="separate"/>
            </w:r>
            <w:r w:rsidR="00F21883">
              <w:rPr>
                <w:noProof/>
                <w:webHidden/>
              </w:rPr>
              <w:t>39</w:t>
            </w:r>
            <w:r>
              <w:rPr>
                <w:noProof/>
                <w:webHidden/>
              </w:rPr>
              <w:fldChar w:fldCharType="end"/>
            </w:r>
          </w:hyperlink>
        </w:p>
        <w:p w:rsidR="005F1E32" w:rsidRDefault="009E5BE4">
          <w:pPr>
            <w:pStyle w:val="Obsah1"/>
            <w:tabs>
              <w:tab w:val="left" w:pos="400"/>
              <w:tab w:val="right" w:leader="dot" w:pos="9060"/>
            </w:tabs>
            <w:rPr>
              <w:rFonts w:asciiTheme="minorHAnsi" w:eastAsiaTheme="minorEastAsia" w:hAnsiTheme="minorHAnsi"/>
              <w:noProof/>
              <w:sz w:val="22"/>
              <w:lang w:eastAsia="cs-CZ"/>
            </w:rPr>
          </w:pPr>
          <w:hyperlink w:anchor="_Toc392583678" w:history="1">
            <w:r w:rsidR="005F1E32" w:rsidRPr="00264948">
              <w:rPr>
                <w:rStyle w:val="Hypertextovodkaz"/>
                <w:noProof/>
              </w:rPr>
              <w:t>7</w:t>
            </w:r>
            <w:r w:rsidR="005F1E32">
              <w:rPr>
                <w:rFonts w:asciiTheme="minorHAnsi" w:eastAsiaTheme="minorEastAsia" w:hAnsiTheme="minorHAnsi"/>
                <w:noProof/>
                <w:sz w:val="22"/>
                <w:lang w:eastAsia="cs-CZ"/>
              </w:rPr>
              <w:tab/>
            </w:r>
            <w:r w:rsidR="005F1E32" w:rsidRPr="00264948">
              <w:rPr>
                <w:rStyle w:val="Hypertextovodkaz"/>
                <w:noProof/>
              </w:rPr>
              <w:t>Příspěvek k naplňování cílů Strategie Evropa 2020 a Dohody o partnerství a soulad operačního programu s dalšími strategiemi ČR</w:t>
            </w:r>
            <w:r w:rsidR="005F1E32">
              <w:rPr>
                <w:noProof/>
                <w:webHidden/>
              </w:rPr>
              <w:tab/>
            </w:r>
            <w:r>
              <w:rPr>
                <w:noProof/>
                <w:webHidden/>
              </w:rPr>
              <w:fldChar w:fldCharType="begin"/>
            </w:r>
            <w:r w:rsidR="005F1E32">
              <w:rPr>
                <w:noProof/>
                <w:webHidden/>
              </w:rPr>
              <w:instrText xml:space="preserve"> PAGEREF _Toc392583678 \h </w:instrText>
            </w:r>
            <w:r>
              <w:rPr>
                <w:noProof/>
                <w:webHidden/>
              </w:rPr>
            </w:r>
            <w:r>
              <w:rPr>
                <w:noProof/>
                <w:webHidden/>
              </w:rPr>
              <w:fldChar w:fldCharType="separate"/>
            </w:r>
            <w:r w:rsidR="00F21883">
              <w:rPr>
                <w:noProof/>
                <w:webHidden/>
              </w:rPr>
              <w:t>43</w:t>
            </w:r>
            <w:r>
              <w:rPr>
                <w:noProof/>
                <w:webHidden/>
              </w:rPr>
              <w:fldChar w:fldCharType="end"/>
            </w:r>
          </w:hyperlink>
        </w:p>
        <w:p w:rsidR="005F1E32" w:rsidRDefault="009E5BE4">
          <w:pPr>
            <w:pStyle w:val="Obsah1"/>
            <w:tabs>
              <w:tab w:val="left" w:pos="400"/>
              <w:tab w:val="right" w:leader="dot" w:pos="9060"/>
            </w:tabs>
            <w:rPr>
              <w:rFonts w:asciiTheme="minorHAnsi" w:eastAsiaTheme="minorEastAsia" w:hAnsiTheme="minorHAnsi"/>
              <w:noProof/>
              <w:sz w:val="22"/>
              <w:lang w:eastAsia="cs-CZ"/>
            </w:rPr>
          </w:pPr>
          <w:hyperlink w:anchor="_Toc392583679" w:history="1">
            <w:r w:rsidR="005F1E32" w:rsidRPr="00264948">
              <w:rPr>
                <w:rStyle w:val="Hypertextovodkaz"/>
                <w:noProof/>
              </w:rPr>
              <w:t>8</w:t>
            </w:r>
            <w:r w:rsidR="005F1E32">
              <w:rPr>
                <w:rFonts w:asciiTheme="minorHAnsi" w:eastAsiaTheme="minorEastAsia" w:hAnsiTheme="minorHAnsi"/>
                <w:noProof/>
                <w:sz w:val="22"/>
                <w:lang w:eastAsia="cs-CZ"/>
              </w:rPr>
              <w:tab/>
            </w:r>
            <w:r w:rsidR="005F1E32" w:rsidRPr="00264948">
              <w:rPr>
                <w:rStyle w:val="Hypertextovodkaz"/>
                <w:noProof/>
              </w:rPr>
              <w:t xml:space="preserve">Shrnutí </w:t>
            </w:r>
            <w:r w:rsidR="005F1E32">
              <w:rPr>
                <w:noProof/>
                <w:webHidden/>
              </w:rPr>
              <w:tab/>
            </w:r>
            <w:r>
              <w:rPr>
                <w:noProof/>
                <w:webHidden/>
              </w:rPr>
              <w:fldChar w:fldCharType="begin"/>
            </w:r>
            <w:r w:rsidR="005F1E32">
              <w:rPr>
                <w:noProof/>
                <w:webHidden/>
              </w:rPr>
              <w:instrText xml:space="preserve"> PAGEREF _Toc392583679 \h </w:instrText>
            </w:r>
            <w:r>
              <w:rPr>
                <w:noProof/>
                <w:webHidden/>
              </w:rPr>
            </w:r>
            <w:r>
              <w:rPr>
                <w:noProof/>
                <w:webHidden/>
              </w:rPr>
              <w:fldChar w:fldCharType="separate"/>
            </w:r>
            <w:r w:rsidR="00F21883">
              <w:rPr>
                <w:noProof/>
                <w:webHidden/>
              </w:rPr>
              <w:t>45</w:t>
            </w:r>
            <w:r>
              <w:rPr>
                <w:noProof/>
                <w:webHidden/>
              </w:rPr>
              <w:fldChar w:fldCharType="end"/>
            </w:r>
          </w:hyperlink>
        </w:p>
        <w:p w:rsidR="005F1E32" w:rsidRDefault="009E5BE4">
          <w:pPr>
            <w:pStyle w:val="Obsah2"/>
            <w:tabs>
              <w:tab w:val="left" w:pos="880"/>
              <w:tab w:val="right" w:leader="dot" w:pos="9060"/>
            </w:tabs>
            <w:rPr>
              <w:rFonts w:asciiTheme="minorHAnsi" w:eastAsiaTheme="minorEastAsia" w:hAnsiTheme="minorHAnsi"/>
              <w:noProof/>
              <w:sz w:val="22"/>
              <w:lang w:eastAsia="cs-CZ"/>
            </w:rPr>
          </w:pPr>
          <w:hyperlink w:anchor="_Toc392583680" w:history="1">
            <w:r w:rsidR="005F1E32" w:rsidRPr="00264948">
              <w:rPr>
                <w:rStyle w:val="Hypertextovodkaz"/>
                <w:noProof/>
              </w:rPr>
              <w:t>8.1</w:t>
            </w:r>
            <w:r w:rsidR="005F1E32">
              <w:rPr>
                <w:rFonts w:asciiTheme="minorHAnsi" w:eastAsiaTheme="minorEastAsia" w:hAnsiTheme="minorHAnsi"/>
                <w:noProof/>
                <w:sz w:val="22"/>
                <w:lang w:eastAsia="cs-CZ"/>
              </w:rPr>
              <w:tab/>
            </w:r>
            <w:r w:rsidR="005F1E32" w:rsidRPr="00264948">
              <w:rPr>
                <w:rStyle w:val="Hypertextovodkaz"/>
                <w:noProof/>
              </w:rPr>
              <w:t>Hlavní závěry a zjištění</w:t>
            </w:r>
            <w:r w:rsidR="005F1E32">
              <w:rPr>
                <w:noProof/>
                <w:webHidden/>
              </w:rPr>
              <w:tab/>
            </w:r>
            <w:r>
              <w:rPr>
                <w:noProof/>
                <w:webHidden/>
              </w:rPr>
              <w:fldChar w:fldCharType="begin"/>
            </w:r>
            <w:r w:rsidR="005F1E32">
              <w:rPr>
                <w:noProof/>
                <w:webHidden/>
              </w:rPr>
              <w:instrText xml:space="preserve"> PAGEREF _Toc392583680 \h </w:instrText>
            </w:r>
            <w:r>
              <w:rPr>
                <w:noProof/>
                <w:webHidden/>
              </w:rPr>
            </w:r>
            <w:r>
              <w:rPr>
                <w:noProof/>
                <w:webHidden/>
              </w:rPr>
              <w:fldChar w:fldCharType="separate"/>
            </w:r>
            <w:r w:rsidR="00F21883">
              <w:rPr>
                <w:noProof/>
                <w:webHidden/>
              </w:rPr>
              <w:t>45</w:t>
            </w:r>
            <w:r>
              <w:rPr>
                <w:noProof/>
                <w:webHidden/>
              </w:rPr>
              <w:fldChar w:fldCharType="end"/>
            </w:r>
          </w:hyperlink>
        </w:p>
        <w:p w:rsidR="005F1E32" w:rsidRDefault="009E5BE4">
          <w:pPr>
            <w:pStyle w:val="Obsah1"/>
            <w:tabs>
              <w:tab w:val="left" w:pos="400"/>
              <w:tab w:val="right" w:leader="dot" w:pos="9060"/>
            </w:tabs>
            <w:rPr>
              <w:rFonts w:asciiTheme="minorHAnsi" w:eastAsiaTheme="minorEastAsia" w:hAnsiTheme="minorHAnsi"/>
              <w:noProof/>
              <w:sz w:val="22"/>
              <w:lang w:eastAsia="cs-CZ"/>
            </w:rPr>
          </w:pPr>
          <w:hyperlink w:anchor="_Toc392583681" w:history="1">
            <w:r w:rsidR="005F1E32" w:rsidRPr="00264948">
              <w:rPr>
                <w:rStyle w:val="Hypertextovodkaz"/>
                <w:noProof/>
              </w:rPr>
              <w:t>9</w:t>
            </w:r>
            <w:r w:rsidR="005F1E32">
              <w:rPr>
                <w:rFonts w:asciiTheme="minorHAnsi" w:eastAsiaTheme="minorEastAsia" w:hAnsiTheme="minorHAnsi"/>
                <w:noProof/>
                <w:sz w:val="22"/>
                <w:lang w:eastAsia="cs-CZ"/>
              </w:rPr>
              <w:tab/>
            </w:r>
            <w:r w:rsidR="005F1E32" w:rsidRPr="00264948">
              <w:rPr>
                <w:rStyle w:val="Hypertextovodkaz"/>
                <w:noProof/>
              </w:rPr>
              <w:t>Přílohy</w:t>
            </w:r>
            <w:r w:rsidR="005F1E32">
              <w:rPr>
                <w:noProof/>
                <w:webHidden/>
              </w:rPr>
              <w:tab/>
            </w:r>
            <w:r>
              <w:rPr>
                <w:noProof/>
                <w:webHidden/>
              </w:rPr>
              <w:fldChar w:fldCharType="begin"/>
            </w:r>
            <w:r w:rsidR="005F1E32">
              <w:rPr>
                <w:noProof/>
                <w:webHidden/>
              </w:rPr>
              <w:instrText xml:space="preserve"> PAGEREF _Toc392583681 \h </w:instrText>
            </w:r>
            <w:r>
              <w:rPr>
                <w:noProof/>
                <w:webHidden/>
              </w:rPr>
            </w:r>
            <w:r>
              <w:rPr>
                <w:noProof/>
                <w:webHidden/>
              </w:rPr>
              <w:fldChar w:fldCharType="separate"/>
            </w:r>
            <w:r w:rsidR="00F21883">
              <w:rPr>
                <w:noProof/>
                <w:webHidden/>
              </w:rPr>
              <w:t>51</w:t>
            </w:r>
            <w:r>
              <w:rPr>
                <w:noProof/>
                <w:webHidden/>
              </w:rPr>
              <w:fldChar w:fldCharType="end"/>
            </w:r>
          </w:hyperlink>
        </w:p>
        <w:p w:rsidR="005F1E32" w:rsidRDefault="009E5BE4">
          <w:pPr>
            <w:pStyle w:val="Obsah2"/>
            <w:tabs>
              <w:tab w:val="right" w:leader="dot" w:pos="9060"/>
            </w:tabs>
            <w:rPr>
              <w:rFonts w:asciiTheme="minorHAnsi" w:eastAsiaTheme="minorEastAsia" w:hAnsiTheme="minorHAnsi"/>
              <w:noProof/>
              <w:sz w:val="22"/>
              <w:lang w:eastAsia="cs-CZ"/>
            </w:rPr>
          </w:pPr>
          <w:hyperlink w:anchor="_Toc392583682" w:history="1">
            <w:r w:rsidR="005F1E32" w:rsidRPr="00264948">
              <w:rPr>
                <w:rStyle w:val="Hypertextovodkaz"/>
                <w:noProof/>
              </w:rPr>
              <w:t>Příloha 1: Posouzení souladu strategických cílů a očekávaných výsledků OP PIK s hlavními výsledky Dohody o partnerství</w:t>
            </w:r>
            <w:r w:rsidR="005F1E32">
              <w:rPr>
                <w:noProof/>
                <w:webHidden/>
              </w:rPr>
              <w:tab/>
            </w:r>
            <w:r>
              <w:rPr>
                <w:noProof/>
                <w:webHidden/>
              </w:rPr>
              <w:fldChar w:fldCharType="begin"/>
            </w:r>
            <w:r w:rsidR="005F1E32">
              <w:rPr>
                <w:noProof/>
                <w:webHidden/>
              </w:rPr>
              <w:instrText xml:space="preserve"> PAGEREF _Toc392583682 \h </w:instrText>
            </w:r>
            <w:r>
              <w:rPr>
                <w:noProof/>
                <w:webHidden/>
              </w:rPr>
            </w:r>
            <w:r>
              <w:rPr>
                <w:noProof/>
                <w:webHidden/>
              </w:rPr>
              <w:fldChar w:fldCharType="separate"/>
            </w:r>
            <w:r w:rsidR="00F21883">
              <w:rPr>
                <w:noProof/>
                <w:webHidden/>
              </w:rPr>
              <w:t>52</w:t>
            </w:r>
            <w:r>
              <w:rPr>
                <w:noProof/>
                <w:webHidden/>
              </w:rPr>
              <w:fldChar w:fldCharType="end"/>
            </w:r>
          </w:hyperlink>
        </w:p>
        <w:p w:rsidR="00B50F34" w:rsidRDefault="009E5BE4">
          <w:r>
            <w:fldChar w:fldCharType="end"/>
          </w:r>
        </w:p>
      </w:sdtContent>
    </w:sdt>
    <w:p w:rsidR="00B50F34" w:rsidRDefault="00B50F34">
      <w:pPr>
        <w:rPr>
          <w:rFonts w:ascii="Times New Roman" w:eastAsia="Times New Roman" w:hAnsi="Times New Roman" w:cs="Arial"/>
          <w:b/>
          <w:bCs/>
          <w:color w:val="000066"/>
          <w:kern w:val="32"/>
          <w:sz w:val="28"/>
          <w:szCs w:val="28"/>
        </w:rPr>
      </w:pPr>
      <w:r>
        <w:br w:type="page"/>
      </w:r>
    </w:p>
    <w:p w:rsidR="00DF7DED" w:rsidRDefault="00DF7DED" w:rsidP="00DF7DED">
      <w:pPr>
        <w:pStyle w:val="Nadpis2"/>
        <w:numPr>
          <w:ilvl w:val="0"/>
          <w:numId w:val="0"/>
        </w:numPr>
      </w:pPr>
      <w:bookmarkStart w:id="1" w:name="_Toc392583653"/>
      <w:r>
        <w:lastRenderedPageBreak/>
        <w:t>Seznam zkratek</w:t>
      </w:r>
      <w:bookmarkEnd w:id="1"/>
    </w:p>
    <w:p w:rsidR="005B0173" w:rsidRPr="005B0173" w:rsidRDefault="005B0173" w:rsidP="005B0173"/>
    <w:tbl>
      <w:tblPr>
        <w:tblStyle w:val="Mkatabulky"/>
        <w:tblW w:w="0" w:type="auto"/>
        <w:tblLook w:val="04A0"/>
      </w:tblPr>
      <w:tblGrid>
        <w:gridCol w:w="1526"/>
        <w:gridCol w:w="7513"/>
      </w:tblGrid>
      <w:tr w:rsidR="00DF7DED" w:rsidRPr="00B9453B" w:rsidTr="00DF7DED">
        <w:tc>
          <w:tcPr>
            <w:tcW w:w="1526" w:type="dxa"/>
          </w:tcPr>
          <w:p w:rsidR="00DF7DED" w:rsidRPr="00B9453B" w:rsidRDefault="00DF7DED" w:rsidP="005E5DC5">
            <w:pPr>
              <w:rPr>
                <w:rFonts w:cs="Tahoma"/>
                <w:szCs w:val="20"/>
              </w:rPr>
            </w:pPr>
            <w:r w:rsidRPr="00B9453B">
              <w:rPr>
                <w:rFonts w:cs="Tahoma"/>
                <w:szCs w:val="20"/>
              </w:rPr>
              <w:t>ČMZRB</w:t>
            </w:r>
          </w:p>
        </w:tc>
        <w:tc>
          <w:tcPr>
            <w:tcW w:w="7513" w:type="dxa"/>
          </w:tcPr>
          <w:p w:rsidR="00DF7DED" w:rsidRPr="00B9453B" w:rsidRDefault="00DF7DED" w:rsidP="005E5DC5">
            <w:pPr>
              <w:rPr>
                <w:rFonts w:cs="Tahoma"/>
                <w:szCs w:val="20"/>
              </w:rPr>
            </w:pPr>
            <w:r w:rsidRPr="00B9453B">
              <w:rPr>
                <w:rFonts w:cs="Tahoma"/>
                <w:szCs w:val="20"/>
              </w:rPr>
              <w:t>Českomoravská záruční a rozvojová banka, a.s.</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ČR</w:t>
            </w:r>
          </w:p>
        </w:tc>
        <w:tc>
          <w:tcPr>
            <w:tcW w:w="7513" w:type="dxa"/>
          </w:tcPr>
          <w:p w:rsidR="00DF7DED" w:rsidRPr="00B9453B" w:rsidRDefault="00DF7DED" w:rsidP="005E5DC5">
            <w:pPr>
              <w:rPr>
                <w:rFonts w:cs="Tahoma"/>
                <w:szCs w:val="20"/>
              </w:rPr>
            </w:pPr>
            <w:r w:rsidRPr="00B9453B">
              <w:rPr>
                <w:rFonts w:cs="Tahoma"/>
                <w:szCs w:val="20"/>
              </w:rPr>
              <w:t>Česká republika</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ČSÚ</w:t>
            </w:r>
          </w:p>
        </w:tc>
        <w:tc>
          <w:tcPr>
            <w:tcW w:w="7513" w:type="dxa"/>
          </w:tcPr>
          <w:p w:rsidR="00DF7DED" w:rsidRPr="00B9453B" w:rsidRDefault="00DF7DED" w:rsidP="005E5DC5">
            <w:pPr>
              <w:rPr>
                <w:rFonts w:cs="Tahoma"/>
                <w:szCs w:val="20"/>
              </w:rPr>
            </w:pPr>
            <w:r w:rsidRPr="00B9453B">
              <w:rPr>
                <w:rFonts w:cs="Tahoma"/>
                <w:szCs w:val="20"/>
              </w:rPr>
              <w:t>Český statistický úřad</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DG</w:t>
            </w:r>
          </w:p>
        </w:tc>
        <w:tc>
          <w:tcPr>
            <w:tcW w:w="7513" w:type="dxa"/>
          </w:tcPr>
          <w:p w:rsidR="00DF7DED" w:rsidRPr="00B9453B" w:rsidRDefault="00DF7DED" w:rsidP="005E5DC5">
            <w:pPr>
              <w:rPr>
                <w:rFonts w:cs="Tahoma"/>
                <w:szCs w:val="20"/>
              </w:rPr>
            </w:pPr>
            <w:r w:rsidRPr="00B9453B">
              <w:rPr>
                <w:rFonts w:cs="Tahoma"/>
                <w:szCs w:val="20"/>
              </w:rPr>
              <w:t>Generální ředitelství Evropské komise a dalších orgánů EU</w:t>
            </w:r>
          </w:p>
        </w:tc>
      </w:tr>
      <w:tr w:rsidR="00DF7DED" w:rsidRPr="00B9453B" w:rsidTr="00DF7DED">
        <w:tc>
          <w:tcPr>
            <w:tcW w:w="1526" w:type="dxa"/>
          </w:tcPr>
          <w:p w:rsidR="00DF7DED" w:rsidRPr="00B9453B" w:rsidRDefault="00DF7DED" w:rsidP="005E5DC5">
            <w:pPr>
              <w:rPr>
                <w:rFonts w:cs="Tahoma"/>
                <w:szCs w:val="20"/>
              </w:rPr>
            </w:pPr>
            <w:proofErr w:type="spellStart"/>
            <w:r w:rsidRPr="00B9453B">
              <w:rPr>
                <w:rFonts w:cs="Tahoma"/>
                <w:szCs w:val="20"/>
              </w:rPr>
              <w:t>DoP</w:t>
            </w:r>
            <w:proofErr w:type="spellEnd"/>
          </w:p>
        </w:tc>
        <w:tc>
          <w:tcPr>
            <w:tcW w:w="7513" w:type="dxa"/>
          </w:tcPr>
          <w:p w:rsidR="00DF7DED" w:rsidRPr="00B9453B" w:rsidRDefault="00DF7DED" w:rsidP="005E5DC5">
            <w:pPr>
              <w:rPr>
                <w:rFonts w:cs="Tahoma"/>
                <w:szCs w:val="20"/>
              </w:rPr>
            </w:pPr>
            <w:r w:rsidRPr="00B9453B">
              <w:rPr>
                <w:rFonts w:cs="Tahoma"/>
                <w:szCs w:val="20"/>
              </w:rPr>
              <w:t>Dohoda o partnerství</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EFRR</w:t>
            </w:r>
          </w:p>
        </w:tc>
        <w:tc>
          <w:tcPr>
            <w:tcW w:w="7513" w:type="dxa"/>
          </w:tcPr>
          <w:p w:rsidR="00DF7DED" w:rsidRPr="00B9453B" w:rsidRDefault="00DF7DED" w:rsidP="005E5DC5">
            <w:pPr>
              <w:rPr>
                <w:rFonts w:cs="Tahoma"/>
                <w:szCs w:val="20"/>
              </w:rPr>
            </w:pPr>
            <w:r w:rsidRPr="00B9453B">
              <w:rPr>
                <w:rFonts w:cs="Tahoma"/>
                <w:szCs w:val="20"/>
              </w:rPr>
              <w:t>Evropský fond regionálního rozvoje</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EIB</w:t>
            </w:r>
          </w:p>
        </w:tc>
        <w:tc>
          <w:tcPr>
            <w:tcW w:w="7513" w:type="dxa"/>
          </w:tcPr>
          <w:p w:rsidR="00DF7DED" w:rsidRPr="00B9453B" w:rsidRDefault="00DF7DED" w:rsidP="005E5DC5">
            <w:pPr>
              <w:rPr>
                <w:rFonts w:cs="Tahoma"/>
                <w:szCs w:val="20"/>
              </w:rPr>
            </w:pPr>
            <w:r w:rsidRPr="00B9453B">
              <w:rPr>
                <w:rFonts w:cs="Tahoma"/>
                <w:szCs w:val="20"/>
              </w:rPr>
              <w:t>Evropská investiční banka</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EK/EC</w:t>
            </w:r>
          </w:p>
        </w:tc>
        <w:tc>
          <w:tcPr>
            <w:tcW w:w="7513" w:type="dxa"/>
          </w:tcPr>
          <w:p w:rsidR="00DF7DED" w:rsidRPr="00B9453B" w:rsidRDefault="00DF7DED" w:rsidP="005E5DC5">
            <w:pPr>
              <w:rPr>
                <w:rFonts w:cs="Tahoma"/>
                <w:szCs w:val="20"/>
              </w:rPr>
            </w:pPr>
            <w:r w:rsidRPr="00B9453B">
              <w:rPr>
                <w:rFonts w:cs="Tahoma"/>
                <w:szCs w:val="20"/>
              </w:rPr>
              <w:t>Evropská komise</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ENRF</w:t>
            </w:r>
          </w:p>
        </w:tc>
        <w:tc>
          <w:tcPr>
            <w:tcW w:w="7513" w:type="dxa"/>
          </w:tcPr>
          <w:p w:rsidR="00DF7DED" w:rsidRPr="00B9453B" w:rsidRDefault="00DF7DED" w:rsidP="005E5DC5">
            <w:pPr>
              <w:rPr>
                <w:rFonts w:cs="Tahoma"/>
                <w:szCs w:val="20"/>
              </w:rPr>
            </w:pPr>
            <w:r w:rsidRPr="00B9453B">
              <w:rPr>
                <w:rFonts w:cs="Tahoma"/>
                <w:szCs w:val="20"/>
              </w:rPr>
              <w:t>Evropský námořní a rybářský fond</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ES</w:t>
            </w:r>
          </w:p>
        </w:tc>
        <w:tc>
          <w:tcPr>
            <w:tcW w:w="7513" w:type="dxa"/>
          </w:tcPr>
          <w:p w:rsidR="00DF7DED" w:rsidRPr="00B9453B" w:rsidRDefault="00DF7DED" w:rsidP="005E5DC5">
            <w:pPr>
              <w:rPr>
                <w:rFonts w:cs="Tahoma"/>
                <w:szCs w:val="20"/>
              </w:rPr>
            </w:pPr>
            <w:r w:rsidRPr="00B9453B">
              <w:rPr>
                <w:rFonts w:cs="Tahoma"/>
                <w:szCs w:val="20"/>
              </w:rPr>
              <w:t>Evropská společenství</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ESIF</w:t>
            </w:r>
          </w:p>
        </w:tc>
        <w:tc>
          <w:tcPr>
            <w:tcW w:w="7513" w:type="dxa"/>
          </w:tcPr>
          <w:p w:rsidR="00DF7DED" w:rsidRPr="00B9453B" w:rsidRDefault="00DF7DED" w:rsidP="005E5DC5">
            <w:pPr>
              <w:rPr>
                <w:rFonts w:cs="Tahoma"/>
                <w:szCs w:val="20"/>
              </w:rPr>
            </w:pPr>
            <w:r w:rsidRPr="00B9453B">
              <w:rPr>
                <w:rFonts w:cs="Tahoma"/>
                <w:szCs w:val="20"/>
              </w:rPr>
              <w:t>Evropské strukturální a investiční fondy</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EU</w:t>
            </w:r>
          </w:p>
        </w:tc>
        <w:tc>
          <w:tcPr>
            <w:tcW w:w="7513" w:type="dxa"/>
          </w:tcPr>
          <w:p w:rsidR="00DF7DED" w:rsidRPr="00B9453B" w:rsidRDefault="00DF7DED" w:rsidP="005E5DC5">
            <w:pPr>
              <w:rPr>
                <w:rFonts w:cs="Tahoma"/>
                <w:szCs w:val="20"/>
              </w:rPr>
            </w:pPr>
            <w:r w:rsidRPr="00B9453B">
              <w:rPr>
                <w:rFonts w:cs="Tahoma"/>
                <w:szCs w:val="20"/>
              </w:rPr>
              <w:t>Evropská unie</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EUROSTAT</w:t>
            </w:r>
          </w:p>
        </w:tc>
        <w:tc>
          <w:tcPr>
            <w:tcW w:w="7513" w:type="dxa"/>
          </w:tcPr>
          <w:p w:rsidR="00DF7DED" w:rsidRPr="00B9453B" w:rsidRDefault="00DF7DED" w:rsidP="005E5DC5">
            <w:pPr>
              <w:rPr>
                <w:rFonts w:cs="Tahoma"/>
                <w:szCs w:val="20"/>
              </w:rPr>
            </w:pPr>
            <w:r w:rsidRPr="00B9453B">
              <w:rPr>
                <w:rFonts w:cs="Tahoma"/>
                <w:szCs w:val="20"/>
              </w:rPr>
              <w:t>Statistický úřad Evropské unie</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EZFRV</w:t>
            </w:r>
          </w:p>
        </w:tc>
        <w:tc>
          <w:tcPr>
            <w:tcW w:w="7513" w:type="dxa"/>
          </w:tcPr>
          <w:p w:rsidR="00DF7DED" w:rsidRPr="00B9453B" w:rsidRDefault="00DF7DED" w:rsidP="005E5DC5">
            <w:pPr>
              <w:rPr>
                <w:rFonts w:cs="Tahoma"/>
                <w:szCs w:val="20"/>
              </w:rPr>
            </w:pPr>
            <w:r w:rsidRPr="00B9453B">
              <w:rPr>
                <w:rFonts w:cs="Tahoma"/>
                <w:szCs w:val="20"/>
              </w:rPr>
              <w:t>Evropský zemědělský fond pro rozvoj venkova</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HDP</w:t>
            </w:r>
          </w:p>
        </w:tc>
        <w:tc>
          <w:tcPr>
            <w:tcW w:w="7513" w:type="dxa"/>
          </w:tcPr>
          <w:p w:rsidR="00DF7DED" w:rsidRPr="00B9453B" w:rsidRDefault="00DF7DED" w:rsidP="005E5DC5">
            <w:pPr>
              <w:rPr>
                <w:rFonts w:cs="Tahoma"/>
                <w:szCs w:val="20"/>
              </w:rPr>
            </w:pPr>
            <w:r w:rsidRPr="00B9453B">
              <w:rPr>
                <w:rFonts w:cs="Tahoma"/>
                <w:szCs w:val="20"/>
              </w:rPr>
              <w:t>Hrubý domácí produkt</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ICT/IKT</w:t>
            </w:r>
          </w:p>
        </w:tc>
        <w:tc>
          <w:tcPr>
            <w:tcW w:w="7513" w:type="dxa"/>
          </w:tcPr>
          <w:p w:rsidR="00DF7DED" w:rsidRPr="00B9453B" w:rsidRDefault="00DF7DED" w:rsidP="005E5DC5">
            <w:pPr>
              <w:rPr>
                <w:rFonts w:cs="Tahoma"/>
                <w:szCs w:val="20"/>
              </w:rPr>
            </w:pPr>
            <w:r w:rsidRPr="00B9453B">
              <w:rPr>
                <w:rFonts w:cs="Tahoma"/>
                <w:szCs w:val="20"/>
              </w:rPr>
              <w:t>Informační a komunikační technologie</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ISOP7-13</w:t>
            </w:r>
          </w:p>
        </w:tc>
        <w:tc>
          <w:tcPr>
            <w:tcW w:w="7513" w:type="dxa"/>
          </w:tcPr>
          <w:p w:rsidR="00DF7DED" w:rsidRPr="00B9453B" w:rsidRDefault="00DF7DED" w:rsidP="005E5DC5">
            <w:pPr>
              <w:rPr>
                <w:rFonts w:cs="Tahoma"/>
                <w:szCs w:val="20"/>
              </w:rPr>
            </w:pPr>
            <w:r w:rsidRPr="00B9453B">
              <w:rPr>
                <w:rFonts w:cs="Tahoma"/>
                <w:szCs w:val="20"/>
              </w:rPr>
              <w:t>Informační a monitorovací systém OPPI 2007-2013</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KVET</w:t>
            </w:r>
          </w:p>
        </w:tc>
        <w:tc>
          <w:tcPr>
            <w:tcW w:w="7513" w:type="dxa"/>
          </w:tcPr>
          <w:p w:rsidR="00DF7DED" w:rsidRPr="00B9453B" w:rsidRDefault="00DF7DED" w:rsidP="005E5DC5">
            <w:pPr>
              <w:rPr>
                <w:rFonts w:cs="Tahoma"/>
                <w:szCs w:val="20"/>
              </w:rPr>
            </w:pPr>
            <w:r w:rsidRPr="00B9453B">
              <w:rPr>
                <w:rFonts w:cs="Tahoma"/>
                <w:szCs w:val="20"/>
              </w:rPr>
              <w:t>Kombinovaná výroba elektřiny a tepla</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MMR</w:t>
            </w:r>
          </w:p>
        </w:tc>
        <w:tc>
          <w:tcPr>
            <w:tcW w:w="7513" w:type="dxa"/>
          </w:tcPr>
          <w:p w:rsidR="00DF7DED" w:rsidRPr="00B9453B" w:rsidRDefault="00DF7DED" w:rsidP="005E5DC5">
            <w:pPr>
              <w:rPr>
                <w:rFonts w:cs="Tahoma"/>
                <w:szCs w:val="20"/>
              </w:rPr>
            </w:pPr>
            <w:r w:rsidRPr="00B9453B">
              <w:rPr>
                <w:rFonts w:cs="Tahoma"/>
                <w:szCs w:val="20"/>
              </w:rPr>
              <w:t>Ministerstvo pro místní rozvoj ČR</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MP</w:t>
            </w:r>
          </w:p>
        </w:tc>
        <w:tc>
          <w:tcPr>
            <w:tcW w:w="7513" w:type="dxa"/>
          </w:tcPr>
          <w:p w:rsidR="00DF7DED" w:rsidRPr="00B9453B" w:rsidRDefault="00DF7DED" w:rsidP="005E5DC5">
            <w:pPr>
              <w:rPr>
                <w:rFonts w:cs="Tahoma"/>
                <w:szCs w:val="20"/>
              </w:rPr>
            </w:pPr>
            <w:r w:rsidRPr="00B9453B">
              <w:rPr>
                <w:rFonts w:cs="Tahoma"/>
                <w:szCs w:val="20"/>
              </w:rPr>
              <w:t>Metodický pokyn</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MPO</w:t>
            </w:r>
          </w:p>
        </w:tc>
        <w:tc>
          <w:tcPr>
            <w:tcW w:w="7513" w:type="dxa"/>
          </w:tcPr>
          <w:p w:rsidR="00DF7DED" w:rsidRPr="00B9453B" w:rsidRDefault="00DF7DED" w:rsidP="005E5DC5">
            <w:pPr>
              <w:rPr>
                <w:rFonts w:cs="Tahoma"/>
                <w:szCs w:val="20"/>
              </w:rPr>
            </w:pPr>
            <w:r w:rsidRPr="00B9453B">
              <w:rPr>
                <w:rFonts w:cs="Tahoma"/>
                <w:szCs w:val="20"/>
              </w:rPr>
              <w:t>Ministerstvo průmyslu a obchodu ČR</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MS2014+</w:t>
            </w:r>
          </w:p>
        </w:tc>
        <w:tc>
          <w:tcPr>
            <w:tcW w:w="7513" w:type="dxa"/>
          </w:tcPr>
          <w:p w:rsidR="00DF7DED" w:rsidRPr="00B9453B" w:rsidRDefault="00DF7DED" w:rsidP="005E5DC5">
            <w:pPr>
              <w:rPr>
                <w:rFonts w:cs="Tahoma"/>
                <w:szCs w:val="20"/>
              </w:rPr>
            </w:pPr>
            <w:r w:rsidRPr="00B9453B">
              <w:rPr>
                <w:rFonts w:cs="Tahoma"/>
                <w:szCs w:val="20"/>
              </w:rPr>
              <w:t>Monitorovací systém strukturálních fondů a Fondu soudržnosti pro programové období 2014-2020</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MSC2007</w:t>
            </w:r>
          </w:p>
        </w:tc>
        <w:tc>
          <w:tcPr>
            <w:tcW w:w="7513" w:type="dxa"/>
          </w:tcPr>
          <w:p w:rsidR="00DF7DED" w:rsidRPr="00B9453B" w:rsidRDefault="00DF7DED" w:rsidP="005E5DC5">
            <w:pPr>
              <w:rPr>
                <w:rFonts w:cs="Tahoma"/>
                <w:szCs w:val="20"/>
              </w:rPr>
            </w:pPr>
            <w:r w:rsidRPr="00B9453B">
              <w:rPr>
                <w:rFonts w:cs="Tahoma"/>
                <w:szCs w:val="20"/>
              </w:rPr>
              <w:t>Monitorovací systém strukturálních fondů a Fondu soudržnosti pro programové období 2007-2013</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MSP</w:t>
            </w:r>
          </w:p>
        </w:tc>
        <w:tc>
          <w:tcPr>
            <w:tcW w:w="7513" w:type="dxa"/>
          </w:tcPr>
          <w:p w:rsidR="00DF7DED" w:rsidRPr="00B9453B" w:rsidRDefault="00DF7DED" w:rsidP="005E5DC5">
            <w:pPr>
              <w:rPr>
                <w:rFonts w:cs="Tahoma"/>
                <w:szCs w:val="20"/>
              </w:rPr>
            </w:pPr>
            <w:r w:rsidRPr="00B9453B">
              <w:rPr>
                <w:rFonts w:cs="Tahoma"/>
                <w:szCs w:val="20"/>
              </w:rPr>
              <w:t>Malý a střední podnik</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NOK</w:t>
            </w:r>
          </w:p>
        </w:tc>
        <w:tc>
          <w:tcPr>
            <w:tcW w:w="7513" w:type="dxa"/>
          </w:tcPr>
          <w:p w:rsidR="00DF7DED" w:rsidRPr="00B9453B" w:rsidRDefault="00DF7DED" w:rsidP="005E5DC5">
            <w:pPr>
              <w:rPr>
                <w:rFonts w:cs="Tahoma"/>
                <w:szCs w:val="20"/>
              </w:rPr>
            </w:pPr>
            <w:r w:rsidRPr="00B9453B">
              <w:rPr>
                <w:rFonts w:cs="Tahoma"/>
                <w:szCs w:val="20"/>
              </w:rPr>
              <w:t xml:space="preserve">Národní orgán pro koordinaci/Národní orgán pro koordinaci a řízení Dohody o partnerství </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NPR</w:t>
            </w:r>
          </w:p>
        </w:tc>
        <w:tc>
          <w:tcPr>
            <w:tcW w:w="7513" w:type="dxa"/>
          </w:tcPr>
          <w:p w:rsidR="00DF7DED" w:rsidRPr="00B9453B" w:rsidRDefault="00DF7DED" w:rsidP="005E5DC5">
            <w:pPr>
              <w:rPr>
                <w:rFonts w:cs="Tahoma"/>
                <w:szCs w:val="20"/>
              </w:rPr>
            </w:pPr>
            <w:r w:rsidRPr="00B9453B">
              <w:rPr>
                <w:rFonts w:cs="Tahoma"/>
                <w:szCs w:val="20"/>
              </w:rPr>
              <w:t>Národní program reforem</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OP</w:t>
            </w:r>
          </w:p>
        </w:tc>
        <w:tc>
          <w:tcPr>
            <w:tcW w:w="7513" w:type="dxa"/>
          </w:tcPr>
          <w:p w:rsidR="00DF7DED" w:rsidRPr="00B9453B" w:rsidRDefault="00DF7DED" w:rsidP="005E5DC5">
            <w:pPr>
              <w:rPr>
                <w:rFonts w:cs="Tahoma"/>
                <w:szCs w:val="20"/>
              </w:rPr>
            </w:pPr>
            <w:r w:rsidRPr="00B9453B">
              <w:rPr>
                <w:rFonts w:cs="Tahoma"/>
                <w:szCs w:val="20"/>
              </w:rPr>
              <w:t>Operační program</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OPPI</w:t>
            </w:r>
          </w:p>
        </w:tc>
        <w:tc>
          <w:tcPr>
            <w:tcW w:w="7513" w:type="dxa"/>
          </w:tcPr>
          <w:p w:rsidR="00DF7DED" w:rsidRPr="00B9453B" w:rsidRDefault="00DF7DED" w:rsidP="005E5DC5">
            <w:pPr>
              <w:rPr>
                <w:rFonts w:cs="Tahoma"/>
                <w:szCs w:val="20"/>
              </w:rPr>
            </w:pPr>
            <w:r w:rsidRPr="00B9453B">
              <w:rPr>
                <w:rFonts w:cs="Tahoma"/>
                <w:szCs w:val="20"/>
              </w:rPr>
              <w:t xml:space="preserve">Operační program Podnikání a inovace </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OP PIK</w:t>
            </w:r>
          </w:p>
        </w:tc>
        <w:tc>
          <w:tcPr>
            <w:tcW w:w="7513" w:type="dxa"/>
          </w:tcPr>
          <w:p w:rsidR="00DF7DED" w:rsidRPr="00B9453B" w:rsidRDefault="00DF7DED" w:rsidP="005E5DC5">
            <w:pPr>
              <w:rPr>
                <w:rFonts w:cs="Tahoma"/>
                <w:szCs w:val="20"/>
              </w:rPr>
            </w:pPr>
            <w:r w:rsidRPr="00B9453B">
              <w:rPr>
                <w:rFonts w:cs="Tahoma"/>
                <w:szCs w:val="20"/>
              </w:rPr>
              <w:t>Operační program Podnikání a inovace pro konkurenceschopnost</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OPPP</w:t>
            </w:r>
          </w:p>
        </w:tc>
        <w:tc>
          <w:tcPr>
            <w:tcW w:w="7513" w:type="dxa"/>
          </w:tcPr>
          <w:p w:rsidR="00DF7DED" w:rsidRPr="00B9453B" w:rsidRDefault="00DF7DED" w:rsidP="005E5DC5">
            <w:pPr>
              <w:rPr>
                <w:rFonts w:cs="Tahoma"/>
                <w:szCs w:val="20"/>
              </w:rPr>
            </w:pPr>
            <w:r w:rsidRPr="00B9453B">
              <w:rPr>
                <w:rFonts w:cs="Tahoma"/>
                <w:szCs w:val="20"/>
              </w:rPr>
              <w:t>Operační program Průmysl a podnikání</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OZE</w:t>
            </w:r>
          </w:p>
        </w:tc>
        <w:tc>
          <w:tcPr>
            <w:tcW w:w="7513" w:type="dxa"/>
          </w:tcPr>
          <w:p w:rsidR="00DF7DED" w:rsidRPr="00B9453B" w:rsidRDefault="00DF7DED" w:rsidP="005E5DC5">
            <w:pPr>
              <w:rPr>
                <w:rFonts w:cs="Tahoma"/>
                <w:szCs w:val="20"/>
              </w:rPr>
            </w:pPr>
            <w:r w:rsidRPr="00B9453B">
              <w:rPr>
                <w:rFonts w:cs="Tahoma"/>
                <w:szCs w:val="20"/>
              </w:rPr>
              <w:t>Obnovitelné zdroje energie</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PD</w:t>
            </w:r>
          </w:p>
        </w:tc>
        <w:tc>
          <w:tcPr>
            <w:tcW w:w="7513" w:type="dxa"/>
          </w:tcPr>
          <w:p w:rsidR="00DF7DED" w:rsidRPr="00B9453B" w:rsidRDefault="00DF7DED" w:rsidP="005E5DC5">
            <w:pPr>
              <w:rPr>
                <w:rFonts w:cs="Tahoma"/>
                <w:szCs w:val="20"/>
              </w:rPr>
            </w:pPr>
            <w:r w:rsidRPr="00B9453B">
              <w:rPr>
                <w:rFonts w:cs="Tahoma"/>
                <w:szCs w:val="20"/>
              </w:rPr>
              <w:t>Poziční dokument</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PO</w:t>
            </w:r>
          </w:p>
        </w:tc>
        <w:tc>
          <w:tcPr>
            <w:tcW w:w="7513" w:type="dxa"/>
          </w:tcPr>
          <w:p w:rsidR="00DF7DED" w:rsidRPr="00B9453B" w:rsidRDefault="00DF7DED" w:rsidP="005E5DC5">
            <w:pPr>
              <w:rPr>
                <w:rFonts w:cs="Tahoma"/>
                <w:szCs w:val="20"/>
              </w:rPr>
            </w:pPr>
            <w:r w:rsidRPr="00B9453B">
              <w:rPr>
                <w:rFonts w:cs="Tahoma"/>
                <w:szCs w:val="20"/>
              </w:rPr>
              <w:t>Prioritní osa</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PP</w:t>
            </w:r>
          </w:p>
        </w:tc>
        <w:tc>
          <w:tcPr>
            <w:tcW w:w="7513" w:type="dxa"/>
          </w:tcPr>
          <w:p w:rsidR="00DF7DED" w:rsidRPr="00B9453B" w:rsidRDefault="00DF7DED" w:rsidP="005E5DC5">
            <w:pPr>
              <w:rPr>
                <w:rFonts w:cs="Tahoma"/>
                <w:szCs w:val="20"/>
              </w:rPr>
            </w:pPr>
            <w:r w:rsidRPr="00B9453B">
              <w:rPr>
                <w:rFonts w:cs="Tahoma"/>
                <w:szCs w:val="20"/>
              </w:rPr>
              <w:t>Předběžná podmínka</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PS</w:t>
            </w:r>
          </w:p>
        </w:tc>
        <w:tc>
          <w:tcPr>
            <w:tcW w:w="7513" w:type="dxa"/>
          </w:tcPr>
          <w:p w:rsidR="00DF7DED" w:rsidRPr="00B9453B" w:rsidRDefault="00DF7DED" w:rsidP="005E5DC5">
            <w:pPr>
              <w:rPr>
                <w:rFonts w:cs="Tahoma"/>
                <w:szCs w:val="20"/>
              </w:rPr>
            </w:pPr>
            <w:r w:rsidRPr="00B9453B">
              <w:rPr>
                <w:rFonts w:cs="Tahoma"/>
                <w:szCs w:val="20"/>
              </w:rPr>
              <w:t>Pracovní skupina</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ŘO</w:t>
            </w:r>
          </w:p>
        </w:tc>
        <w:tc>
          <w:tcPr>
            <w:tcW w:w="7513" w:type="dxa"/>
          </w:tcPr>
          <w:p w:rsidR="00DF7DED" w:rsidRPr="00B9453B" w:rsidRDefault="00DF7DED" w:rsidP="005E5DC5">
            <w:pPr>
              <w:rPr>
                <w:rFonts w:cs="Tahoma"/>
                <w:szCs w:val="20"/>
              </w:rPr>
            </w:pPr>
            <w:r w:rsidRPr="00B9453B">
              <w:rPr>
                <w:rFonts w:cs="Tahoma"/>
                <w:szCs w:val="20"/>
              </w:rPr>
              <w:t>Řídící orgán</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SC</w:t>
            </w:r>
          </w:p>
        </w:tc>
        <w:tc>
          <w:tcPr>
            <w:tcW w:w="7513" w:type="dxa"/>
          </w:tcPr>
          <w:p w:rsidR="00DF7DED" w:rsidRPr="00B9453B" w:rsidRDefault="00DF7DED" w:rsidP="005E5DC5">
            <w:pPr>
              <w:rPr>
                <w:rFonts w:cs="Tahoma"/>
                <w:szCs w:val="20"/>
              </w:rPr>
            </w:pPr>
            <w:r w:rsidRPr="00B9453B">
              <w:rPr>
                <w:rFonts w:cs="Tahoma"/>
                <w:szCs w:val="20"/>
              </w:rPr>
              <w:t>Specifický cíl</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SSR</w:t>
            </w:r>
          </w:p>
        </w:tc>
        <w:tc>
          <w:tcPr>
            <w:tcW w:w="7513" w:type="dxa"/>
          </w:tcPr>
          <w:p w:rsidR="00DF7DED" w:rsidRPr="00B9453B" w:rsidRDefault="00DF7DED" w:rsidP="005E5DC5">
            <w:pPr>
              <w:rPr>
                <w:rFonts w:cs="Tahoma"/>
                <w:szCs w:val="20"/>
              </w:rPr>
            </w:pPr>
            <w:r w:rsidRPr="00B9453B">
              <w:rPr>
                <w:rFonts w:cs="Tahoma"/>
                <w:szCs w:val="20"/>
              </w:rPr>
              <w:t>Společný strategický rámec</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TA</w:t>
            </w:r>
          </w:p>
        </w:tc>
        <w:tc>
          <w:tcPr>
            <w:tcW w:w="7513" w:type="dxa"/>
          </w:tcPr>
          <w:p w:rsidR="00DF7DED" w:rsidRPr="00B9453B" w:rsidRDefault="00DF7DED" w:rsidP="005E5DC5">
            <w:pPr>
              <w:rPr>
                <w:rFonts w:cs="Tahoma"/>
                <w:szCs w:val="20"/>
              </w:rPr>
            </w:pPr>
            <w:r w:rsidRPr="00B9453B">
              <w:rPr>
                <w:rFonts w:cs="Tahoma"/>
                <w:szCs w:val="20"/>
              </w:rPr>
              <w:t>Technologická agentura</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TC</w:t>
            </w:r>
          </w:p>
        </w:tc>
        <w:tc>
          <w:tcPr>
            <w:tcW w:w="7513" w:type="dxa"/>
          </w:tcPr>
          <w:p w:rsidR="00DF7DED" w:rsidRPr="00B9453B" w:rsidRDefault="00DF7DED" w:rsidP="005E5DC5">
            <w:pPr>
              <w:rPr>
                <w:rFonts w:cs="Tahoma"/>
                <w:szCs w:val="20"/>
              </w:rPr>
            </w:pPr>
            <w:r w:rsidRPr="00B9453B">
              <w:rPr>
                <w:rFonts w:cs="Tahoma"/>
                <w:szCs w:val="20"/>
              </w:rPr>
              <w:t>Tematický cíl</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TO</w:t>
            </w:r>
          </w:p>
        </w:tc>
        <w:tc>
          <w:tcPr>
            <w:tcW w:w="7513" w:type="dxa"/>
          </w:tcPr>
          <w:p w:rsidR="00DF7DED" w:rsidRPr="00B9453B" w:rsidRDefault="00DF7DED" w:rsidP="005E5DC5">
            <w:pPr>
              <w:rPr>
                <w:rFonts w:cs="Tahoma"/>
                <w:szCs w:val="20"/>
              </w:rPr>
            </w:pPr>
            <w:r w:rsidRPr="00B9453B">
              <w:rPr>
                <w:rFonts w:cs="Tahoma"/>
                <w:szCs w:val="20"/>
              </w:rPr>
              <w:t>Tematický okruh</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TZ</w:t>
            </w:r>
          </w:p>
        </w:tc>
        <w:tc>
          <w:tcPr>
            <w:tcW w:w="7513" w:type="dxa"/>
          </w:tcPr>
          <w:p w:rsidR="00DF7DED" w:rsidRPr="00B9453B" w:rsidRDefault="00DF7DED" w:rsidP="005E5DC5">
            <w:pPr>
              <w:rPr>
                <w:rFonts w:cs="Tahoma"/>
                <w:szCs w:val="20"/>
              </w:rPr>
            </w:pPr>
            <w:r w:rsidRPr="00B9453B">
              <w:rPr>
                <w:rFonts w:cs="Tahoma"/>
                <w:szCs w:val="20"/>
              </w:rPr>
              <w:t>Teorie změn</w:t>
            </w:r>
          </w:p>
        </w:tc>
      </w:tr>
      <w:tr w:rsidR="00DF7DED" w:rsidRPr="00B9453B" w:rsidTr="00DF7DED">
        <w:tc>
          <w:tcPr>
            <w:tcW w:w="1526" w:type="dxa"/>
          </w:tcPr>
          <w:p w:rsidR="00DF7DED" w:rsidRPr="00B9453B" w:rsidRDefault="00DF7DED" w:rsidP="005E5DC5">
            <w:pPr>
              <w:rPr>
                <w:rFonts w:cs="Tahoma"/>
                <w:szCs w:val="20"/>
              </w:rPr>
            </w:pPr>
            <w:proofErr w:type="spellStart"/>
            <w:r w:rsidRPr="00B9453B">
              <w:rPr>
                <w:rFonts w:cs="Tahoma"/>
                <w:szCs w:val="20"/>
              </w:rPr>
              <w:t>VaV</w:t>
            </w:r>
            <w:proofErr w:type="spellEnd"/>
          </w:p>
        </w:tc>
        <w:tc>
          <w:tcPr>
            <w:tcW w:w="7513" w:type="dxa"/>
          </w:tcPr>
          <w:p w:rsidR="00DF7DED" w:rsidRPr="00B9453B" w:rsidRDefault="00DF7DED" w:rsidP="005E5DC5">
            <w:pPr>
              <w:rPr>
                <w:rFonts w:cs="Tahoma"/>
                <w:szCs w:val="20"/>
              </w:rPr>
            </w:pPr>
            <w:r w:rsidRPr="00B9453B">
              <w:rPr>
                <w:rFonts w:cs="Tahoma"/>
                <w:szCs w:val="20"/>
              </w:rPr>
              <w:t>Výzkum a vývoj</w:t>
            </w:r>
          </w:p>
        </w:tc>
      </w:tr>
      <w:tr w:rsidR="00DF7DED" w:rsidRPr="00B9453B" w:rsidTr="00DF7DED">
        <w:tc>
          <w:tcPr>
            <w:tcW w:w="1526" w:type="dxa"/>
          </w:tcPr>
          <w:p w:rsidR="00DF7DED" w:rsidRPr="00B9453B" w:rsidRDefault="00DF7DED" w:rsidP="005E5DC5">
            <w:pPr>
              <w:rPr>
                <w:rFonts w:cs="Tahoma"/>
                <w:szCs w:val="20"/>
              </w:rPr>
            </w:pPr>
            <w:proofErr w:type="spellStart"/>
            <w:r w:rsidRPr="00B9453B">
              <w:rPr>
                <w:rFonts w:cs="Tahoma"/>
                <w:szCs w:val="20"/>
              </w:rPr>
              <w:t>VVaI</w:t>
            </w:r>
            <w:proofErr w:type="spellEnd"/>
          </w:p>
        </w:tc>
        <w:tc>
          <w:tcPr>
            <w:tcW w:w="7513" w:type="dxa"/>
          </w:tcPr>
          <w:p w:rsidR="00DF7DED" w:rsidRPr="00B9453B" w:rsidRDefault="00DF7DED" w:rsidP="005E5DC5">
            <w:pPr>
              <w:rPr>
                <w:rFonts w:cs="Tahoma"/>
                <w:szCs w:val="20"/>
              </w:rPr>
            </w:pPr>
            <w:r w:rsidRPr="00B9453B">
              <w:rPr>
                <w:rFonts w:cs="Tahoma"/>
                <w:szCs w:val="20"/>
              </w:rPr>
              <w:t>Výzkum, vývoj a inovace</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ZS</w:t>
            </w:r>
          </w:p>
        </w:tc>
        <w:tc>
          <w:tcPr>
            <w:tcW w:w="7513" w:type="dxa"/>
          </w:tcPr>
          <w:p w:rsidR="00DF7DED" w:rsidRPr="00B9453B" w:rsidRDefault="00DF7DED" w:rsidP="005E5DC5">
            <w:pPr>
              <w:rPr>
                <w:rFonts w:cs="Tahoma"/>
                <w:szCs w:val="20"/>
              </w:rPr>
            </w:pPr>
            <w:r w:rsidRPr="00B9453B">
              <w:rPr>
                <w:rFonts w:cs="Tahoma"/>
                <w:szCs w:val="20"/>
              </w:rPr>
              <w:t>Zprostředkující subjekt</w:t>
            </w:r>
          </w:p>
        </w:tc>
      </w:tr>
      <w:tr w:rsidR="00DF7DED" w:rsidRPr="00B9453B" w:rsidTr="00DF7DED">
        <w:tc>
          <w:tcPr>
            <w:tcW w:w="1526" w:type="dxa"/>
          </w:tcPr>
          <w:p w:rsidR="00DF7DED" w:rsidRPr="00B9453B" w:rsidRDefault="00DF7DED" w:rsidP="005E5DC5">
            <w:pPr>
              <w:rPr>
                <w:rFonts w:cs="Tahoma"/>
                <w:szCs w:val="20"/>
              </w:rPr>
            </w:pPr>
            <w:r w:rsidRPr="00B9453B">
              <w:rPr>
                <w:rFonts w:cs="Tahoma"/>
                <w:szCs w:val="20"/>
              </w:rPr>
              <w:t>ZVZ</w:t>
            </w:r>
          </w:p>
        </w:tc>
        <w:tc>
          <w:tcPr>
            <w:tcW w:w="7513" w:type="dxa"/>
          </w:tcPr>
          <w:p w:rsidR="00DF7DED" w:rsidRPr="00B9453B" w:rsidRDefault="00DF7DED" w:rsidP="005E5DC5">
            <w:pPr>
              <w:rPr>
                <w:rFonts w:cs="Tahoma"/>
                <w:szCs w:val="20"/>
              </w:rPr>
            </w:pPr>
            <w:r w:rsidRPr="00B9453B">
              <w:rPr>
                <w:rFonts w:cs="Tahoma"/>
                <w:szCs w:val="20"/>
              </w:rPr>
              <w:t>Zákon o veřejných zakázkách</w:t>
            </w:r>
          </w:p>
        </w:tc>
      </w:tr>
    </w:tbl>
    <w:p w:rsidR="00DF7DED" w:rsidRPr="00DF7DED" w:rsidRDefault="00DF7DED" w:rsidP="00DF7DED"/>
    <w:p w:rsidR="004C617B" w:rsidRPr="00AD13CF" w:rsidRDefault="004C617B" w:rsidP="009C5AC9">
      <w:pPr>
        <w:pStyle w:val="Nadpis1"/>
      </w:pPr>
      <w:bookmarkStart w:id="2" w:name="_Toc392583654"/>
      <w:r w:rsidRPr="00AD13CF">
        <w:lastRenderedPageBreak/>
        <w:t>Úvod</w:t>
      </w:r>
      <w:bookmarkEnd w:id="0"/>
      <w:bookmarkEnd w:id="2"/>
    </w:p>
    <w:p w:rsidR="004D477D" w:rsidRDefault="004D477D" w:rsidP="009C5AC9">
      <w:pPr>
        <w:pStyle w:val="Nadpis2"/>
      </w:pPr>
      <w:bookmarkStart w:id="3" w:name="_Toc392583655"/>
      <w:bookmarkStart w:id="4" w:name="_Toc207776423"/>
      <w:bookmarkStart w:id="5" w:name="_Toc210708434"/>
      <w:r>
        <w:t xml:space="preserve">Identifikace zadavatele a </w:t>
      </w:r>
      <w:r w:rsidR="005F1E32">
        <w:t>zhotovitele</w:t>
      </w:r>
      <w:bookmarkEnd w:id="3"/>
    </w:p>
    <w:p w:rsidR="004D477D" w:rsidRPr="004D477D" w:rsidRDefault="004D477D" w:rsidP="004D477D">
      <w:pPr>
        <w:spacing w:after="120"/>
        <w:rPr>
          <w:u w:val="single"/>
        </w:rPr>
      </w:pPr>
      <w:r w:rsidRPr="004D477D">
        <w:rPr>
          <w:u w:val="single"/>
        </w:rPr>
        <w:t>Zadavatel:</w:t>
      </w:r>
    </w:p>
    <w:p w:rsidR="004D477D" w:rsidRPr="004D477D" w:rsidRDefault="004D477D" w:rsidP="004D477D">
      <w:pPr>
        <w:rPr>
          <w:b/>
        </w:rPr>
      </w:pPr>
      <w:r w:rsidRPr="004D477D">
        <w:rPr>
          <w:b/>
        </w:rPr>
        <w:t>Česká republika - Ministerstvo průmyslu a obchodu</w:t>
      </w:r>
    </w:p>
    <w:p w:rsidR="004D477D" w:rsidRPr="00332856" w:rsidRDefault="004D477D" w:rsidP="004D477D">
      <w:r>
        <w:t>Na Františku 32</w:t>
      </w:r>
      <w:r w:rsidRPr="00332856">
        <w:t xml:space="preserve"> </w:t>
      </w:r>
    </w:p>
    <w:p w:rsidR="004D477D" w:rsidRDefault="004D477D" w:rsidP="004D477D">
      <w:r w:rsidRPr="00332856">
        <w:t>110 15</w:t>
      </w:r>
      <w:r>
        <w:t xml:space="preserve"> Praha 1</w:t>
      </w:r>
    </w:p>
    <w:p w:rsidR="004D477D" w:rsidRDefault="009E5BE4" w:rsidP="004D477D">
      <w:hyperlink r:id="rId9" w:history="1">
        <w:r w:rsidR="004D477D" w:rsidRPr="001D04C1">
          <w:rPr>
            <w:rStyle w:val="Hypertextovodkaz"/>
          </w:rPr>
          <w:t>www.mpo.cz</w:t>
        </w:r>
      </w:hyperlink>
      <w:r w:rsidR="004D477D">
        <w:t xml:space="preserve"> </w:t>
      </w:r>
    </w:p>
    <w:p w:rsidR="004D477D" w:rsidRPr="004D477D" w:rsidRDefault="004D477D" w:rsidP="004D477D">
      <w:pPr>
        <w:spacing w:after="120"/>
      </w:pPr>
    </w:p>
    <w:p w:rsidR="004D477D" w:rsidRPr="004D477D" w:rsidRDefault="004D477D" w:rsidP="004D477D">
      <w:pPr>
        <w:spacing w:after="120"/>
        <w:rPr>
          <w:u w:val="single"/>
        </w:rPr>
      </w:pPr>
      <w:r w:rsidRPr="004D477D">
        <w:rPr>
          <w:u w:val="single"/>
        </w:rPr>
        <w:t>Z</w:t>
      </w:r>
      <w:r w:rsidR="005F1E32">
        <w:rPr>
          <w:u w:val="single"/>
        </w:rPr>
        <w:t>hotovi</w:t>
      </w:r>
      <w:r w:rsidRPr="004D477D">
        <w:rPr>
          <w:u w:val="single"/>
        </w:rPr>
        <w:t>tel:</w:t>
      </w:r>
    </w:p>
    <w:p w:rsidR="004D477D" w:rsidRPr="004D477D" w:rsidRDefault="004D477D" w:rsidP="004D477D">
      <w:pPr>
        <w:rPr>
          <w:b/>
        </w:rPr>
      </w:pPr>
      <w:r w:rsidRPr="004D477D">
        <w:rPr>
          <w:b/>
        </w:rPr>
        <w:t>EUFC CZ s.r.o.</w:t>
      </w:r>
    </w:p>
    <w:p w:rsidR="004D477D" w:rsidRDefault="004D477D" w:rsidP="004D477D">
      <w:r>
        <w:t>Popelova 75</w:t>
      </w:r>
    </w:p>
    <w:p w:rsidR="004D477D" w:rsidRDefault="004D477D" w:rsidP="004D477D">
      <w:r>
        <w:t>620 00 Brno</w:t>
      </w:r>
    </w:p>
    <w:p w:rsidR="004D477D" w:rsidRDefault="004D477D" w:rsidP="004D477D">
      <w:r w:rsidRPr="004D477D">
        <w:t>IČ: 269 42 364</w:t>
      </w:r>
    </w:p>
    <w:p w:rsidR="004D477D" w:rsidRPr="004D477D" w:rsidRDefault="009E5BE4" w:rsidP="004D477D">
      <w:hyperlink r:id="rId10" w:history="1">
        <w:r w:rsidR="004D477D" w:rsidRPr="001D04C1">
          <w:rPr>
            <w:rStyle w:val="Hypertextovodkaz"/>
          </w:rPr>
          <w:t>www.eufc.cz</w:t>
        </w:r>
      </w:hyperlink>
      <w:r w:rsidR="004D477D">
        <w:t xml:space="preserve">   </w:t>
      </w:r>
    </w:p>
    <w:p w:rsidR="004C617B" w:rsidRDefault="004C617B" w:rsidP="009C5AC9">
      <w:pPr>
        <w:pStyle w:val="Nadpis2"/>
      </w:pPr>
      <w:bookmarkStart w:id="6" w:name="_Toc392583656"/>
      <w:r>
        <w:t>Cíl a účel této zprávy</w:t>
      </w:r>
      <w:bookmarkEnd w:id="4"/>
      <w:bookmarkEnd w:id="5"/>
      <w:bookmarkEnd w:id="6"/>
    </w:p>
    <w:p w:rsidR="004C617B" w:rsidRPr="00CB2CC9" w:rsidRDefault="004C617B" w:rsidP="004E5C84">
      <w:pPr>
        <w:spacing w:after="120"/>
      </w:pPr>
      <w:r>
        <w:t xml:space="preserve">Cílem této zprávy je shrnout získané informace a podklady v jednotlivých </w:t>
      </w:r>
      <w:r w:rsidR="006D4EB5">
        <w:t xml:space="preserve">evaluačních </w:t>
      </w:r>
      <w:r w:rsidRPr="00CB2CC9">
        <w:t>okruzích</w:t>
      </w:r>
      <w:r w:rsidR="00E8031B">
        <w:t xml:space="preserve"> ex</w:t>
      </w:r>
      <w:r w:rsidR="00AC4780">
        <w:t>-</w:t>
      </w:r>
      <w:r w:rsidR="00E8031B">
        <w:t xml:space="preserve">ante hodnocení </w:t>
      </w:r>
      <w:r w:rsidR="00AC4780" w:rsidRPr="00CB2CC9">
        <w:rPr>
          <w:rFonts w:cs="Tahoma"/>
          <w:szCs w:val="20"/>
        </w:rPr>
        <w:t>Operačního programu Podnikání a inovace pro konkurenceschopnost 2014-2020 (OP PIK)</w:t>
      </w:r>
      <w:r w:rsidRPr="00CB2CC9">
        <w:t>.</w:t>
      </w:r>
    </w:p>
    <w:p w:rsidR="00CB2CC9" w:rsidRPr="00CB2CC9" w:rsidRDefault="004C617B" w:rsidP="004E5C84">
      <w:pPr>
        <w:spacing w:after="120"/>
      </w:pPr>
      <w:r w:rsidRPr="00CB2CC9">
        <w:t xml:space="preserve">Hlavním účelem </w:t>
      </w:r>
      <w:r w:rsidR="00CB2CC9" w:rsidRPr="00CB2CC9">
        <w:t xml:space="preserve">závěrečné </w:t>
      </w:r>
      <w:r w:rsidRPr="00CB2CC9">
        <w:t>zprávy je poskytnout zadavateli informace</w:t>
      </w:r>
      <w:r w:rsidR="00CB2CC9" w:rsidRPr="00CB2CC9">
        <w:t>:</w:t>
      </w:r>
    </w:p>
    <w:p w:rsidR="00CB2CC9" w:rsidRPr="00CB2CC9" w:rsidRDefault="00CB2CC9" w:rsidP="00C6279B">
      <w:pPr>
        <w:pStyle w:val="Odstavecseseznamem"/>
        <w:numPr>
          <w:ilvl w:val="0"/>
          <w:numId w:val="14"/>
        </w:numPr>
        <w:spacing w:after="120"/>
        <w:jc w:val="both"/>
        <w:rPr>
          <w:rFonts w:ascii="Tahoma" w:hAnsi="Tahoma" w:cs="Tahoma"/>
          <w:sz w:val="20"/>
          <w:szCs w:val="20"/>
        </w:rPr>
      </w:pPr>
      <w:r>
        <w:rPr>
          <w:rFonts w:ascii="Tahoma" w:hAnsi="Tahoma" w:cs="Tahoma"/>
          <w:sz w:val="20"/>
          <w:szCs w:val="20"/>
        </w:rPr>
        <w:t xml:space="preserve">o </w:t>
      </w:r>
      <w:r w:rsidR="004C617B" w:rsidRPr="00CB2CC9">
        <w:rPr>
          <w:rFonts w:ascii="Tahoma" w:hAnsi="Tahoma" w:cs="Tahoma"/>
          <w:sz w:val="20"/>
          <w:szCs w:val="20"/>
        </w:rPr>
        <w:t>průběhu prací na zakázce „</w:t>
      </w:r>
      <w:r w:rsidR="006D4EB5" w:rsidRPr="00CB2CC9">
        <w:rPr>
          <w:rFonts w:ascii="Tahoma" w:hAnsi="Tahoma" w:cs="Tahoma"/>
          <w:sz w:val="20"/>
          <w:szCs w:val="20"/>
        </w:rPr>
        <w:t xml:space="preserve">Ex-ante </w:t>
      </w:r>
      <w:r w:rsidR="004C617B" w:rsidRPr="00CB2CC9">
        <w:rPr>
          <w:rFonts w:ascii="Tahoma" w:hAnsi="Tahoma" w:cs="Tahoma"/>
          <w:sz w:val="20"/>
          <w:szCs w:val="20"/>
        </w:rPr>
        <w:t>hodnocení Operačního programu Podnikání a inovace</w:t>
      </w:r>
      <w:r w:rsidR="006D4EB5" w:rsidRPr="00CB2CC9">
        <w:rPr>
          <w:rFonts w:ascii="Tahoma" w:hAnsi="Tahoma" w:cs="Tahoma"/>
          <w:sz w:val="20"/>
          <w:szCs w:val="20"/>
        </w:rPr>
        <w:t xml:space="preserve"> pro konkurenceschopnost 2014-2020</w:t>
      </w:r>
      <w:r w:rsidR="004C617B" w:rsidRPr="00CB2CC9">
        <w:rPr>
          <w:rFonts w:ascii="Tahoma" w:hAnsi="Tahoma" w:cs="Tahoma"/>
          <w:sz w:val="20"/>
          <w:szCs w:val="20"/>
        </w:rPr>
        <w:t>“, aplikovan</w:t>
      </w:r>
      <w:r w:rsidRPr="00CB2CC9">
        <w:rPr>
          <w:rFonts w:ascii="Tahoma" w:hAnsi="Tahoma" w:cs="Tahoma"/>
          <w:sz w:val="20"/>
          <w:szCs w:val="20"/>
        </w:rPr>
        <w:t>é</w:t>
      </w:r>
      <w:r w:rsidR="004C617B" w:rsidRPr="00CB2CC9">
        <w:rPr>
          <w:rFonts w:ascii="Tahoma" w:hAnsi="Tahoma" w:cs="Tahoma"/>
          <w:sz w:val="20"/>
          <w:szCs w:val="20"/>
        </w:rPr>
        <w:t>m postup</w:t>
      </w:r>
      <w:r w:rsidRPr="00CB2CC9">
        <w:rPr>
          <w:rFonts w:ascii="Tahoma" w:hAnsi="Tahoma" w:cs="Tahoma"/>
          <w:sz w:val="20"/>
          <w:szCs w:val="20"/>
        </w:rPr>
        <w:t>u</w:t>
      </w:r>
      <w:r w:rsidR="004C617B" w:rsidRPr="00CB2CC9">
        <w:rPr>
          <w:rFonts w:ascii="Tahoma" w:hAnsi="Tahoma" w:cs="Tahoma"/>
          <w:sz w:val="20"/>
          <w:szCs w:val="20"/>
        </w:rPr>
        <w:t xml:space="preserve"> při zpracování evaluac</w:t>
      </w:r>
      <w:r w:rsidR="00011FD3" w:rsidRPr="00CB2CC9">
        <w:rPr>
          <w:rFonts w:ascii="Tahoma" w:hAnsi="Tahoma" w:cs="Tahoma"/>
          <w:sz w:val="20"/>
          <w:szCs w:val="20"/>
        </w:rPr>
        <w:t>e</w:t>
      </w:r>
      <w:r w:rsidR="004C617B" w:rsidRPr="00CB2CC9">
        <w:rPr>
          <w:rFonts w:ascii="Tahoma" w:hAnsi="Tahoma" w:cs="Tahoma"/>
          <w:sz w:val="20"/>
          <w:szCs w:val="20"/>
        </w:rPr>
        <w:t>, provedený</w:t>
      </w:r>
      <w:r w:rsidR="00482007">
        <w:rPr>
          <w:rFonts w:ascii="Tahoma" w:hAnsi="Tahoma" w:cs="Tahoma"/>
          <w:sz w:val="20"/>
          <w:szCs w:val="20"/>
        </w:rPr>
        <w:t>ch</w:t>
      </w:r>
      <w:r w:rsidR="004C617B" w:rsidRPr="00CB2CC9">
        <w:rPr>
          <w:rFonts w:ascii="Tahoma" w:hAnsi="Tahoma" w:cs="Tahoma"/>
          <w:sz w:val="20"/>
          <w:szCs w:val="20"/>
        </w:rPr>
        <w:t xml:space="preserve"> aktivit</w:t>
      </w:r>
      <w:r w:rsidR="00482007">
        <w:rPr>
          <w:rFonts w:ascii="Tahoma" w:hAnsi="Tahoma" w:cs="Tahoma"/>
          <w:sz w:val="20"/>
          <w:szCs w:val="20"/>
        </w:rPr>
        <w:t>ách a</w:t>
      </w:r>
      <w:r w:rsidR="004C617B" w:rsidRPr="00CB2CC9">
        <w:rPr>
          <w:rFonts w:ascii="Tahoma" w:hAnsi="Tahoma" w:cs="Tahoma"/>
          <w:sz w:val="20"/>
          <w:szCs w:val="20"/>
        </w:rPr>
        <w:t xml:space="preserve"> zpracovaný</w:t>
      </w:r>
      <w:r w:rsidR="00482007">
        <w:rPr>
          <w:rFonts w:ascii="Tahoma" w:hAnsi="Tahoma" w:cs="Tahoma"/>
          <w:sz w:val="20"/>
          <w:szCs w:val="20"/>
        </w:rPr>
        <w:t>ch výstupech</w:t>
      </w:r>
      <w:r w:rsidRPr="00CB2CC9">
        <w:rPr>
          <w:rFonts w:ascii="Tahoma" w:hAnsi="Tahoma" w:cs="Tahoma"/>
          <w:sz w:val="20"/>
          <w:szCs w:val="20"/>
        </w:rPr>
        <w:t>,</w:t>
      </w:r>
    </w:p>
    <w:p w:rsidR="0033668C" w:rsidRPr="00CB2CC9" w:rsidRDefault="00CB2CC9" w:rsidP="00C6279B">
      <w:pPr>
        <w:pStyle w:val="Odstavecseseznamem"/>
        <w:numPr>
          <w:ilvl w:val="0"/>
          <w:numId w:val="14"/>
        </w:numPr>
        <w:spacing w:after="120"/>
        <w:jc w:val="both"/>
        <w:rPr>
          <w:rFonts w:ascii="Tahoma" w:hAnsi="Tahoma" w:cs="Tahoma"/>
          <w:sz w:val="20"/>
          <w:szCs w:val="20"/>
        </w:rPr>
      </w:pPr>
      <w:r>
        <w:rPr>
          <w:rFonts w:ascii="Tahoma" w:hAnsi="Tahoma" w:cs="Tahoma"/>
          <w:sz w:val="20"/>
          <w:szCs w:val="20"/>
        </w:rPr>
        <w:t xml:space="preserve">o </w:t>
      </w:r>
      <w:r w:rsidR="00432FF2" w:rsidRPr="00CB2CC9">
        <w:rPr>
          <w:rFonts w:ascii="Tahoma" w:hAnsi="Tahoma" w:cs="Tahoma"/>
          <w:sz w:val="20"/>
          <w:szCs w:val="20"/>
        </w:rPr>
        <w:t>zjištění</w:t>
      </w:r>
      <w:r w:rsidRPr="00CB2CC9">
        <w:rPr>
          <w:rFonts w:ascii="Tahoma" w:hAnsi="Tahoma" w:cs="Tahoma"/>
          <w:sz w:val="20"/>
          <w:szCs w:val="20"/>
        </w:rPr>
        <w:t xml:space="preserve">ch a doporučeních v návaznosti na definované evaluační otázky členěné do </w:t>
      </w:r>
      <w:r w:rsidR="0033668C" w:rsidRPr="00CB2CC9">
        <w:rPr>
          <w:rFonts w:ascii="Tahoma" w:hAnsi="Tahoma" w:cs="Tahoma"/>
          <w:sz w:val="20"/>
          <w:szCs w:val="20"/>
        </w:rPr>
        <w:t xml:space="preserve">4 hlavních okruhů </w:t>
      </w:r>
      <w:r w:rsidRPr="00CB2CC9">
        <w:rPr>
          <w:rFonts w:ascii="Tahoma" w:hAnsi="Tahoma" w:cs="Tahoma"/>
          <w:sz w:val="20"/>
          <w:szCs w:val="20"/>
        </w:rPr>
        <w:t xml:space="preserve">ex-ante </w:t>
      </w:r>
      <w:r w:rsidR="0033668C" w:rsidRPr="00CB2CC9">
        <w:rPr>
          <w:rFonts w:ascii="Tahoma" w:hAnsi="Tahoma" w:cs="Tahoma"/>
          <w:sz w:val="20"/>
          <w:szCs w:val="20"/>
        </w:rPr>
        <w:t>hodnocení.</w:t>
      </w:r>
    </w:p>
    <w:p w:rsidR="004C617B" w:rsidRPr="00BC0C94" w:rsidRDefault="004C617B" w:rsidP="009C5AC9">
      <w:pPr>
        <w:pStyle w:val="Nadpis2"/>
      </w:pPr>
      <w:bookmarkStart w:id="7" w:name="_Toc207776424"/>
      <w:bookmarkStart w:id="8" w:name="_Toc210708435"/>
      <w:bookmarkStart w:id="9" w:name="_Toc392583657"/>
      <w:r w:rsidRPr="00BC0C94">
        <w:t>Seznam zdrojů a podkladů pro zpracování zprávy</w:t>
      </w:r>
      <w:bookmarkEnd w:id="7"/>
      <w:bookmarkEnd w:id="8"/>
      <w:bookmarkEnd w:id="9"/>
    </w:p>
    <w:p w:rsidR="004C617B" w:rsidRDefault="004C617B" w:rsidP="007B1E38">
      <w:pPr>
        <w:spacing w:after="120"/>
      </w:pPr>
      <w:r>
        <w:t xml:space="preserve">Zhotovitel </w:t>
      </w:r>
      <w:r w:rsidR="00E8031B">
        <w:t>měl</w:t>
      </w:r>
      <w:r>
        <w:t xml:space="preserve"> k dispozici následující podklady k</w:t>
      </w:r>
      <w:r w:rsidR="007B1E38">
        <w:t> realizaci projektu</w:t>
      </w:r>
      <w:r>
        <w:t>:</w:t>
      </w:r>
    </w:p>
    <w:p w:rsidR="00011FD3" w:rsidRPr="00C765A1" w:rsidRDefault="00011FD3" w:rsidP="00011FD3">
      <w:pPr>
        <w:ind w:left="360"/>
        <w:rPr>
          <w:rFonts w:cs="Tahoma"/>
          <w:szCs w:val="20"/>
          <w:u w:val="single"/>
        </w:rPr>
      </w:pPr>
      <w:r w:rsidRPr="00C765A1">
        <w:rPr>
          <w:rFonts w:cs="Tahoma"/>
          <w:szCs w:val="20"/>
          <w:u w:val="single"/>
        </w:rPr>
        <w:t>Materiály MPO</w:t>
      </w:r>
    </w:p>
    <w:p w:rsidR="00343246" w:rsidRDefault="00343246" w:rsidP="00C6279B">
      <w:pPr>
        <w:pStyle w:val="Odstavecseseznamem"/>
        <w:numPr>
          <w:ilvl w:val="0"/>
          <w:numId w:val="3"/>
        </w:numPr>
        <w:ind w:left="1080"/>
        <w:jc w:val="both"/>
        <w:rPr>
          <w:rFonts w:ascii="Tahoma" w:hAnsi="Tahoma" w:cs="Tahoma"/>
          <w:sz w:val="20"/>
          <w:szCs w:val="20"/>
        </w:rPr>
      </w:pPr>
      <w:r w:rsidRPr="00343246">
        <w:rPr>
          <w:rFonts w:ascii="Tahoma" w:hAnsi="Tahoma" w:cs="Tahoma"/>
          <w:sz w:val="20"/>
          <w:szCs w:val="20"/>
        </w:rPr>
        <w:t>Operační program Podnikání a inovace pro konkurenceschopnost 2014 – 2020, pracovní návrh (verze 7-2, 11. června 2014)</w:t>
      </w:r>
    </w:p>
    <w:p w:rsidR="00E8031B" w:rsidRPr="00343246" w:rsidRDefault="00E8031B" w:rsidP="00C6279B">
      <w:pPr>
        <w:pStyle w:val="Odstavecseseznamem"/>
        <w:numPr>
          <w:ilvl w:val="0"/>
          <w:numId w:val="3"/>
        </w:numPr>
        <w:ind w:left="1080"/>
        <w:jc w:val="both"/>
        <w:rPr>
          <w:rFonts w:ascii="Tahoma" w:hAnsi="Tahoma" w:cs="Tahoma"/>
          <w:sz w:val="20"/>
          <w:szCs w:val="20"/>
        </w:rPr>
      </w:pPr>
      <w:r w:rsidRPr="00343246">
        <w:rPr>
          <w:rFonts w:ascii="Tahoma" w:hAnsi="Tahoma" w:cs="Tahoma"/>
          <w:sz w:val="20"/>
          <w:szCs w:val="20"/>
        </w:rPr>
        <w:t>Operační program Podnikání a inovace pro konkurenceschopnost 2014 – 2020, pracovní návrh (verze 5-3, únor 2014)</w:t>
      </w:r>
    </w:p>
    <w:p w:rsidR="006779E1" w:rsidRPr="00302F88" w:rsidRDefault="006779E1" w:rsidP="00C6279B">
      <w:pPr>
        <w:pStyle w:val="Odstavecseseznamem"/>
        <w:numPr>
          <w:ilvl w:val="0"/>
          <w:numId w:val="3"/>
        </w:numPr>
        <w:ind w:left="1080"/>
        <w:jc w:val="both"/>
        <w:rPr>
          <w:rFonts w:ascii="Tahoma" w:hAnsi="Tahoma" w:cs="Tahoma"/>
          <w:sz w:val="20"/>
          <w:szCs w:val="20"/>
        </w:rPr>
      </w:pPr>
      <w:r w:rsidRPr="00302F88">
        <w:rPr>
          <w:rFonts w:ascii="Tahoma" w:hAnsi="Tahoma" w:cs="Tahoma"/>
          <w:sz w:val="20"/>
          <w:szCs w:val="20"/>
        </w:rPr>
        <w:t xml:space="preserve">Operační program Podnikání a inovace pro konkurenceschopnost 2014 – 2020, pracovní návrh (verze </w:t>
      </w:r>
      <w:r>
        <w:rPr>
          <w:rFonts w:ascii="Tahoma" w:hAnsi="Tahoma" w:cs="Tahoma"/>
          <w:sz w:val="20"/>
          <w:szCs w:val="20"/>
        </w:rPr>
        <w:t>4</w:t>
      </w:r>
      <w:r w:rsidRPr="00302F88">
        <w:rPr>
          <w:rFonts w:ascii="Tahoma" w:hAnsi="Tahoma" w:cs="Tahoma"/>
          <w:sz w:val="20"/>
          <w:szCs w:val="20"/>
        </w:rPr>
        <w:t>-</w:t>
      </w:r>
      <w:r>
        <w:rPr>
          <w:rFonts w:ascii="Tahoma" w:hAnsi="Tahoma" w:cs="Tahoma"/>
          <w:sz w:val="20"/>
          <w:szCs w:val="20"/>
        </w:rPr>
        <w:t>3</w:t>
      </w:r>
      <w:r w:rsidRPr="00302F88">
        <w:rPr>
          <w:rFonts w:ascii="Tahoma" w:hAnsi="Tahoma" w:cs="Tahoma"/>
          <w:sz w:val="20"/>
          <w:szCs w:val="20"/>
        </w:rPr>
        <w:t xml:space="preserve">, </w:t>
      </w:r>
      <w:r>
        <w:rPr>
          <w:rFonts w:ascii="Tahoma" w:hAnsi="Tahoma" w:cs="Tahoma"/>
          <w:sz w:val="20"/>
          <w:szCs w:val="20"/>
        </w:rPr>
        <w:t>listopad</w:t>
      </w:r>
      <w:r w:rsidRPr="00302F88">
        <w:rPr>
          <w:rFonts w:ascii="Tahoma" w:hAnsi="Tahoma" w:cs="Tahoma"/>
          <w:sz w:val="20"/>
          <w:szCs w:val="20"/>
        </w:rPr>
        <w:t xml:space="preserve"> 2013)</w:t>
      </w:r>
    </w:p>
    <w:p w:rsidR="008439DC" w:rsidRPr="00302F88" w:rsidRDefault="008439DC" w:rsidP="00C6279B">
      <w:pPr>
        <w:pStyle w:val="Odstavecseseznamem"/>
        <w:numPr>
          <w:ilvl w:val="0"/>
          <w:numId w:val="3"/>
        </w:numPr>
        <w:ind w:left="1080"/>
        <w:jc w:val="both"/>
        <w:rPr>
          <w:rFonts w:ascii="Tahoma" w:hAnsi="Tahoma" w:cs="Tahoma"/>
          <w:sz w:val="20"/>
          <w:szCs w:val="20"/>
        </w:rPr>
      </w:pPr>
      <w:r w:rsidRPr="00302F88">
        <w:rPr>
          <w:rFonts w:ascii="Tahoma" w:hAnsi="Tahoma" w:cs="Tahoma"/>
          <w:sz w:val="20"/>
          <w:szCs w:val="20"/>
        </w:rPr>
        <w:t>Operační program Podnikání a inovace pro konkurenceschopnost 2014 – 2020, pracovní návrh (verze 3-2, září 2013)</w:t>
      </w:r>
    </w:p>
    <w:p w:rsidR="00495AF9" w:rsidRPr="00302F88" w:rsidRDefault="001D7BC6" w:rsidP="00C6279B">
      <w:pPr>
        <w:pStyle w:val="Odstavecseseznamem"/>
        <w:numPr>
          <w:ilvl w:val="0"/>
          <w:numId w:val="3"/>
        </w:numPr>
        <w:ind w:left="1080"/>
        <w:jc w:val="both"/>
        <w:rPr>
          <w:rFonts w:ascii="Tahoma" w:hAnsi="Tahoma" w:cs="Tahoma"/>
          <w:sz w:val="20"/>
          <w:szCs w:val="20"/>
        </w:rPr>
      </w:pPr>
      <w:r w:rsidRPr="00302F88">
        <w:rPr>
          <w:rFonts w:ascii="Tahoma" w:hAnsi="Tahoma" w:cs="Tahoma"/>
          <w:sz w:val="20"/>
          <w:szCs w:val="20"/>
        </w:rPr>
        <w:t xml:space="preserve">Operační program Podnikání a inovace pro konkurenceschopnost 2014 – 2020, pracovní návrh (verze 2-1, </w:t>
      </w:r>
      <w:r w:rsidR="00A719FA" w:rsidRPr="00302F88">
        <w:rPr>
          <w:rFonts w:ascii="Tahoma" w:hAnsi="Tahoma" w:cs="Tahoma"/>
          <w:sz w:val="20"/>
          <w:szCs w:val="20"/>
        </w:rPr>
        <w:t>červen</w:t>
      </w:r>
      <w:r w:rsidRPr="00302F88">
        <w:rPr>
          <w:rFonts w:ascii="Tahoma" w:hAnsi="Tahoma" w:cs="Tahoma"/>
          <w:sz w:val="20"/>
          <w:szCs w:val="20"/>
        </w:rPr>
        <w:t xml:space="preserve"> 2013)</w:t>
      </w:r>
    </w:p>
    <w:p w:rsidR="00940974" w:rsidRDefault="00940974" w:rsidP="00C6279B">
      <w:pPr>
        <w:pStyle w:val="Odstavecseseznamem"/>
        <w:numPr>
          <w:ilvl w:val="0"/>
          <w:numId w:val="3"/>
        </w:numPr>
        <w:ind w:left="1080"/>
        <w:jc w:val="both"/>
        <w:rPr>
          <w:rFonts w:ascii="Tahoma" w:hAnsi="Tahoma" w:cs="Tahoma"/>
          <w:sz w:val="20"/>
          <w:szCs w:val="20"/>
        </w:rPr>
      </w:pPr>
      <w:r w:rsidRPr="00302F88">
        <w:rPr>
          <w:rFonts w:ascii="Tahoma" w:hAnsi="Tahoma" w:cs="Tahoma"/>
          <w:sz w:val="20"/>
          <w:szCs w:val="20"/>
        </w:rPr>
        <w:t>Operační program Podnikání a inovace pro konkurenceschopnost 2014 – 2020, pracovní návrh (verze 1-2, březen 2013)</w:t>
      </w:r>
    </w:p>
    <w:p w:rsidR="00E735E2" w:rsidRPr="00302F88" w:rsidRDefault="00E735E2" w:rsidP="00C6279B">
      <w:pPr>
        <w:pStyle w:val="Odstavecseseznamem"/>
        <w:numPr>
          <w:ilvl w:val="0"/>
          <w:numId w:val="3"/>
        </w:numPr>
        <w:ind w:left="1080"/>
        <w:jc w:val="both"/>
        <w:rPr>
          <w:rFonts w:ascii="Tahoma" w:hAnsi="Tahoma" w:cs="Tahoma"/>
          <w:sz w:val="20"/>
          <w:szCs w:val="20"/>
        </w:rPr>
      </w:pPr>
      <w:r>
        <w:rPr>
          <w:rFonts w:ascii="Tahoma" w:hAnsi="Tahoma" w:cs="Tahoma"/>
          <w:sz w:val="20"/>
          <w:szCs w:val="20"/>
        </w:rPr>
        <w:t>Evaluační plán OP PIK 2014-2020 (verze 1-1, duben 2014)</w:t>
      </w:r>
    </w:p>
    <w:p w:rsidR="00940974" w:rsidRPr="00302F88" w:rsidRDefault="00940974" w:rsidP="00C6279B">
      <w:pPr>
        <w:pStyle w:val="Odstavecseseznamem"/>
        <w:numPr>
          <w:ilvl w:val="0"/>
          <w:numId w:val="3"/>
        </w:numPr>
        <w:ind w:left="1080"/>
        <w:jc w:val="both"/>
        <w:rPr>
          <w:rFonts w:ascii="Tahoma" w:hAnsi="Tahoma" w:cs="Tahoma"/>
          <w:sz w:val="20"/>
          <w:szCs w:val="20"/>
        </w:rPr>
      </w:pPr>
      <w:r w:rsidRPr="00302F88">
        <w:rPr>
          <w:rFonts w:ascii="Tahoma" w:hAnsi="Tahoma" w:cs="Tahoma"/>
          <w:sz w:val="20"/>
          <w:szCs w:val="20"/>
        </w:rPr>
        <w:t xml:space="preserve">teorie změn specifických cílů 1.1 – 4.2 OP PIK (verze </w:t>
      </w:r>
      <w:r w:rsidR="006779E1">
        <w:rPr>
          <w:rFonts w:ascii="Tahoma" w:hAnsi="Tahoma" w:cs="Tahoma"/>
          <w:sz w:val="20"/>
          <w:szCs w:val="20"/>
        </w:rPr>
        <w:t>29</w:t>
      </w:r>
      <w:r w:rsidRPr="00302F88">
        <w:rPr>
          <w:rFonts w:ascii="Tahoma" w:hAnsi="Tahoma" w:cs="Tahoma"/>
          <w:sz w:val="20"/>
          <w:szCs w:val="20"/>
        </w:rPr>
        <w:t xml:space="preserve">. </w:t>
      </w:r>
      <w:r w:rsidR="006779E1">
        <w:rPr>
          <w:rFonts w:ascii="Tahoma" w:hAnsi="Tahoma" w:cs="Tahoma"/>
          <w:sz w:val="20"/>
          <w:szCs w:val="20"/>
        </w:rPr>
        <w:t>listopadu</w:t>
      </w:r>
      <w:r w:rsidRPr="00302F88">
        <w:rPr>
          <w:rFonts w:ascii="Tahoma" w:hAnsi="Tahoma" w:cs="Tahoma"/>
          <w:sz w:val="20"/>
          <w:szCs w:val="20"/>
        </w:rPr>
        <w:t xml:space="preserve"> 2013</w:t>
      </w:r>
      <w:r w:rsidR="006779E1">
        <w:rPr>
          <w:rFonts w:ascii="Tahoma" w:hAnsi="Tahoma" w:cs="Tahoma"/>
          <w:sz w:val="20"/>
          <w:szCs w:val="20"/>
        </w:rPr>
        <w:t xml:space="preserve"> a starší</w:t>
      </w:r>
      <w:r w:rsidRPr="00302F88">
        <w:rPr>
          <w:rFonts w:ascii="Tahoma" w:hAnsi="Tahoma" w:cs="Tahoma"/>
          <w:sz w:val="20"/>
          <w:szCs w:val="20"/>
        </w:rPr>
        <w:t>)</w:t>
      </w:r>
    </w:p>
    <w:p w:rsidR="000F220F" w:rsidRPr="00302F88" w:rsidRDefault="000F220F" w:rsidP="00C6279B">
      <w:pPr>
        <w:pStyle w:val="Odstavecseseznamem"/>
        <w:numPr>
          <w:ilvl w:val="0"/>
          <w:numId w:val="3"/>
        </w:numPr>
        <w:ind w:left="1080"/>
        <w:jc w:val="both"/>
        <w:rPr>
          <w:rFonts w:ascii="Tahoma" w:hAnsi="Tahoma" w:cs="Tahoma"/>
          <w:sz w:val="20"/>
          <w:szCs w:val="20"/>
        </w:rPr>
      </w:pPr>
      <w:r w:rsidRPr="00302F88">
        <w:rPr>
          <w:rFonts w:ascii="Tahoma" w:hAnsi="Tahoma" w:cs="Tahoma"/>
          <w:sz w:val="20"/>
          <w:szCs w:val="20"/>
        </w:rPr>
        <w:t xml:space="preserve">návrh indikátorové soustavy OP PIK (verze </w:t>
      </w:r>
      <w:r w:rsidR="007F5349">
        <w:rPr>
          <w:rFonts w:ascii="Tahoma" w:hAnsi="Tahoma" w:cs="Tahoma"/>
          <w:sz w:val="20"/>
          <w:szCs w:val="20"/>
        </w:rPr>
        <w:t>březen 2014</w:t>
      </w:r>
      <w:r w:rsidRPr="00302F88">
        <w:rPr>
          <w:rFonts w:ascii="Tahoma" w:hAnsi="Tahoma" w:cs="Tahoma"/>
          <w:sz w:val="20"/>
          <w:szCs w:val="20"/>
        </w:rPr>
        <w:t>)</w:t>
      </w:r>
    </w:p>
    <w:p w:rsidR="008439DC" w:rsidRPr="008439DC" w:rsidRDefault="008439DC" w:rsidP="00C6279B">
      <w:pPr>
        <w:pStyle w:val="Odstavecseseznamem"/>
        <w:numPr>
          <w:ilvl w:val="0"/>
          <w:numId w:val="3"/>
        </w:numPr>
        <w:ind w:left="1080"/>
        <w:jc w:val="both"/>
        <w:rPr>
          <w:rFonts w:ascii="Tahoma" w:hAnsi="Tahoma" w:cs="Tahoma"/>
          <w:sz w:val="20"/>
          <w:szCs w:val="20"/>
        </w:rPr>
      </w:pPr>
      <w:r w:rsidRPr="008439DC">
        <w:rPr>
          <w:rFonts w:ascii="Tahoma" w:hAnsi="Tahoma" w:cs="Tahoma"/>
          <w:sz w:val="20"/>
          <w:szCs w:val="20"/>
        </w:rPr>
        <w:t>připomínkový list s vypořádáním připomínek k návrhu OP PIK (v. 2-1)</w:t>
      </w:r>
    </w:p>
    <w:p w:rsidR="00940974" w:rsidRDefault="00940974" w:rsidP="00C6279B">
      <w:pPr>
        <w:pStyle w:val="Odstavecseseznamem"/>
        <w:numPr>
          <w:ilvl w:val="0"/>
          <w:numId w:val="3"/>
        </w:numPr>
        <w:ind w:left="1080"/>
        <w:jc w:val="both"/>
        <w:rPr>
          <w:rFonts w:ascii="Tahoma" w:hAnsi="Tahoma" w:cs="Tahoma"/>
          <w:sz w:val="20"/>
          <w:szCs w:val="20"/>
        </w:rPr>
      </w:pPr>
      <w:r w:rsidRPr="00937BAA">
        <w:rPr>
          <w:rFonts w:ascii="Tahoma" w:hAnsi="Tahoma" w:cs="Tahoma"/>
          <w:sz w:val="20"/>
          <w:szCs w:val="20"/>
        </w:rPr>
        <w:t>připomínkové listy k návrhu OP PIK (v. 1-2) a teoriím změn</w:t>
      </w:r>
    </w:p>
    <w:p w:rsidR="00BD4898" w:rsidRDefault="00BD4898" w:rsidP="00C6279B">
      <w:pPr>
        <w:pStyle w:val="Odstavecseseznamem"/>
        <w:numPr>
          <w:ilvl w:val="0"/>
          <w:numId w:val="3"/>
        </w:numPr>
        <w:ind w:left="1080"/>
        <w:jc w:val="both"/>
        <w:rPr>
          <w:rFonts w:ascii="Tahoma" w:hAnsi="Tahoma" w:cs="Tahoma"/>
          <w:sz w:val="20"/>
          <w:szCs w:val="20"/>
        </w:rPr>
      </w:pPr>
      <w:r>
        <w:rPr>
          <w:rFonts w:ascii="Tahoma" w:hAnsi="Tahoma" w:cs="Tahoma"/>
          <w:sz w:val="20"/>
          <w:szCs w:val="20"/>
        </w:rPr>
        <w:t xml:space="preserve">„Podklady pro ex-ante vyhodnocení finančních nástrojů ve vybraných specifických cílech OP PIK“ – návrh, </w:t>
      </w:r>
      <w:proofErr w:type="spellStart"/>
      <w:r>
        <w:rPr>
          <w:rFonts w:ascii="Tahoma" w:hAnsi="Tahoma" w:cs="Tahoma"/>
          <w:sz w:val="20"/>
          <w:szCs w:val="20"/>
        </w:rPr>
        <w:t>PricewaterhouseCoopers</w:t>
      </w:r>
      <w:proofErr w:type="spellEnd"/>
      <w:r>
        <w:rPr>
          <w:rFonts w:ascii="Tahoma" w:hAnsi="Tahoma" w:cs="Tahoma"/>
          <w:sz w:val="20"/>
          <w:szCs w:val="20"/>
        </w:rPr>
        <w:t xml:space="preserve"> Česká republika, s.r.o., leden 2014.</w:t>
      </w:r>
    </w:p>
    <w:p w:rsidR="00DA3E1A" w:rsidRPr="00DA3E1A" w:rsidRDefault="00DA3E1A" w:rsidP="00C6279B">
      <w:pPr>
        <w:pStyle w:val="Odstavecseseznamem"/>
        <w:numPr>
          <w:ilvl w:val="0"/>
          <w:numId w:val="3"/>
        </w:numPr>
        <w:ind w:left="1080"/>
        <w:jc w:val="both"/>
        <w:rPr>
          <w:rFonts w:ascii="Tahoma" w:hAnsi="Tahoma" w:cs="Tahoma"/>
          <w:sz w:val="20"/>
          <w:szCs w:val="20"/>
        </w:rPr>
      </w:pPr>
      <w:r w:rsidRPr="00DA3E1A">
        <w:rPr>
          <w:rFonts w:ascii="Tahoma" w:hAnsi="Tahoma" w:cs="Tahoma"/>
          <w:sz w:val="20"/>
          <w:szCs w:val="20"/>
        </w:rPr>
        <w:lastRenderedPageBreak/>
        <w:t xml:space="preserve">„Analýza absorpční kapacity a návrh cílových hodnot indikátorů Operačního programu </w:t>
      </w:r>
      <w:r>
        <w:rPr>
          <w:rFonts w:ascii="Tahoma" w:hAnsi="Tahoma" w:cs="Tahoma"/>
          <w:sz w:val="20"/>
          <w:szCs w:val="20"/>
        </w:rPr>
        <w:t>P</w:t>
      </w:r>
      <w:r w:rsidRPr="00DA3E1A">
        <w:rPr>
          <w:rFonts w:ascii="Tahoma" w:hAnsi="Tahoma" w:cs="Tahoma"/>
          <w:sz w:val="20"/>
          <w:szCs w:val="20"/>
        </w:rPr>
        <w:t>odnikání a inovace pro konkurenceschopnost 2014</w:t>
      </w:r>
      <w:r w:rsidR="00933ACE">
        <w:rPr>
          <w:rFonts w:ascii="Tahoma" w:hAnsi="Tahoma" w:cs="Tahoma"/>
          <w:sz w:val="20"/>
          <w:szCs w:val="20"/>
        </w:rPr>
        <w:t xml:space="preserve"> </w:t>
      </w:r>
      <w:r w:rsidRPr="00DA3E1A">
        <w:rPr>
          <w:rFonts w:ascii="Tahoma" w:hAnsi="Tahoma" w:cs="Tahoma"/>
          <w:sz w:val="20"/>
          <w:szCs w:val="20"/>
        </w:rPr>
        <w:t>-</w:t>
      </w:r>
      <w:r w:rsidR="00933ACE">
        <w:rPr>
          <w:rFonts w:ascii="Tahoma" w:hAnsi="Tahoma" w:cs="Tahoma"/>
          <w:sz w:val="20"/>
          <w:szCs w:val="20"/>
        </w:rPr>
        <w:t xml:space="preserve"> </w:t>
      </w:r>
      <w:r w:rsidRPr="00DA3E1A">
        <w:rPr>
          <w:rFonts w:ascii="Tahoma" w:hAnsi="Tahoma" w:cs="Tahoma"/>
          <w:sz w:val="20"/>
          <w:szCs w:val="20"/>
        </w:rPr>
        <w:t xml:space="preserve">2020“ – </w:t>
      </w:r>
      <w:r w:rsidR="00E8031B">
        <w:rPr>
          <w:rFonts w:ascii="Tahoma" w:hAnsi="Tahoma" w:cs="Tahoma"/>
          <w:sz w:val="20"/>
          <w:szCs w:val="20"/>
        </w:rPr>
        <w:t xml:space="preserve">návrh Závěrečné </w:t>
      </w:r>
      <w:r w:rsidRPr="00DA3E1A">
        <w:rPr>
          <w:rFonts w:ascii="Tahoma" w:hAnsi="Tahoma" w:cs="Tahoma"/>
          <w:sz w:val="20"/>
          <w:szCs w:val="20"/>
        </w:rPr>
        <w:t>zpráv</w:t>
      </w:r>
      <w:r w:rsidR="00E8031B">
        <w:rPr>
          <w:rFonts w:ascii="Tahoma" w:hAnsi="Tahoma" w:cs="Tahoma"/>
          <w:sz w:val="20"/>
          <w:szCs w:val="20"/>
        </w:rPr>
        <w:t>y projektu</w:t>
      </w:r>
      <w:r w:rsidRPr="00DA3E1A">
        <w:rPr>
          <w:rFonts w:ascii="Tahoma" w:hAnsi="Tahoma" w:cs="Tahoma"/>
          <w:sz w:val="20"/>
          <w:szCs w:val="20"/>
        </w:rPr>
        <w:t xml:space="preserve">, </w:t>
      </w:r>
      <w:proofErr w:type="spellStart"/>
      <w:r w:rsidRPr="00DA3E1A">
        <w:rPr>
          <w:rFonts w:ascii="Tahoma" w:hAnsi="Tahoma" w:cs="Tahoma"/>
          <w:sz w:val="20"/>
          <w:szCs w:val="20"/>
        </w:rPr>
        <w:t>HaskoningDHV</w:t>
      </w:r>
      <w:proofErr w:type="spellEnd"/>
      <w:r w:rsidRPr="00DA3E1A">
        <w:rPr>
          <w:rFonts w:ascii="Tahoma" w:hAnsi="Tahoma" w:cs="Tahoma"/>
          <w:sz w:val="20"/>
          <w:szCs w:val="20"/>
        </w:rPr>
        <w:t xml:space="preserve"> </w:t>
      </w:r>
      <w:proofErr w:type="spellStart"/>
      <w:r w:rsidRPr="00DA3E1A">
        <w:rPr>
          <w:rFonts w:ascii="Tahoma" w:hAnsi="Tahoma" w:cs="Tahoma"/>
          <w:sz w:val="20"/>
          <w:szCs w:val="20"/>
        </w:rPr>
        <w:t>Czech</w:t>
      </w:r>
      <w:proofErr w:type="spellEnd"/>
      <w:r w:rsidRPr="00DA3E1A">
        <w:rPr>
          <w:rFonts w:ascii="Tahoma" w:hAnsi="Tahoma" w:cs="Tahoma"/>
          <w:sz w:val="20"/>
          <w:szCs w:val="20"/>
        </w:rPr>
        <w:t xml:space="preserve"> </w:t>
      </w:r>
      <w:proofErr w:type="spellStart"/>
      <w:r w:rsidRPr="00DA3E1A">
        <w:rPr>
          <w:rFonts w:ascii="Tahoma" w:hAnsi="Tahoma" w:cs="Tahoma"/>
          <w:sz w:val="20"/>
          <w:szCs w:val="20"/>
        </w:rPr>
        <w:t>Republic</w:t>
      </w:r>
      <w:proofErr w:type="spellEnd"/>
      <w:r w:rsidRPr="00DA3E1A">
        <w:rPr>
          <w:rFonts w:ascii="Tahoma" w:hAnsi="Tahoma" w:cs="Tahoma"/>
          <w:sz w:val="20"/>
          <w:szCs w:val="20"/>
        </w:rPr>
        <w:t xml:space="preserve">, spol. s r. o., </w:t>
      </w:r>
      <w:r w:rsidR="00E8031B">
        <w:rPr>
          <w:rFonts w:ascii="Tahoma" w:hAnsi="Tahoma" w:cs="Tahoma"/>
          <w:sz w:val="20"/>
          <w:szCs w:val="20"/>
        </w:rPr>
        <w:t>leden 2014</w:t>
      </w:r>
      <w:r w:rsidRPr="00DA3E1A">
        <w:rPr>
          <w:rFonts w:ascii="Tahoma" w:hAnsi="Tahoma" w:cs="Tahoma"/>
          <w:sz w:val="20"/>
          <w:szCs w:val="20"/>
        </w:rPr>
        <w:t>.</w:t>
      </w:r>
    </w:p>
    <w:p w:rsidR="00093792" w:rsidRDefault="00BD4898" w:rsidP="00C6279B">
      <w:pPr>
        <w:pStyle w:val="Odstavecseseznamem"/>
        <w:numPr>
          <w:ilvl w:val="0"/>
          <w:numId w:val="3"/>
        </w:numPr>
        <w:ind w:left="1080"/>
        <w:jc w:val="both"/>
        <w:rPr>
          <w:rFonts w:ascii="Tahoma" w:hAnsi="Tahoma" w:cs="Tahoma"/>
          <w:sz w:val="20"/>
          <w:szCs w:val="20"/>
        </w:rPr>
      </w:pPr>
      <w:r>
        <w:rPr>
          <w:rFonts w:ascii="Tahoma" w:hAnsi="Tahoma" w:cs="Tahoma"/>
          <w:sz w:val="20"/>
          <w:szCs w:val="20"/>
        </w:rPr>
        <w:t xml:space="preserve">interní </w:t>
      </w:r>
      <w:r w:rsidR="002720E1">
        <w:rPr>
          <w:rFonts w:ascii="Tahoma" w:hAnsi="Tahoma" w:cs="Tahoma"/>
          <w:sz w:val="20"/>
          <w:szCs w:val="20"/>
        </w:rPr>
        <w:t>materiál</w:t>
      </w:r>
      <w:r>
        <w:rPr>
          <w:rFonts w:ascii="Tahoma" w:hAnsi="Tahoma" w:cs="Tahoma"/>
          <w:sz w:val="20"/>
          <w:szCs w:val="20"/>
        </w:rPr>
        <w:t xml:space="preserve"> MPO:</w:t>
      </w:r>
      <w:r w:rsidR="002720E1">
        <w:rPr>
          <w:rFonts w:ascii="Tahoma" w:hAnsi="Tahoma" w:cs="Tahoma"/>
          <w:sz w:val="20"/>
          <w:szCs w:val="20"/>
        </w:rPr>
        <w:t xml:space="preserve"> „</w:t>
      </w:r>
      <w:r w:rsidR="00093792">
        <w:rPr>
          <w:rFonts w:ascii="Tahoma" w:hAnsi="Tahoma" w:cs="Tahoma"/>
          <w:sz w:val="20"/>
          <w:szCs w:val="20"/>
        </w:rPr>
        <w:t>Finanční nástroje OP PIK</w:t>
      </w:r>
      <w:r w:rsidR="002720E1">
        <w:rPr>
          <w:rFonts w:ascii="Tahoma" w:hAnsi="Tahoma" w:cs="Tahoma"/>
          <w:sz w:val="20"/>
          <w:szCs w:val="20"/>
        </w:rPr>
        <w:t>“</w:t>
      </w:r>
      <w:r w:rsidR="00093792">
        <w:rPr>
          <w:rFonts w:ascii="Tahoma" w:hAnsi="Tahoma" w:cs="Tahoma"/>
          <w:sz w:val="20"/>
          <w:szCs w:val="20"/>
        </w:rPr>
        <w:t xml:space="preserve"> (únor 2013)</w:t>
      </w:r>
    </w:p>
    <w:p w:rsidR="001D7BC6" w:rsidRDefault="001D7BC6" w:rsidP="00C6279B">
      <w:pPr>
        <w:pStyle w:val="Odstavecseseznamem"/>
        <w:numPr>
          <w:ilvl w:val="0"/>
          <w:numId w:val="3"/>
        </w:numPr>
        <w:ind w:left="1080"/>
        <w:jc w:val="both"/>
        <w:rPr>
          <w:rFonts w:ascii="Tahoma" w:hAnsi="Tahoma" w:cs="Tahoma"/>
          <w:sz w:val="20"/>
          <w:szCs w:val="20"/>
        </w:rPr>
      </w:pPr>
      <w:r>
        <w:rPr>
          <w:rFonts w:ascii="Tahoma" w:hAnsi="Tahoma" w:cs="Tahoma"/>
          <w:sz w:val="20"/>
          <w:szCs w:val="20"/>
        </w:rPr>
        <w:t xml:space="preserve">zápisy z jednání Platformy </w:t>
      </w:r>
      <w:r w:rsidR="00940974">
        <w:rPr>
          <w:rFonts w:ascii="Tahoma" w:hAnsi="Tahoma" w:cs="Tahoma"/>
          <w:sz w:val="20"/>
          <w:szCs w:val="20"/>
        </w:rPr>
        <w:t>pro přípravu OP PIK a</w:t>
      </w:r>
      <w:r w:rsidR="006779E1">
        <w:rPr>
          <w:rFonts w:ascii="Tahoma" w:hAnsi="Tahoma" w:cs="Tahoma"/>
          <w:sz w:val="20"/>
          <w:szCs w:val="20"/>
        </w:rPr>
        <w:t xml:space="preserve"> z jednání</w:t>
      </w:r>
      <w:r w:rsidR="00940974">
        <w:rPr>
          <w:rFonts w:ascii="Tahoma" w:hAnsi="Tahoma" w:cs="Tahoma"/>
          <w:sz w:val="20"/>
          <w:szCs w:val="20"/>
        </w:rPr>
        <w:t xml:space="preserve"> jednotlivých pracovních skupin</w:t>
      </w:r>
    </w:p>
    <w:p w:rsidR="00011FD3" w:rsidRPr="000049F3" w:rsidRDefault="00011FD3" w:rsidP="00C6279B">
      <w:pPr>
        <w:pStyle w:val="Odstavecseseznamem"/>
        <w:numPr>
          <w:ilvl w:val="0"/>
          <w:numId w:val="3"/>
        </w:numPr>
        <w:ind w:left="1080"/>
        <w:jc w:val="both"/>
        <w:rPr>
          <w:rFonts w:ascii="Tahoma" w:hAnsi="Tahoma" w:cs="Tahoma"/>
          <w:sz w:val="20"/>
          <w:szCs w:val="20"/>
        </w:rPr>
      </w:pPr>
      <w:r w:rsidRPr="000049F3">
        <w:rPr>
          <w:rFonts w:ascii="Tahoma" w:hAnsi="Tahoma" w:cs="Tahoma"/>
          <w:sz w:val="20"/>
          <w:szCs w:val="20"/>
        </w:rPr>
        <w:t>Operační program Průmysl a podnikání 2004</w:t>
      </w:r>
      <w:r w:rsidR="00933ACE">
        <w:rPr>
          <w:rFonts w:ascii="Tahoma" w:hAnsi="Tahoma" w:cs="Tahoma"/>
          <w:sz w:val="20"/>
          <w:szCs w:val="20"/>
        </w:rPr>
        <w:t xml:space="preserve"> </w:t>
      </w:r>
      <w:r w:rsidRPr="000049F3">
        <w:rPr>
          <w:rFonts w:ascii="Tahoma" w:hAnsi="Tahoma" w:cs="Tahoma"/>
          <w:sz w:val="20"/>
          <w:szCs w:val="20"/>
        </w:rPr>
        <w:t>–</w:t>
      </w:r>
      <w:r w:rsidR="00933ACE">
        <w:rPr>
          <w:rFonts w:ascii="Tahoma" w:hAnsi="Tahoma" w:cs="Tahoma"/>
          <w:sz w:val="20"/>
          <w:szCs w:val="20"/>
        </w:rPr>
        <w:t xml:space="preserve"> </w:t>
      </w:r>
      <w:r w:rsidRPr="000049F3">
        <w:rPr>
          <w:rFonts w:ascii="Tahoma" w:hAnsi="Tahoma" w:cs="Tahoma"/>
          <w:sz w:val="20"/>
          <w:szCs w:val="20"/>
        </w:rPr>
        <w:t>2006 a související dokumenty Řídícího orgánu (MPO)</w:t>
      </w:r>
    </w:p>
    <w:p w:rsidR="00011FD3" w:rsidRPr="000049F3" w:rsidRDefault="00011FD3" w:rsidP="00C6279B">
      <w:pPr>
        <w:pStyle w:val="Odstavecseseznamem"/>
        <w:numPr>
          <w:ilvl w:val="0"/>
          <w:numId w:val="3"/>
        </w:numPr>
        <w:ind w:left="1080"/>
        <w:jc w:val="both"/>
        <w:rPr>
          <w:rFonts w:ascii="Tahoma" w:hAnsi="Tahoma" w:cs="Tahoma"/>
          <w:sz w:val="20"/>
          <w:szCs w:val="20"/>
        </w:rPr>
      </w:pPr>
      <w:r w:rsidRPr="000049F3">
        <w:rPr>
          <w:rFonts w:ascii="Tahoma" w:hAnsi="Tahoma" w:cs="Tahoma"/>
          <w:sz w:val="20"/>
          <w:szCs w:val="20"/>
        </w:rPr>
        <w:t>Operační program Podnikání a inovace 2007</w:t>
      </w:r>
      <w:r w:rsidR="00933ACE">
        <w:rPr>
          <w:rFonts w:ascii="Tahoma" w:hAnsi="Tahoma" w:cs="Tahoma"/>
          <w:sz w:val="20"/>
          <w:szCs w:val="20"/>
        </w:rPr>
        <w:t xml:space="preserve"> </w:t>
      </w:r>
      <w:r w:rsidRPr="000049F3">
        <w:rPr>
          <w:rFonts w:ascii="Tahoma" w:hAnsi="Tahoma" w:cs="Tahoma"/>
          <w:sz w:val="20"/>
          <w:szCs w:val="20"/>
        </w:rPr>
        <w:t>–</w:t>
      </w:r>
      <w:r w:rsidR="00933ACE">
        <w:rPr>
          <w:rFonts w:ascii="Tahoma" w:hAnsi="Tahoma" w:cs="Tahoma"/>
          <w:sz w:val="20"/>
          <w:szCs w:val="20"/>
        </w:rPr>
        <w:t xml:space="preserve"> </w:t>
      </w:r>
      <w:r w:rsidRPr="000049F3">
        <w:rPr>
          <w:rFonts w:ascii="Tahoma" w:hAnsi="Tahoma" w:cs="Tahoma"/>
          <w:sz w:val="20"/>
          <w:szCs w:val="20"/>
        </w:rPr>
        <w:t>2013 a související dokumenty Řídicího orgánu (MPO)</w:t>
      </w:r>
    </w:p>
    <w:p w:rsidR="00011FD3" w:rsidRPr="000049F3" w:rsidRDefault="00011FD3" w:rsidP="00C6279B">
      <w:pPr>
        <w:pStyle w:val="Odstavecseseznamem"/>
        <w:numPr>
          <w:ilvl w:val="0"/>
          <w:numId w:val="3"/>
        </w:numPr>
        <w:ind w:left="1080"/>
        <w:jc w:val="both"/>
        <w:rPr>
          <w:rFonts w:ascii="Tahoma" w:hAnsi="Tahoma" w:cs="Tahoma"/>
          <w:sz w:val="20"/>
          <w:szCs w:val="20"/>
        </w:rPr>
      </w:pPr>
      <w:r w:rsidRPr="000049F3">
        <w:rPr>
          <w:rFonts w:ascii="Tahoma" w:hAnsi="Tahoma" w:cs="Tahoma"/>
          <w:sz w:val="20"/>
          <w:szCs w:val="20"/>
        </w:rPr>
        <w:t>Eva</w:t>
      </w:r>
      <w:r w:rsidR="00933ACE">
        <w:rPr>
          <w:rFonts w:ascii="Tahoma" w:hAnsi="Tahoma" w:cs="Tahoma"/>
          <w:sz w:val="20"/>
          <w:szCs w:val="20"/>
        </w:rPr>
        <w:t xml:space="preserve">luace vztahující se k OPPP 2004 </w:t>
      </w:r>
      <w:r w:rsidRPr="000049F3">
        <w:rPr>
          <w:rFonts w:ascii="Tahoma" w:hAnsi="Tahoma" w:cs="Tahoma"/>
          <w:sz w:val="20"/>
          <w:szCs w:val="20"/>
        </w:rPr>
        <w:t>–</w:t>
      </w:r>
      <w:r w:rsidR="00933ACE">
        <w:rPr>
          <w:rFonts w:ascii="Tahoma" w:hAnsi="Tahoma" w:cs="Tahoma"/>
          <w:sz w:val="20"/>
          <w:szCs w:val="20"/>
        </w:rPr>
        <w:t xml:space="preserve"> </w:t>
      </w:r>
      <w:r w:rsidRPr="000049F3">
        <w:rPr>
          <w:rFonts w:ascii="Tahoma" w:hAnsi="Tahoma" w:cs="Tahoma"/>
          <w:sz w:val="20"/>
          <w:szCs w:val="20"/>
        </w:rPr>
        <w:t xml:space="preserve">2006 a </w:t>
      </w:r>
      <w:r w:rsidR="00940974">
        <w:rPr>
          <w:rFonts w:ascii="Tahoma" w:hAnsi="Tahoma" w:cs="Tahoma"/>
          <w:sz w:val="20"/>
          <w:szCs w:val="20"/>
        </w:rPr>
        <w:t xml:space="preserve">k </w:t>
      </w:r>
      <w:r w:rsidRPr="000049F3">
        <w:rPr>
          <w:rFonts w:ascii="Tahoma" w:hAnsi="Tahoma" w:cs="Tahoma"/>
          <w:sz w:val="20"/>
          <w:szCs w:val="20"/>
        </w:rPr>
        <w:t>OPPI 2007-2013</w:t>
      </w:r>
      <w:r>
        <w:rPr>
          <w:rFonts w:ascii="Tahoma" w:hAnsi="Tahoma" w:cs="Tahoma"/>
          <w:sz w:val="20"/>
          <w:szCs w:val="20"/>
        </w:rPr>
        <w:t>:</w:t>
      </w:r>
    </w:p>
    <w:p w:rsidR="00011FD3" w:rsidRPr="000049F3" w:rsidRDefault="00011FD3" w:rsidP="00C6279B">
      <w:pPr>
        <w:pStyle w:val="Odstavecseseznamem"/>
        <w:numPr>
          <w:ilvl w:val="1"/>
          <w:numId w:val="3"/>
        </w:numPr>
        <w:ind w:left="1800"/>
        <w:jc w:val="both"/>
        <w:rPr>
          <w:rFonts w:ascii="Tahoma" w:hAnsi="Tahoma" w:cs="Tahoma"/>
          <w:sz w:val="20"/>
          <w:szCs w:val="20"/>
        </w:rPr>
      </w:pPr>
      <w:r w:rsidRPr="000049F3">
        <w:rPr>
          <w:rFonts w:ascii="Tahoma" w:hAnsi="Tahoma" w:cs="Tahoma"/>
          <w:sz w:val="20"/>
          <w:szCs w:val="20"/>
        </w:rPr>
        <w:t xml:space="preserve">Vyhodnocení dopadů realizace Operačního programu Průmysl a podnikání 2004 – 2006 na hospodářský vývoj v regionech soudržnosti České republiky, </w:t>
      </w:r>
      <w:proofErr w:type="spellStart"/>
      <w:r w:rsidRPr="000049F3">
        <w:rPr>
          <w:rFonts w:ascii="Tahoma" w:hAnsi="Tahoma" w:cs="Tahoma"/>
          <w:sz w:val="20"/>
          <w:szCs w:val="20"/>
        </w:rPr>
        <w:t>BermanGroup</w:t>
      </w:r>
      <w:proofErr w:type="spellEnd"/>
      <w:r w:rsidRPr="000049F3">
        <w:rPr>
          <w:rFonts w:ascii="Tahoma" w:hAnsi="Tahoma" w:cs="Tahoma"/>
          <w:sz w:val="20"/>
          <w:szCs w:val="20"/>
        </w:rPr>
        <w:t>, listopad 2008</w:t>
      </w:r>
    </w:p>
    <w:p w:rsidR="00011FD3" w:rsidRPr="000049F3" w:rsidRDefault="00011FD3" w:rsidP="00C6279B">
      <w:pPr>
        <w:pStyle w:val="Odstavecseseznamem"/>
        <w:numPr>
          <w:ilvl w:val="1"/>
          <w:numId w:val="3"/>
        </w:numPr>
        <w:ind w:left="1800"/>
        <w:jc w:val="both"/>
        <w:rPr>
          <w:rFonts w:ascii="Tahoma" w:hAnsi="Tahoma" w:cs="Tahoma"/>
          <w:sz w:val="20"/>
          <w:szCs w:val="20"/>
        </w:rPr>
      </w:pPr>
      <w:r w:rsidRPr="000049F3">
        <w:rPr>
          <w:rFonts w:ascii="Tahoma" w:hAnsi="Tahoma" w:cs="Tahoma"/>
          <w:sz w:val="20"/>
          <w:szCs w:val="20"/>
        </w:rPr>
        <w:t xml:space="preserve">Celkové vyhodnocení výsledků a dopadů realizace Operačního programu Průmysl a podnikání 2004–2006, </w:t>
      </w:r>
      <w:proofErr w:type="spellStart"/>
      <w:r w:rsidRPr="000049F3">
        <w:rPr>
          <w:rFonts w:ascii="Tahoma" w:hAnsi="Tahoma" w:cs="Tahoma"/>
          <w:sz w:val="20"/>
          <w:szCs w:val="20"/>
        </w:rPr>
        <w:t>Deloitte</w:t>
      </w:r>
      <w:proofErr w:type="spellEnd"/>
      <w:r w:rsidRPr="000049F3">
        <w:rPr>
          <w:rFonts w:ascii="Tahoma" w:hAnsi="Tahoma" w:cs="Tahoma"/>
          <w:sz w:val="20"/>
          <w:szCs w:val="20"/>
        </w:rPr>
        <w:t>, listopad 2008</w:t>
      </w:r>
    </w:p>
    <w:p w:rsidR="00011FD3" w:rsidRDefault="00011FD3" w:rsidP="00C6279B">
      <w:pPr>
        <w:pStyle w:val="Odstavecseseznamem"/>
        <w:numPr>
          <w:ilvl w:val="1"/>
          <w:numId w:val="3"/>
        </w:numPr>
        <w:ind w:left="1800"/>
        <w:jc w:val="both"/>
        <w:rPr>
          <w:rFonts w:ascii="Tahoma" w:hAnsi="Tahoma" w:cs="Tahoma"/>
          <w:sz w:val="20"/>
          <w:szCs w:val="20"/>
        </w:rPr>
      </w:pPr>
      <w:r w:rsidRPr="000049F3">
        <w:rPr>
          <w:rFonts w:ascii="Tahoma" w:hAnsi="Tahoma" w:cs="Tahoma"/>
          <w:sz w:val="20"/>
          <w:szCs w:val="20"/>
        </w:rPr>
        <w:t>Střednědobé hodnocení Operačního programu Podnikání a inovace 2007 – 2013, EUFC CZ, s.r.o., duben 2012</w:t>
      </w:r>
    </w:p>
    <w:p w:rsidR="008E5E95" w:rsidRPr="000049F3" w:rsidRDefault="008E5E95" w:rsidP="00C6279B">
      <w:pPr>
        <w:pStyle w:val="Odstavecseseznamem"/>
        <w:numPr>
          <w:ilvl w:val="1"/>
          <w:numId w:val="3"/>
        </w:numPr>
        <w:ind w:left="1800"/>
        <w:jc w:val="both"/>
        <w:rPr>
          <w:rFonts w:ascii="Tahoma" w:hAnsi="Tahoma" w:cs="Tahoma"/>
          <w:sz w:val="20"/>
          <w:szCs w:val="20"/>
        </w:rPr>
      </w:pPr>
      <w:r w:rsidRPr="008E5E95">
        <w:rPr>
          <w:rFonts w:ascii="Tahoma" w:hAnsi="Tahoma" w:cs="Tahoma"/>
          <w:sz w:val="20"/>
          <w:szCs w:val="20"/>
        </w:rPr>
        <w:t>Analýza stavu Operačního programu Podnikání a inovace včetně návrhu souboru opatření</w:t>
      </w:r>
      <w:r>
        <w:rPr>
          <w:rFonts w:ascii="Tahoma" w:hAnsi="Tahoma" w:cs="Tahoma"/>
          <w:sz w:val="20"/>
          <w:szCs w:val="20"/>
        </w:rPr>
        <w:t xml:space="preserve">, </w:t>
      </w:r>
      <w:proofErr w:type="spellStart"/>
      <w:r>
        <w:rPr>
          <w:rFonts w:ascii="Tahoma" w:hAnsi="Tahoma" w:cs="Tahoma"/>
          <w:sz w:val="20"/>
          <w:szCs w:val="20"/>
        </w:rPr>
        <w:t>eNovation</w:t>
      </w:r>
      <w:proofErr w:type="spellEnd"/>
      <w:r>
        <w:rPr>
          <w:rFonts w:ascii="Tahoma" w:hAnsi="Tahoma" w:cs="Tahoma"/>
          <w:sz w:val="20"/>
          <w:szCs w:val="20"/>
        </w:rPr>
        <w:t xml:space="preserve"> s.r.o., prosinec 2010 </w:t>
      </w:r>
    </w:p>
    <w:p w:rsidR="00011FD3" w:rsidRPr="000049F3" w:rsidRDefault="00011FD3" w:rsidP="00C6279B">
      <w:pPr>
        <w:pStyle w:val="Odstavecseseznamem"/>
        <w:numPr>
          <w:ilvl w:val="1"/>
          <w:numId w:val="3"/>
        </w:numPr>
        <w:ind w:left="1800"/>
        <w:jc w:val="both"/>
        <w:rPr>
          <w:rFonts w:ascii="Tahoma" w:hAnsi="Tahoma" w:cs="Tahoma"/>
          <w:sz w:val="20"/>
          <w:szCs w:val="20"/>
        </w:rPr>
      </w:pPr>
      <w:r w:rsidRPr="000049F3">
        <w:rPr>
          <w:rFonts w:ascii="Tahoma" w:hAnsi="Tahoma" w:cs="Tahoma"/>
          <w:sz w:val="20"/>
          <w:szCs w:val="20"/>
        </w:rPr>
        <w:t xml:space="preserve">Analýza věcných priorit a potřeb jednotlivých oblastí v působnosti MPO pro zaměření podpory ze strukturálních fondů EU v příštím programovacím období (2014+), </w:t>
      </w:r>
      <w:r>
        <w:rPr>
          <w:rFonts w:ascii="Tahoma" w:hAnsi="Tahoma" w:cs="Tahoma"/>
          <w:sz w:val="20"/>
          <w:szCs w:val="20"/>
        </w:rPr>
        <w:t>zhotovitel</w:t>
      </w:r>
      <w:r w:rsidRPr="000049F3">
        <w:rPr>
          <w:rFonts w:ascii="Tahoma" w:hAnsi="Tahoma" w:cs="Tahoma"/>
          <w:sz w:val="20"/>
          <w:szCs w:val="20"/>
        </w:rPr>
        <w:t xml:space="preserve">: </w:t>
      </w:r>
      <w:proofErr w:type="spellStart"/>
      <w:r w:rsidRPr="000049F3">
        <w:rPr>
          <w:rFonts w:ascii="Tahoma" w:hAnsi="Tahoma" w:cs="Tahoma"/>
          <w:sz w:val="20"/>
          <w:szCs w:val="20"/>
        </w:rPr>
        <w:t>BermanGroup</w:t>
      </w:r>
      <w:proofErr w:type="spellEnd"/>
      <w:r w:rsidRPr="000049F3">
        <w:rPr>
          <w:rFonts w:ascii="Tahoma" w:hAnsi="Tahoma" w:cs="Tahoma"/>
          <w:sz w:val="20"/>
          <w:szCs w:val="20"/>
        </w:rPr>
        <w:t>, s.r.o., listopad 2010</w:t>
      </w:r>
    </w:p>
    <w:p w:rsidR="00011FD3" w:rsidRDefault="00011FD3" w:rsidP="00C6279B">
      <w:pPr>
        <w:pStyle w:val="Odstavecseseznamem"/>
        <w:numPr>
          <w:ilvl w:val="1"/>
          <w:numId w:val="3"/>
        </w:numPr>
        <w:ind w:left="1800"/>
        <w:jc w:val="both"/>
        <w:rPr>
          <w:rFonts w:ascii="Tahoma" w:hAnsi="Tahoma" w:cs="Tahoma"/>
          <w:sz w:val="20"/>
          <w:szCs w:val="20"/>
        </w:rPr>
      </w:pPr>
      <w:r w:rsidRPr="000049F3">
        <w:rPr>
          <w:rFonts w:ascii="Tahoma" w:hAnsi="Tahoma" w:cs="Tahoma"/>
          <w:sz w:val="20"/>
          <w:szCs w:val="20"/>
        </w:rPr>
        <w:t>Priority MPO pro konkurenceschopnou podnikatelskou sféru v budouc</w:t>
      </w:r>
      <w:r w:rsidR="00933ACE">
        <w:rPr>
          <w:rFonts w:ascii="Tahoma" w:hAnsi="Tahoma" w:cs="Tahoma"/>
          <w:sz w:val="20"/>
          <w:szCs w:val="20"/>
        </w:rPr>
        <w:t>ím období kohezní politiky 2014</w:t>
      </w:r>
      <w:r w:rsidRPr="000049F3">
        <w:rPr>
          <w:rFonts w:ascii="Tahoma" w:hAnsi="Tahoma" w:cs="Tahoma"/>
          <w:sz w:val="20"/>
          <w:szCs w:val="20"/>
        </w:rPr>
        <w:t>–2020, materiál MPO, prosinec 2011</w:t>
      </w:r>
    </w:p>
    <w:p w:rsidR="00495AF9" w:rsidRDefault="00495AF9" w:rsidP="00C6279B">
      <w:pPr>
        <w:pStyle w:val="Odstavecseseznamem"/>
        <w:numPr>
          <w:ilvl w:val="1"/>
          <w:numId w:val="3"/>
        </w:numPr>
        <w:ind w:left="1800"/>
        <w:jc w:val="both"/>
        <w:rPr>
          <w:rFonts w:ascii="Tahoma" w:hAnsi="Tahoma" w:cs="Tahoma"/>
          <w:sz w:val="20"/>
          <w:szCs w:val="20"/>
        </w:rPr>
      </w:pPr>
      <w:r w:rsidRPr="006E7594">
        <w:rPr>
          <w:rFonts w:ascii="Tahoma" w:hAnsi="Tahoma" w:cs="Tahoma"/>
          <w:sz w:val="20"/>
          <w:szCs w:val="20"/>
        </w:rPr>
        <w:t>Vyhodnocení a optimalizace soustavy indikátorů Operačního programu Podnikání a inovace 2007</w:t>
      </w:r>
      <w:r w:rsidR="00933ACE">
        <w:rPr>
          <w:rFonts w:ascii="Tahoma" w:hAnsi="Tahoma" w:cs="Tahoma"/>
          <w:sz w:val="20"/>
          <w:szCs w:val="20"/>
        </w:rPr>
        <w:t xml:space="preserve"> </w:t>
      </w:r>
      <w:r w:rsidRPr="006E7594">
        <w:rPr>
          <w:rFonts w:ascii="Tahoma" w:hAnsi="Tahoma" w:cs="Tahoma"/>
          <w:sz w:val="20"/>
          <w:szCs w:val="20"/>
        </w:rPr>
        <w:t>–</w:t>
      </w:r>
      <w:r w:rsidR="00933ACE">
        <w:rPr>
          <w:rFonts w:ascii="Tahoma" w:hAnsi="Tahoma" w:cs="Tahoma"/>
          <w:sz w:val="20"/>
          <w:szCs w:val="20"/>
        </w:rPr>
        <w:t xml:space="preserve"> </w:t>
      </w:r>
      <w:r w:rsidRPr="006E7594">
        <w:rPr>
          <w:rFonts w:ascii="Tahoma" w:hAnsi="Tahoma" w:cs="Tahoma"/>
          <w:sz w:val="20"/>
          <w:szCs w:val="20"/>
        </w:rPr>
        <w:t>2013,</w:t>
      </w:r>
      <w:r>
        <w:rPr>
          <w:rFonts w:ascii="Tahoma" w:hAnsi="Tahoma" w:cs="Tahoma"/>
          <w:sz w:val="20"/>
          <w:szCs w:val="20"/>
        </w:rPr>
        <w:t xml:space="preserve"> IREAS centrum, s.r.o., únor 2010</w:t>
      </w:r>
    </w:p>
    <w:p w:rsidR="00495AF9" w:rsidRDefault="00495AF9" w:rsidP="00C6279B">
      <w:pPr>
        <w:pStyle w:val="Odstavecseseznamem"/>
        <w:numPr>
          <w:ilvl w:val="1"/>
          <w:numId w:val="3"/>
        </w:numPr>
        <w:ind w:left="1800"/>
        <w:jc w:val="both"/>
        <w:rPr>
          <w:rFonts w:ascii="Tahoma" w:hAnsi="Tahoma" w:cs="Tahoma"/>
          <w:sz w:val="20"/>
          <w:szCs w:val="20"/>
        </w:rPr>
      </w:pPr>
      <w:r w:rsidRPr="003F1298">
        <w:rPr>
          <w:rFonts w:ascii="Tahoma" w:hAnsi="Tahoma" w:cs="Tahoma"/>
          <w:sz w:val="20"/>
          <w:szCs w:val="20"/>
        </w:rPr>
        <w:t>Vyhodnocení ekonomických efektů a nastavení podmínek programu podpory ICT a strategické služby OPPI</w:t>
      </w:r>
      <w:r>
        <w:rPr>
          <w:rFonts w:ascii="Tahoma" w:hAnsi="Tahoma" w:cs="Tahoma"/>
          <w:sz w:val="20"/>
          <w:szCs w:val="20"/>
        </w:rPr>
        <w:t>, DHV, duben 2011</w:t>
      </w:r>
    </w:p>
    <w:p w:rsidR="00495AF9" w:rsidRDefault="00495AF9" w:rsidP="00C6279B">
      <w:pPr>
        <w:pStyle w:val="Odstavecseseznamem"/>
        <w:numPr>
          <w:ilvl w:val="1"/>
          <w:numId w:val="3"/>
        </w:numPr>
        <w:ind w:left="1800"/>
        <w:jc w:val="both"/>
        <w:rPr>
          <w:rFonts w:ascii="Tahoma" w:hAnsi="Tahoma" w:cs="Tahoma"/>
          <w:sz w:val="20"/>
          <w:szCs w:val="20"/>
        </w:rPr>
      </w:pPr>
      <w:r w:rsidRPr="003F1298">
        <w:rPr>
          <w:rFonts w:ascii="Tahoma" w:hAnsi="Tahoma" w:cs="Tahoma"/>
          <w:sz w:val="20"/>
          <w:szCs w:val="20"/>
        </w:rPr>
        <w:t>Vyhodnocení ekonomických efektů a nastavení podmínek programů podpory Inovace, Potenciál a Spolupráce OPPI</w:t>
      </w:r>
      <w:r>
        <w:rPr>
          <w:rFonts w:ascii="Tahoma" w:hAnsi="Tahoma" w:cs="Tahoma"/>
          <w:sz w:val="20"/>
          <w:szCs w:val="20"/>
        </w:rPr>
        <w:t>, DHV, duben 2011</w:t>
      </w:r>
    </w:p>
    <w:p w:rsidR="00495AF9" w:rsidRPr="00940974" w:rsidRDefault="00495AF9" w:rsidP="00C6279B">
      <w:pPr>
        <w:pStyle w:val="Odstavecseseznamem"/>
        <w:numPr>
          <w:ilvl w:val="1"/>
          <w:numId w:val="3"/>
        </w:numPr>
        <w:ind w:left="1800"/>
        <w:jc w:val="both"/>
        <w:rPr>
          <w:rFonts w:ascii="Tahoma" w:hAnsi="Tahoma" w:cs="Tahoma"/>
          <w:sz w:val="20"/>
          <w:szCs w:val="20"/>
        </w:rPr>
      </w:pPr>
      <w:r w:rsidRPr="003F1298">
        <w:rPr>
          <w:rFonts w:ascii="Tahoma" w:hAnsi="Tahoma" w:cs="Tahoma"/>
          <w:sz w:val="20"/>
          <w:szCs w:val="20"/>
        </w:rPr>
        <w:t>Vyhodnocení ekonomických efektů a nastavení podmínek programů podpory Nemovitosti a Rozvoj OPPI</w:t>
      </w:r>
      <w:r>
        <w:rPr>
          <w:rFonts w:ascii="Tahoma" w:hAnsi="Tahoma" w:cs="Tahoma"/>
          <w:sz w:val="20"/>
          <w:szCs w:val="20"/>
        </w:rPr>
        <w:t>, DHV, duben 2011</w:t>
      </w:r>
      <w:r w:rsidRPr="003F1298">
        <w:rPr>
          <w:rFonts w:ascii="Tahoma" w:hAnsi="Tahoma" w:cs="Tahoma"/>
          <w:sz w:val="20"/>
          <w:szCs w:val="20"/>
        </w:rPr>
        <w:t xml:space="preserve"> </w:t>
      </w:r>
    </w:p>
    <w:p w:rsidR="00011FD3" w:rsidRPr="000049F3" w:rsidRDefault="00011FD3" w:rsidP="00011FD3">
      <w:pPr>
        <w:ind w:left="360"/>
        <w:rPr>
          <w:rFonts w:cs="Tahoma"/>
          <w:szCs w:val="20"/>
        </w:rPr>
      </w:pPr>
    </w:p>
    <w:p w:rsidR="00011FD3" w:rsidRPr="00C765A1" w:rsidRDefault="00495AF9" w:rsidP="00011FD3">
      <w:pPr>
        <w:ind w:left="360"/>
        <w:rPr>
          <w:rFonts w:cs="Tahoma"/>
          <w:szCs w:val="20"/>
          <w:u w:val="single"/>
        </w:rPr>
      </w:pPr>
      <w:r w:rsidRPr="00C765A1">
        <w:rPr>
          <w:rFonts w:cs="Tahoma"/>
          <w:szCs w:val="20"/>
          <w:u w:val="single"/>
        </w:rPr>
        <w:t xml:space="preserve">Metodické </w:t>
      </w:r>
      <w:r w:rsidR="00093792" w:rsidRPr="00C765A1">
        <w:rPr>
          <w:rFonts w:cs="Tahoma"/>
          <w:szCs w:val="20"/>
          <w:u w:val="single"/>
        </w:rPr>
        <w:t xml:space="preserve">pokyny a další </w:t>
      </w:r>
      <w:r w:rsidRPr="00C765A1">
        <w:rPr>
          <w:rFonts w:cs="Tahoma"/>
          <w:szCs w:val="20"/>
          <w:u w:val="single"/>
        </w:rPr>
        <w:t>m</w:t>
      </w:r>
      <w:r w:rsidR="00011FD3" w:rsidRPr="00C765A1">
        <w:rPr>
          <w:rFonts w:cs="Tahoma"/>
          <w:szCs w:val="20"/>
          <w:u w:val="single"/>
        </w:rPr>
        <w:t>ateriály MMR-NOK</w:t>
      </w:r>
    </w:p>
    <w:p w:rsidR="00011FD3" w:rsidRPr="00114C37" w:rsidRDefault="00011FD3" w:rsidP="00C6279B">
      <w:pPr>
        <w:pStyle w:val="Odstavecseseznamem"/>
        <w:numPr>
          <w:ilvl w:val="0"/>
          <w:numId w:val="3"/>
        </w:numPr>
        <w:ind w:left="1080"/>
        <w:jc w:val="both"/>
        <w:rPr>
          <w:rFonts w:ascii="Tahoma" w:hAnsi="Tahoma" w:cs="Tahoma"/>
          <w:sz w:val="20"/>
          <w:szCs w:val="20"/>
        </w:rPr>
      </w:pPr>
      <w:r w:rsidRPr="00114C37">
        <w:rPr>
          <w:rFonts w:ascii="Tahoma" w:hAnsi="Tahoma" w:cs="Tahoma"/>
          <w:sz w:val="20"/>
          <w:szCs w:val="20"/>
        </w:rPr>
        <w:t xml:space="preserve">Metodický pokyn pro přípravu programových dokumentů pro programové období 2014 – 2020 </w:t>
      </w:r>
      <w:r w:rsidR="008439DC" w:rsidRPr="00114C37">
        <w:rPr>
          <w:rFonts w:ascii="Tahoma" w:hAnsi="Tahoma" w:cs="Tahoma"/>
          <w:sz w:val="20"/>
          <w:szCs w:val="20"/>
        </w:rPr>
        <w:t xml:space="preserve">(verze </w:t>
      </w:r>
      <w:r w:rsidR="00026C23" w:rsidRPr="00114C37">
        <w:rPr>
          <w:rFonts w:ascii="Tahoma" w:hAnsi="Tahoma" w:cs="Tahoma"/>
          <w:sz w:val="20"/>
          <w:szCs w:val="20"/>
        </w:rPr>
        <w:t>4.0</w:t>
      </w:r>
      <w:r w:rsidR="00093792" w:rsidRPr="00114C37">
        <w:rPr>
          <w:rFonts w:ascii="Tahoma" w:hAnsi="Tahoma" w:cs="Tahoma"/>
          <w:sz w:val="20"/>
          <w:szCs w:val="20"/>
        </w:rPr>
        <w:t xml:space="preserve">, </w:t>
      </w:r>
      <w:r w:rsidR="00026C23" w:rsidRPr="00114C37">
        <w:rPr>
          <w:rFonts w:ascii="Tahoma" w:hAnsi="Tahoma" w:cs="Tahoma"/>
          <w:sz w:val="20"/>
          <w:szCs w:val="20"/>
        </w:rPr>
        <w:t>březen 2014</w:t>
      </w:r>
      <w:r w:rsidR="00093792" w:rsidRPr="00114C37">
        <w:rPr>
          <w:rFonts w:ascii="Tahoma" w:hAnsi="Tahoma" w:cs="Tahoma"/>
          <w:sz w:val="20"/>
          <w:szCs w:val="20"/>
        </w:rPr>
        <w:t>)</w:t>
      </w:r>
      <w:r w:rsidRPr="00114C37">
        <w:rPr>
          <w:rFonts w:ascii="Tahoma" w:hAnsi="Tahoma" w:cs="Tahoma"/>
          <w:sz w:val="20"/>
          <w:szCs w:val="20"/>
        </w:rPr>
        <w:t xml:space="preserve"> </w:t>
      </w:r>
    </w:p>
    <w:p w:rsidR="00495268" w:rsidRPr="00114C37" w:rsidRDefault="00495268" w:rsidP="00C6279B">
      <w:pPr>
        <w:pStyle w:val="Odstavecseseznamem"/>
        <w:numPr>
          <w:ilvl w:val="0"/>
          <w:numId w:val="3"/>
        </w:numPr>
        <w:ind w:left="1080"/>
        <w:jc w:val="both"/>
        <w:rPr>
          <w:rFonts w:ascii="Tahoma" w:hAnsi="Tahoma" w:cs="Tahoma"/>
          <w:sz w:val="20"/>
          <w:szCs w:val="20"/>
        </w:rPr>
      </w:pPr>
      <w:r w:rsidRPr="00114C37">
        <w:rPr>
          <w:rFonts w:ascii="Tahoma" w:hAnsi="Tahoma" w:cs="Tahoma"/>
          <w:sz w:val="20"/>
          <w:szCs w:val="20"/>
        </w:rPr>
        <w:t>Metodický pokyn pro evaluace v programovém období 2014–2020</w:t>
      </w:r>
      <w:r w:rsidR="00026C23" w:rsidRPr="00114C37">
        <w:rPr>
          <w:rFonts w:ascii="Tahoma" w:hAnsi="Tahoma" w:cs="Tahoma"/>
          <w:sz w:val="20"/>
          <w:szCs w:val="20"/>
        </w:rPr>
        <w:t xml:space="preserve"> (verze 2, březen 2014)</w:t>
      </w:r>
    </w:p>
    <w:p w:rsidR="00093792" w:rsidRPr="00114C37" w:rsidRDefault="00093792" w:rsidP="00C6279B">
      <w:pPr>
        <w:pStyle w:val="Odstavecseseznamem"/>
        <w:numPr>
          <w:ilvl w:val="0"/>
          <w:numId w:val="3"/>
        </w:numPr>
        <w:ind w:left="1080"/>
        <w:jc w:val="both"/>
        <w:rPr>
          <w:rFonts w:ascii="Tahoma" w:hAnsi="Tahoma" w:cs="Tahoma"/>
          <w:sz w:val="20"/>
          <w:szCs w:val="20"/>
        </w:rPr>
      </w:pPr>
      <w:r w:rsidRPr="00114C37">
        <w:rPr>
          <w:rFonts w:ascii="Tahoma" w:hAnsi="Tahoma" w:cs="Tahoma"/>
          <w:sz w:val="20"/>
          <w:szCs w:val="20"/>
        </w:rPr>
        <w:t>M</w:t>
      </w:r>
      <w:r w:rsidR="00026C23" w:rsidRPr="00114C37">
        <w:rPr>
          <w:rFonts w:ascii="Tahoma" w:hAnsi="Tahoma" w:cs="Tahoma"/>
          <w:sz w:val="20"/>
          <w:szCs w:val="20"/>
        </w:rPr>
        <w:t>etodický pokyn zá</w:t>
      </w:r>
      <w:r w:rsidRPr="00114C37">
        <w:rPr>
          <w:rFonts w:ascii="Tahoma" w:hAnsi="Tahoma" w:cs="Tahoma"/>
          <w:sz w:val="20"/>
          <w:szCs w:val="20"/>
        </w:rPr>
        <w:t>sady tvorby a pou</w:t>
      </w:r>
      <w:r w:rsidRPr="00114C37">
        <w:rPr>
          <w:rFonts w:ascii="Tahoma" w:hAnsi="Tahoma" w:cs="Tahoma" w:hint="eastAsia"/>
          <w:sz w:val="20"/>
          <w:szCs w:val="20"/>
        </w:rPr>
        <w:t>ž</w:t>
      </w:r>
      <w:r w:rsidRPr="00114C37">
        <w:rPr>
          <w:rFonts w:ascii="Tahoma" w:hAnsi="Tahoma" w:cs="Tahoma"/>
          <w:sz w:val="20"/>
          <w:szCs w:val="20"/>
        </w:rPr>
        <w:t>ívání indikátor</w:t>
      </w:r>
      <w:r w:rsidRPr="00114C37">
        <w:rPr>
          <w:rFonts w:ascii="Tahoma" w:hAnsi="Tahoma" w:cs="Tahoma" w:hint="eastAsia"/>
          <w:sz w:val="20"/>
          <w:szCs w:val="20"/>
        </w:rPr>
        <w:t>ů</w:t>
      </w:r>
      <w:r w:rsidRPr="00114C37">
        <w:rPr>
          <w:rFonts w:ascii="Tahoma" w:hAnsi="Tahoma" w:cs="Tahoma"/>
          <w:sz w:val="20"/>
          <w:szCs w:val="20"/>
        </w:rPr>
        <w:t xml:space="preserve"> v programovém období 2014 </w:t>
      </w:r>
      <w:r w:rsidRPr="00114C37">
        <w:rPr>
          <w:rFonts w:ascii="Tahoma" w:hAnsi="Tahoma" w:cs="Tahoma" w:hint="eastAsia"/>
          <w:sz w:val="20"/>
          <w:szCs w:val="20"/>
        </w:rPr>
        <w:t>–</w:t>
      </w:r>
      <w:r w:rsidRPr="00114C37">
        <w:rPr>
          <w:rFonts w:ascii="Tahoma" w:hAnsi="Tahoma" w:cs="Tahoma"/>
          <w:sz w:val="20"/>
          <w:szCs w:val="20"/>
        </w:rPr>
        <w:t xml:space="preserve"> 2020 (</w:t>
      </w:r>
      <w:r w:rsidR="008439DC" w:rsidRPr="00114C37">
        <w:rPr>
          <w:rFonts w:ascii="Tahoma" w:hAnsi="Tahoma" w:cs="Tahoma"/>
          <w:sz w:val="20"/>
          <w:szCs w:val="20"/>
        </w:rPr>
        <w:t xml:space="preserve">verze </w:t>
      </w:r>
      <w:r w:rsidR="00026C23" w:rsidRPr="00114C37">
        <w:rPr>
          <w:rFonts w:ascii="Tahoma" w:hAnsi="Tahoma" w:cs="Tahoma"/>
          <w:sz w:val="20"/>
          <w:szCs w:val="20"/>
        </w:rPr>
        <w:t>2, březen 2014)</w:t>
      </w:r>
    </w:p>
    <w:p w:rsidR="00093792" w:rsidRPr="00114C37" w:rsidRDefault="00093792" w:rsidP="00C6279B">
      <w:pPr>
        <w:pStyle w:val="Odstavecseseznamem"/>
        <w:numPr>
          <w:ilvl w:val="0"/>
          <w:numId w:val="3"/>
        </w:numPr>
        <w:ind w:left="1080"/>
        <w:jc w:val="both"/>
        <w:rPr>
          <w:rFonts w:ascii="Tahoma" w:hAnsi="Tahoma" w:cs="Tahoma"/>
          <w:sz w:val="20"/>
          <w:szCs w:val="20"/>
        </w:rPr>
      </w:pPr>
      <w:r w:rsidRPr="00114C37">
        <w:rPr>
          <w:rFonts w:ascii="Tahoma" w:hAnsi="Tahoma" w:cs="Tahoma"/>
          <w:sz w:val="20"/>
          <w:szCs w:val="20"/>
        </w:rPr>
        <w:t xml:space="preserve">Národní číselník indikátorů 2014+ (verze </w:t>
      </w:r>
      <w:r w:rsidR="00495268" w:rsidRPr="00114C37">
        <w:rPr>
          <w:rFonts w:ascii="Tahoma" w:hAnsi="Tahoma" w:cs="Tahoma"/>
          <w:sz w:val="20"/>
          <w:szCs w:val="20"/>
        </w:rPr>
        <w:t>3</w:t>
      </w:r>
      <w:r w:rsidRPr="00114C37">
        <w:rPr>
          <w:rFonts w:ascii="Tahoma" w:hAnsi="Tahoma" w:cs="Tahoma"/>
          <w:sz w:val="20"/>
          <w:szCs w:val="20"/>
        </w:rPr>
        <w:t xml:space="preserve">, </w:t>
      </w:r>
      <w:r w:rsidR="00495268" w:rsidRPr="00114C37">
        <w:rPr>
          <w:rFonts w:ascii="Tahoma" w:hAnsi="Tahoma" w:cs="Tahoma"/>
          <w:sz w:val="20"/>
          <w:szCs w:val="20"/>
        </w:rPr>
        <w:t>31.</w:t>
      </w:r>
      <w:r w:rsidRPr="00114C37">
        <w:rPr>
          <w:rFonts w:ascii="Tahoma" w:hAnsi="Tahoma" w:cs="Tahoma"/>
          <w:sz w:val="20"/>
          <w:szCs w:val="20"/>
        </w:rPr>
        <w:t xml:space="preserve"> </w:t>
      </w:r>
      <w:r w:rsidR="00495268" w:rsidRPr="00114C37">
        <w:rPr>
          <w:rFonts w:ascii="Tahoma" w:hAnsi="Tahoma" w:cs="Tahoma"/>
          <w:sz w:val="20"/>
          <w:szCs w:val="20"/>
        </w:rPr>
        <w:t>července</w:t>
      </w:r>
      <w:r w:rsidRPr="00114C37">
        <w:rPr>
          <w:rFonts w:ascii="Tahoma" w:hAnsi="Tahoma" w:cs="Tahoma"/>
          <w:sz w:val="20"/>
          <w:szCs w:val="20"/>
        </w:rPr>
        <w:t xml:space="preserve"> 2013) </w:t>
      </w:r>
    </w:p>
    <w:p w:rsidR="00093792" w:rsidRPr="00114C37" w:rsidRDefault="00093792" w:rsidP="00C6279B">
      <w:pPr>
        <w:pStyle w:val="Odstavecseseznamem"/>
        <w:numPr>
          <w:ilvl w:val="0"/>
          <w:numId w:val="3"/>
        </w:numPr>
        <w:ind w:left="1080"/>
        <w:jc w:val="both"/>
        <w:rPr>
          <w:rFonts w:ascii="Tahoma" w:hAnsi="Tahoma" w:cs="Tahoma"/>
          <w:sz w:val="20"/>
          <w:szCs w:val="20"/>
        </w:rPr>
      </w:pPr>
      <w:r w:rsidRPr="00114C37">
        <w:rPr>
          <w:rFonts w:ascii="Tahoma" w:hAnsi="Tahoma" w:cs="Tahoma"/>
          <w:sz w:val="20"/>
          <w:szCs w:val="20"/>
        </w:rPr>
        <w:t>Akční plán hraničních oblastí v programovém období 2014 – 2020 (březen 2013)</w:t>
      </w:r>
    </w:p>
    <w:p w:rsidR="00940974" w:rsidRPr="00114C37" w:rsidRDefault="00940974" w:rsidP="00C6279B">
      <w:pPr>
        <w:pStyle w:val="Odstavecseseznamem"/>
        <w:numPr>
          <w:ilvl w:val="0"/>
          <w:numId w:val="3"/>
        </w:numPr>
        <w:ind w:left="1080"/>
        <w:jc w:val="both"/>
        <w:rPr>
          <w:rFonts w:ascii="Tahoma" w:hAnsi="Tahoma" w:cs="Tahoma"/>
          <w:sz w:val="20"/>
          <w:szCs w:val="20"/>
        </w:rPr>
      </w:pPr>
      <w:r w:rsidRPr="00114C37">
        <w:rPr>
          <w:rFonts w:ascii="Tahoma" w:hAnsi="Tahoma" w:cs="Tahoma"/>
          <w:sz w:val="20"/>
          <w:szCs w:val="20"/>
        </w:rPr>
        <w:t xml:space="preserve">Metodický pokyn pro </w:t>
      </w:r>
      <w:r w:rsidR="00026C23" w:rsidRPr="00114C37">
        <w:rPr>
          <w:rFonts w:ascii="Tahoma" w:hAnsi="Tahoma" w:cs="Tahoma"/>
          <w:sz w:val="20"/>
          <w:szCs w:val="20"/>
        </w:rPr>
        <w:t>monitorování implementace ESI fondů v programovém období 2014-2020 – 1. část (verze 2, březen 2014</w:t>
      </w:r>
      <w:r w:rsidRPr="00114C37">
        <w:rPr>
          <w:rFonts w:ascii="Tahoma" w:hAnsi="Tahoma" w:cs="Tahoma"/>
          <w:sz w:val="20"/>
          <w:szCs w:val="20"/>
        </w:rPr>
        <w:t>)</w:t>
      </w:r>
    </w:p>
    <w:p w:rsidR="00026C23" w:rsidRPr="00114C37" w:rsidRDefault="00026C23" w:rsidP="00C6279B">
      <w:pPr>
        <w:pStyle w:val="Odstavecseseznamem"/>
        <w:numPr>
          <w:ilvl w:val="0"/>
          <w:numId w:val="3"/>
        </w:numPr>
        <w:ind w:left="1080"/>
        <w:jc w:val="both"/>
        <w:rPr>
          <w:rFonts w:ascii="Tahoma" w:hAnsi="Tahoma" w:cs="Tahoma"/>
          <w:sz w:val="20"/>
          <w:szCs w:val="20"/>
        </w:rPr>
      </w:pPr>
      <w:r w:rsidRPr="00114C37">
        <w:rPr>
          <w:rFonts w:ascii="Tahoma" w:hAnsi="Tahoma" w:cs="Tahoma"/>
          <w:sz w:val="20"/>
          <w:szCs w:val="20"/>
        </w:rPr>
        <w:t xml:space="preserve">Metodický pokyn procesů řízení a monitorování ESI fondů v </w:t>
      </w:r>
      <w:proofErr w:type="gramStart"/>
      <w:r w:rsidRPr="00114C37">
        <w:rPr>
          <w:rFonts w:ascii="Tahoma" w:hAnsi="Tahoma" w:cs="Tahoma"/>
          <w:sz w:val="20"/>
          <w:szCs w:val="20"/>
        </w:rPr>
        <w:t>MS2014+ - 1.část</w:t>
      </w:r>
      <w:proofErr w:type="gramEnd"/>
      <w:r w:rsidRPr="00114C37">
        <w:rPr>
          <w:rFonts w:ascii="Tahoma" w:hAnsi="Tahoma" w:cs="Tahoma"/>
          <w:sz w:val="20"/>
          <w:szCs w:val="20"/>
        </w:rPr>
        <w:t xml:space="preserve"> (verze 2, březen 2014)</w:t>
      </w:r>
    </w:p>
    <w:p w:rsidR="00026C23" w:rsidRPr="00114C37" w:rsidRDefault="00026C23" w:rsidP="00C6279B">
      <w:pPr>
        <w:pStyle w:val="Odstavecseseznamem"/>
        <w:numPr>
          <w:ilvl w:val="0"/>
          <w:numId w:val="3"/>
        </w:numPr>
        <w:ind w:left="1080"/>
        <w:jc w:val="both"/>
        <w:rPr>
          <w:rFonts w:ascii="Tahoma" w:hAnsi="Tahoma" w:cs="Tahoma"/>
          <w:sz w:val="20"/>
          <w:szCs w:val="20"/>
        </w:rPr>
      </w:pPr>
      <w:r w:rsidRPr="00114C37">
        <w:rPr>
          <w:rFonts w:ascii="Tahoma" w:hAnsi="Tahoma" w:cs="Tahoma"/>
          <w:sz w:val="20"/>
          <w:szCs w:val="20"/>
        </w:rPr>
        <w:t>Národní dokument k územní dimenzi (verze 1.2, květen 2014)</w:t>
      </w:r>
    </w:p>
    <w:p w:rsidR="00026C23" w:rsidRPr="00114C37" w:rsidRDefault="00026C23" w:rsidP="00026C23">
      <w:pPr>
        <w:pStyle w:val="Odstavecseseznamem"/>
        <w:numPr>
          <w:ilvl w:val="0"/>
          <w:numId w:val="3"/>
        </w:numPr>
        <w:ind w:left="1080"/>
        <w:jc w:val="both"/>
        <w:rPr>
          <w:rFonts w:ascii="Tahoma" w:hAnsi="Tahoma" w:cs="Tahoma"/>
          <w:sz w:val="20"/>
          <w:szCs w:val="20"/>
        </w:rPr>
      </w:pPr>
      <w:r w:rsidRPr="00114C37">
        <w:rPr>
          <w:rFonts w:ascii="Tahoma" w:hAnsi="Tahoma" w:cs="Tahoma"/>
          <w:sz w:val="20"/>
          <w:szCs w:val="20"/>
        </w:rPr>
        <w:t>Metodický pokyn pro využití integrovaných nástrojů v programovém období 2014–2020 (verze 1.2, květen</w:t>
      </w:r>
      <w:r w:rsidR="00114C37" w:rsidRPr="00114C37">
        <w:rPr>
          <w:rFonts w:ascii="Tahoma" w:hAnsi="Tahoma" w:cs="Tahoma"/>
          <w:sz w:val="20"/>
          <w:szCs w:val="20"/>
        </w:rPr>
        <w:t xml:space="preserve"> 2014</w:t>
      </w:r>
      <w:r w:rsidRPr="00114C37">
        <w:rPr>
          <w:rFonts w:ascii="Tahoma" w:hAnsi="Tahoma" w:cs="Tahoma"/>
          <w:sz w:val="20"/>
          <w:szCs w:val="20"/>
        </w:rPr>
        <w:t>)</w:t>
      </w:r>
    </w:p>
    <w:p w:rsidR="00011FD3" w:rsidRPr="00114C37" w:rsidRDefault="00011FD3" w:rsidP="00C6279B">
      <w:pPr>
        <w:pStyle w:val="Odstavecseseznamem"/>
        <w:numPr>
          <w:ilvl w:val="0"/>
          <w:numId w:val="3"/>
        </w:numPr>
        <w:ind w:left="1080"/>
        <w:jc w:val="both"/>
        <w:rPr>
          <w:rFonts w:ascii="Tahoma" w:hAnsi="Tahoma" w:cs="Tahoma"/>
          <w:sz w:val="20"/>
          <w:szCs w:val="20"/>
        </w:rPr>
      </w:pPr>
      <w:r w:rsidRPr="00114C37">
        <w:rPr>
          <w:rFonts w:ascii="Tahoma" w:hAnsi="Tahoma" w:cs="Tahoma"/>
          <w:sz w:val="20"/>
          <w:szCs w:val="20"/>
        </w:rPr>
        <w:t>Karty tematických okruhů (</w:t>
      </w:r>
      <w:r w:rsidR="00940974" w:rsidRPr="00114C37">
        <w:rPr>
          <w:rFonts w:ascii="Tahoma" w:hAnsi="Tahoma" w:cs="Tahoma"/>
          <w:sz w:val="20"/>
          <w:szCs w:val="20"/>
        </w:rPr>
        <w:t>T</w:t>
      </w:r>
      <w:r w:rsidRPr="00114C37">
        <w:rPr>
          <w:rFonts w:ascii="Tahoma" w:hAnsi="Tahoma" w:cs="Tahoma"/>
          <w:sz w:val="20"/>
          <w:szCs w:val="20"/>
        </w:rPr>
        <w:t xml:space="preserve">O) relevantních pro </w:t>
      </w:r>
      <w:r w:rsidR="00495AF9" w:rsidRPr="00114C37">
        <w:rPr>
          <w:rFonts w:ascii="Tahoma" w:hAnsi="Tahoma" w:cs="Tahoma"/>
          <w:sz w:val="20"/>
          <w:szCs w:val="20"/>
        </w:rPr>
        <w:t>OP PIK</w:t>
      </w:r>
      <w:r w:rsidRPr="00114C37">
        <w:rPr>
          <w:rFonts w:ascii="Tahoma" w:hAnsi="Tahoma" w:cs="Tahoma"/>
          <w:sz w:val="20"/>
          <w:szCs w:val="20"/>
        </w:rPr>
        <w:t xml:space="preserve"> (zejména TO Funkční výzkumný a inovační systém, TO Konkurenceschopné podniky </w:t>
      </w:r>
      <w:r w:rsidR="00940974" w:rsidRPr="00114C37">
        <w:rPr>
          <w:rFonts w:ascii="Tahoma" w:hAnsi="Tahoma" w:cs="Tahoma"/>
          <w:sz w:val="20"/>
          <w:szCs w:val="20"/>
        </w:rPr>
        <w:t xml:space="preserve">a </w:t>
      </w:r>
      <w:r w:rsidRPr="00114C37">
        <w:rPr>
          <w:rFonts w:ascii="Tahoma" w:hAnsi="Tahoma" w:cs="Tahoma"/>
          <w:sz w:val="20"/>
          <w:szCs w:val="20"/>
        </w:rPr>
        <w:t>TO Mobilita, dostupnost, sítě, energie)</w:t>
      </w:r>
    </w:p>
    <w:p w:rsidR="00011FD3" w:rsidRDefault="00011FD3" w:rsidP="00011FD3">
      <w:pPr>
        <w:pStyle w:val="Odstavecseseznamem"/>
        <w:ind w:left="360"/>
        <w:jc w:val="both"/>
      </w:pPr>
    </w:p>
    <w:p w:rsidR="00011FD3" w:rsidRPr="00C765A1" w:rsidRDefault="00011FD3" w:rsidP="00011FD3">
      <w:pPr>
        <w:ind w:left="360"/>
        <w:rPr>
          <w:rFonts w:cs="Tahoma"/>
          <w:szCs w:val="20"/>
          <w:u w:val="single"/>
        </w:rPr>
      </w:pPr>
      <w:r w:rsidRPr="00C765A1">
        <w:rPr>
          <w:rFonts w:cs="Tahoma"/>
          <w:szCs w:val="20"/>
          <w:u w:val="single"/>
        </w:rPr>
        <w:t>Strategické dokumenty ČR a dokumenty ČR ke kohezní politice EU</w:t>
      </w:r>
    </w:p>
    <w:p w:rsidR="006779E1" w:rsidRPr="00343246" w:rsidRDefault="006779E1" w:rsidP="00C6279B">
      <w:pPr>
        <w:pStyle w:val="Odstavecseseznamem"/>
        <w:numPr>
          <w:ilvl w:val="0"/>
          <w:numId w:val="3"/>
        </w:numPr>
        <w:ind w:left="1080"/>
        <w:jc w:val="both"/>
        <w:rPr>
          <w:rFonts w:ascii="Tahoma" w:hAnsi="Tahoma" w:cs="Tahoma"/>
          <w:sz w:val="20"/>
          <w:szCs w:val="20"/>
        </w:rPr>
      </w:pPr>
      <w:r>
        <w:rPr>
          <w:rFonts w:ascii="Tahoma" w:hAnsi="Tahoma" w:cs="Tahoma"/>
          <w:sz w:val="20"/>
          <w:szCs w:val="20"/>
        </w:rPr>
        <w:t xml:space="preserve">Dohoda o partnerství pro programové období 2014 </w:t>
      </w:r>
      <w:r w:rsidRPr="00343246">
        <w:rPr>
          <w:rFonts w:ascii="Tahoma" w:hAnsi="Tahoma" w:cs="Tahoma"/>
          <w:sz w:val="20"/>
          <w:szCs w:val="20"/>
        </w:rPr>
        <w:t>– 2020 (</w:t>
      </w:r>
      <w:r w:rsidR="00343246" w:rsidRPr="00343246">
        <w:rPr>
          <w:rFonts w:ascii="Tahoma" w:hAnsi="Tahoma" w:cs="Tahoma"/>
          <w:sz w:val="20"/>
          <w:szCs w:val="20"/>
        </w:rPr>
        <w:t>17. dubna</w:t>
      </w:r>
      <w:r w:rsidR="00E8031B" w:rsidRPr="00343246">
        <w:rPr>
          <w:rFonts w:ascii="Tahoma" w:hAnsi="Tahoma" w:cs="Tahoma"/>
          <w:sz w:val="20"/>
          <w:szCs w:val="20"/>
        </w:rPr>
        <w:t xml:space="preserve"> 2014</w:t>
      </w:r>
      <w:r w:rsidRPr="00343246">
        <w:rPr>
          <w:rFonts w:ascii="Tahoma" w:hAnsi="Tahoma" w:cs="Tahoma"/>
          <w:sz w:val="20"/>
          <w:szCs w:val="20"/>
        </w:rPr>
        <w:t>)</w:t>
      </w:r>
    </w:p>
    <w:p w:rsidR="00940974" w:rsidRPr="000049F3" w:rsidRDefault="00940974" w:rsidP="00C6279B">
      <w:pPr>
        <w:pStyle w:val="Odstavecseseznamem"/>
        <w:numPr>
          <w:ilvl w:val="0"/>
          <w:numId w:val="3"/>
        </w:numPr>
        <w:ind w:left="1080"/>
        <w:jc w:val="both"/>
        <w:rPr>
          <w:rFonts w:ascii="Tahoma" w:hAnsi="Tahoma" w:cs="Tahoma"/>
          <w:sz w:val="20"/>
          <w:szCs w:val="20"/>
        </w:rPr>
      </w:pPr>
      <w:r w:rsidRPr="000049F3">
        <w:rPr>
          <w:rFonts w:ascii="Tahoma" w:hAnsi="Tahoma" w:cs="Tahoma"/>
          <w:sz w:val="20"/>
          <w:szCs w:val="20"/>
        </w:rPr>
        <w:t xml:space="preserve">Podklad pro přípravu Dohody o partnerství pro programové období 2014 – 2020 – Vymezení programů a další postup při přípravě České republiky pro efektivní čerpání fondů Společného strategického rámce (usnesení vlády č. 867/2012)  </w:t>
      </w:r>
    </w:p>
    <w:p w:rsidR="00495268" w:rsidRPr="00495268" w:rsidRDefault="00495268" w:rsidP="00C6279B">
      <w:pPr>
        <w:pStyle w:val="Odstavecseseznamem"/>
        <w:numPr>
          <w:ilvl w:val="0"/>
          <w:numId w:val="3"/>
        </w:numPr>
        <w:ind w:left="1080"/>
        <w:jc w:val="both"/>
        <w:rPr>
          <w:rFonts w:ascii="Tahoma" w:hAnsi="Tahoma" w:cs="Tahoma"/>
          <w:sz w:val="20"/>
          <w:szCs w:val="20"/>
        </w:rPr>
      </w:pPr>
      <w:r w:rsidRPr="00495268">
        <w:rPr>
          <w:rFonts w:ascii="Tahoma" w:hAnsi="Tahoma" w:cs="Tahoma"/>
          <w:sz w:val="20"/>
          <w:szCs w:val="20"/>
        </w:rPr>
        <w:lastRenderedPageBreak/>
        <w:t>Národní Strategie inteligentní specializace České republiky (Národní RIS 3</w:t>
      </w:r>
      <w:r>
        <w:rPr>
          <w:rFonts w:ascii="Tahoma" w:hAnsi="Tahoma" w:cs="Tahoma"/>
          <w:sz w:val="20"/>
          <w:szCs w:val="20"/>
        </w:rPr>
        <w:t>; pracovní verze, prosinec 2013</w:t>
      </w:r>
      <w:r w:rsidRPr="00495268">
        <w:rPr>
          <w:rFonts w:ascii="Tahoma" w:hAnsi="Tahoma" w:cs="Tahoma"/>
          <w:sz w:val="20"/>
          <w:szCs w:val="20"/>
        </w:rPr>
        <w:t>)</w:t>
      </w:r>
    </w:p>
    <w:p w:rsidR="00011FD3" w:rsidRPr="000049F3" w:rsidRDefault="00011FD3" w:rsidP="00C6279B">
      <w:pPr>
        <w:pStyle w:val="Odstavecseseznamem"/>
        <w:numPr>
          <w:ilvl w:val="0"/>
          <w:numId w:val="3"/>
        </w:numPr>
        <w:ind w:left="1080"/>
        <w:jc w:val="both"/>
        <w:rPr>
          <w:rFonts w:ascii="Tahoma" w:hAnsi="Tahoma" w:cs="Tahoma"/>
          <w:sz w:val="20"/>
          <w:szCs w:val="20"/>
        </w:rPr>
      </w:pPr>
      <w:r w:rsidRPr="000049F3">
        <w:rPr>
          <w:rFonts w:ascii="Tahoma" w:hAnsi="Tahoma" w:cs="Tahoma"/>
          <w:sz w:val="20"/>
          <w:szCs w:val="20"/>
        </w:rPr>
        <w:t>Národní program reforem ČR 201</w:t>
      </w:r>
      <w:r w:rsidR="008439DC">
        <w:rPr>
          <w:rFonts w:ascii="Tahoma" w:hAnsi="Tahoma" w:cs="Tahoma"/>
          <w:sz w:val="20"/>
          <w:szCs w:val="20"/>
        </w:rPr>
        <w:t>3</w:t>
      </w:r>
      <w:r w:rsidRPr="000049F3">
        <w:rPr>
          <w:rFonts w:ascii="Tahoma" w:hAnsi="Tahoma" w:cs="Tahoma"/>
          <w:sz w:val="20"/>
          <w:szCs w:val="20"/>
        </w:rPr>
        <w:t xml:space="preserve"> </w:t>
      </w:r>
      <w:r w:rsidR="009C1CC3">
        <w:rPr>
          <w:rFonts w:ascii="Tahoma" w:hAnsi="Tahoma" w:cs="Tahoma"/>
          <w:sz w:val="20"/>
          <w:szCs w:val="20"/>
        </w:rPr>
        <w:t>a 2014</w:t>
      </w:r>
    </w:p>
    <w:p w:rsidR="00011FD3" w:rsidRPr="000049F3" w:rsidRDefault="00011FD3" w:rsidP="00C6279B">
      <w:pPr>
        <w:pStyle w:val="Odstavecseseznamem"/>
        <w:numPr>
          <w:ilvl w:val="0"/>
          <w:numId w:val="3"/>
        </w:numPr>
        <w:ind w:left="1080"/>
        <w:jc w:val="both"/>
        <w:rPr>
          <w:rFonts w:ascii="Tahoma" w:hAnsi="Tahoma" w:cs="Tahoma"/>
          <w:sz w:val="20"/>
          <w:szCs w:val="20"/>
        </w:rPr>
      </w:pPr>
      <w:r w:rsidRPr="000049F3">
        <w:rPr>
          <w:rFonts w:ascii="Tahoma" w:hAnsi="Tahoma" w:cs="Tahoma"/>
          <w:sz w:val="20"/>
          <w:szCs w:val="20"/>
        </w:rPr>
        <w:t>Aktualizace Státní energetické koncepce ČR (usnesení vlády č. 803/2012)</w:t>
      </w:r>
    </w:p>
    <w:p w:rsidR="00011FD3" w:rsidRPr="000049F3" w:rsidRDefault="00011FD3" w:rsidP="00C6279B">
      <w:pPr>
        <w:pStyle w:val="Odstavecseseznamem"/>
        <w:numPr>
          <w:ilvl w:val="0"/>
          <w:numId w:val="3"/>
        </w:numPr>
        <w:ind w:left="1080"/>
        <w:jc w:val="both"/>
        <w:rPr>
          <w:rFonts w:ascii="Tahoma" w:hAnsi="Tahoma" w:cs="Tahoma"/>
          <w:sz w:val="20"/>
          <w:szCs w:val="20"/>
        </w:rPr>
      </w:pPr>
      <w:r w:rsidRPr="000049F3">
        <w:rPr>
          <w:rFonts w:ascii="Tahoma" w:hAnsi="Tahoma" w:cs="Tahoma"/>
          <w:sz w:val="20"/>
          <w:szCs w:val="20"/>
        </w:rPr>
        <w:t>Národní inovační strategie ČR (usnesení vlády č. 714/2011)</w:t>
      </w:r>
    </w:p>
    <w:p w:rsidR="00011FD3" w:rsidRPr="000049F3" w:rsidRDefault="00011FD3" w:rsidP="00C6279B">
      <w:pPr>
        <w:pStyle w:val="Odstavecseseznamem"/>
        <w:numPr>
          <w:ilvl w:val="0"/>
          <w:numId w:val="3"/>
        </w:numPr>
        <w:ind w:left="1080"/>
        <w:jc w:val="both"/>
        <w:rPr>
          <w:rFonts w:ascii="Tahoma" w:hAnsi="Tahoma" w:cs="Tahoma"/>
          <w:sz w:val="20"/>
          <w:szCs w:val="20"/>
        </w:rPr>
      </w:pPr>
      <w:r w:rsidRPr="000049F3">
        <w:rPr>
          <w:rFonts w:ascii="Tahoma" w:hAnsi="Tahoma" w:cs="Tahoma"/>
          <w:sz w:val="20"/>
          <w:szCs w:val="20"/>
        </w:rPr>
        <w:t>Strategie regionálního rozvoje ČR</w:t>
      </w:r>
      <w:r w:rsidR="00495AF9">
        <w:rPr>
          <w:rFonts w:ascii="Tahoma" w:hAnsi="Tahoma" w:cs="Tahoma"/>
          <w:sz w:val="20"/>
          <w:szCs w:val="20"/>
        </w:rPr>
        <w:t xml:space="preserve"> 2014 - 2020</w:t>
      </w:r>
      <w:r w:rsidRPr="000049F3">
        <w:rPr>
          <w:rFonts w:ascii="Tahoma" w:hAnsi="Tahoma" w:cs="Tahoma"/>
          <w:sz w:val="20"/>
          <w:szCs w:val="20"/>
        </w:rPr>
        <w:t xml:space="preserve"> </w:t>
      </w:r>
    </w:p>
    <w:p w:rsidR="00011FD3" w:rsidRPr="000049F3" w:rsidRDefault="00011FD3" w:rsidP="00C6279B">
      <w:pPr>
        <w:pStyle w:val="Odstavecseseznamem"/>
        <w:numPr>
          <w:ilvl w:val="0"/>
          <w:numId w:val="3"/>
        </w:numPr>
        <w:ind w:left="1080"/>
        <w:jc w:val="both"/>
        <w:rPr>
          <w:rFonts w:ascii="Tahoma" w:hAnsi="Tahoma" w:cs="Tahoma"/>
          <w:sz w:val="20"/>
          <w:szCs w:val="20"/>
        </w:rPr>
      </w:pPr>
      <w:r w:rsidRPr="000049F3">
        <w:rPr>
          <w:rFonts w:ascii="Tahoma" w:hAnsi="Tahoma" w:cs="Tahoma"/>
          <w:sz w:val="20"/>
          <w:szCs w:val="20"/>
        </w:rPr>
        <w:t xml:space="preserve">Strategický rámec udržitelného rozvoje  </w:t>
      </w:r>
    </w:p>
    <w:p w:rsidR="00011FD3" w:rsidRPr="000049F3" w:rsidRDefault="00011FD3" w:rsidP="00C6279B">
      <w:pPr>
        <w:pStyle w:val="Odstavecseseznamem"/>
        <w:numPr>
          <w:ilvl w:val="0"/>
          <w:numId w:val="3"/>
        </w:numPr>
        <w:ind w:left="1080"/>
        <w:jc w:val="both"/>
        <w:rPr>
          <w:rFonts w:ascii="Tahoma" w:hAnsi="Tahoma" w:cs="Tahoma"/>
          <w:sz w:val="20"/>
          <w:szCs w:val="20"/>
        </w:rPr>
      </w:pPr>
      <w:r w:rsidRPr="000049F3">
        <w:rPr>
          <w:rFonts w:ascii="Tahoma" w:hAnsi="Tahoma" w:cs="Tahoma"/>
          <w:sz w:val="20"/>
          <w:szCs w:val="20"/>
        </w:rPr>
        <w:t>Aktualizace Národního akčního plánu České republiky pro energii z obnovitelných zdrojů (usnesení vlády č. 804/2012)</w:t>
      </w:r>
    </w:p>
    <w:p w:rsidR="00011FD3" w:rsidRPr="000049F3" w:rsidRDefault="00011FD3" w:rsidP="00C6279B">
      <w:pPr>
        <w:pStyle w:val="Odstavecseseznamem"/>
        <w:numPr>
          <w:ilvl w:val="0"/>
          <w:numId w:val="3"/>
        </w:numPr>
        <w:ind w:left="1080"/>
        <w:jc w:val="both"/>
        <w:rPr>
          <w:rFonts w:ascii="Tahoma" w:hAnsi="Tahoma" w:cs="Tahoma"/>
          <w:sz w:val="20"/>
          <w:szCs w:val="20"/>
        </w:rPr>
      </w:pPr>
      <w:r w:rsidRPr="000049F3">
        <w:rPr>
          <w:rFonts w:ascii="Tahoma" w:hAnsi="Tahoma" w:cs="Tahoma"/>
          <w:sz w:val="20"/>
          <w:szCs w:val="20"/>
        </w:rPr>
        <w:t>Koncepce podpory malých a středních podnikatelů na období let 2014 – 2020 (usnesení vlády č. 923/2012)</w:t>
      </w:r>
    </w:p>
    <w:p w:rsidR="00011FD3" w:rsidRPr="000049F3" w:rsidRDefault="00011FD3" w:rsidP="00C6279B">
      <w:pPr>
        <w:pStyle w:val="Odstavecseseznamem"/>
        <w:numPr>
          <w:ilvl w:val="0"/>
          <w:numId w:val="3"/>
        </w:numPr>
        <w:ind w:left="1080"/>
        <w:jc w:val="both"/>
        <w:rPr>
          <w:rFonts w:ascii="Tahoma" w:hAnsi="Tahoma" w:cs="Tahoma"/>
          <w:sz w:val="20"/>
          <w:szCs w:val="20"/>
        </w:rPr>
      </w:pPr>
      <w:r w:rsidRPr="000049F3">
        <w:rPr>
          <w:rFonts w:ascii="Tahoma" w:hAnsi="Tahoma" w:cs="Tahoma"/>
          <w:sz w:val="20"/>
          <w:szCs w:val="20"/>
        </w:rPr>
        <w:t>Exportní strategie ČR 2012 – 2020 (usnesení vlády č. 154/2012)</w:t>
      </w:r>
    </w:p>
    <w:p w:rsidR="00011FD3" w:rsidRPr="000049F3" w:rsidRDefault="00011FD3" w:rsidP="00C6279B">
      <w:pPr>
        <w:pStyle w:val="Odstavecseseznamem"/>
        <w:numPr>
          <w:ilvl w:val="0"/>
          <w:numId w:val="3"/>
        </w:numPr>
        <w:ind w:left="1080"/>
        <w:jc w:val="both"/>
        <w:rPr>
          <w:rFonts w:ascii="Tahoma" w:hAnsi="Tahoma" w:cs="Tahoma"/>
          <w:sz w:val="20"/>
          <w:szCs w:val="20"/>
        </w:rPr>
      </w:pPr>
      <w:r w:rsidRPr="000049F3">
        <w:rPr>
          <w:rFonts w:ascii="Tahoma" w:hAnsi="Tahoma" w:cs="Tahoma"/>
          <w:sz w:val="20"/>
          <w:szCs w:val="20"/>
        </w:rPr>
        <w:t>Strategie mezinárodní konkurenceschopnosti ČR pro období 2012 – 2020 (usnesení vlády č. 713/2011)</w:t>
      </w:r>
    </w:p>
    <w:p w:rsidR="00011FD3" w:rsidRPr="000049F3" w:rsidRDefault="00011FD3" w:rsidP="00C6279B">
      <w:pPr>
        <w:pStyle w:val="Odstavecseseznamem"/>
        <w:numPr>
          <w:ilvl w:val="0"/>
          <w:numId w:val="3"/>
        </w:numPr>
        <w:ind w:left="1080"/>
        <w:jc w:val="both"/>
        <w:rPr>
          <w:rFonts w:ascii="Tahoma" w:hAnsi="Tahoma" w:cs="Tahoma"/>
          <w:sz w:val="20"/>
          <w:szCs w:val="20"/>
        </w:rPr>
      </w:pPr>
      <w:r w:rsidRPr="000049F3">
        <w:rPr>
          <w:rFonts w:ascii="Tahoma" w:hAnsi="Tahoma" w:cs="Tahoma"/>
          <w:sz w:val="20"/>
          <w:szCs w:val="20"/>
        </w:rPr>
        <w:t>Souhrnný návrh zaměření budoucí kohezní politiky Evropské unie po roce 2013 v podmínkách České republiky, obsahující i návrh rozvojových priorit (usnesení vlády č. 650/2011)</w:t>
      </w:r>
    </w:p>
    <w:p w:rsidR="00302F88" w:rsidRDefault="00302F88" w:rsidP="00011FD3">
      <w:pPr>
        <w:ind w:left="360"/>
        <w:rPr>
          <w:rFonts w:cs="Tahoma"/>
          <w:szCs w:val="20"/>
          <w:u w:val="single"/>
        </w:rPr>
      </w:pPr>
    </w:p>
    <w:p w:rsidR="00011FD3" w:rsidRPr="00C765A1" w:rsidRDefault="00011FD3" w:rsidP="00011FD3">
      <w:pPr>
        <w:ind w:left="360"/>
        <w:rPr>
          <w:rFonts w:cs="Tahoma"/>
          <w:szCs w:val="20"/>
          <w:u w:val="single"/>
        </w:rPr>
      </w:pPr>
      <w:r w:rsidRPr="00C765A1">
        <w:rPr>
          <w:rFonts w:cs="Tahoma"/>
          <w:szCs w:val="20"/>
          <w:u w:val="single"/>
        </w:rPr>
        <w:t xml:space="preserve">Strategie EU, dokumenty a nařízení EK ke kohezní politice 2014 - 2020 </w:t>
      </w:r>
    </w:p>
    <w:p w:rsidR="00011FD3" w:rsidRPr="000049F3" w:rsidRDefault="00011FD3" w:rsidP="00C6279B">
      <w:pPr>
        <w:pStyle w:val="Odstavecseseznamem"/>
        <w:numPr>
          <w:ilvl w:val="0"/>
          <w:numId w:val="3"/>
        </w:numPr>
        <w:ind w:left="1080"/>
        <w:jc w:val="both"/>
        <w:rPr>
          <w:rFonts w:ascii="Tahoma" w:hAnsi="Tahoma" w:cs="Tahoma"/>
          <w:sz w:val="20"/>
          <w:szCs w:val="20"/>
        </w:rPr>
      </w:pPr>
      <w:r w:rsidRPr="000049F3">
        <w:rPr>
          <w:rFonts w:ascii="Tahoma" w:hAnsi="Tahoma" w:cs="Tahoma"/>
          <w:sz w:val="20"/>
          <w:szCs w:val="20"/>
        </w:rPr>
        <w:t>Pátá kohezní zpráva EU o hospodářské a sociální soudržnosti</w:t>
      </w:r>
    </w:p>
    <w:p w:rsidR="00011FD3" w:rsidRPr="000049F3" w:rsidRDefault="00011FD3" w:rsidP="00C6279B">
      <w:pPr>
        <w:pStyle w:val="Odstavecseseznamem"/>
        <w:numPr>
          <w:ilvl w:val="0"/>
          <w:numId w:val="3"/>
        </w:numPr>
        <w:ind w:left="1080"/>
        <w:jc w:val="both"/>
        <w:rPr>
          <w:rFonts w:ascii="Tahoma" w:hAnsi="Tahoma" w:cs="Tahoma"/>
          <w:sz w:val="20"/>
          <w:szCs w:val="20"/>
        </w:rPr>
      </w:pPr>
      <w:r w:rsidRPr="000049F3">
        <w:rPr>
          <w:rFonts w:ascii="Tahoma" w:hAnsi="Tahoma" w:cs="Tahoma"/>
          <w:sz w:val="20"/>
          <w:szCs w:val="20"/>
        </w:rPr>
        <w:t>Strategie Evropa 2020:  Strategie pro inteligentní a udržitelný růst podporující začlenění</w:t>
      </w:r>
    </w:p>
    <w:p w:rsidR="00011FD3" w:rsidRPr="000049F3" w:rsidRDefault="00011FD3" w:rsidP="00C6279B">
      <w:pPr>
        <w:pStyle w:val="Odstavecseseznamem"/>
        <w:numPr>
          <w:ilvl w:val="0"/>
          <w:numId w:val="3"/>
        </w:numPr>
        <w:ind w:left="1080"/>
        <w:jc w:val="both"/>
        <w:rPr>
          <w:rFonts w:ascii="Tahoma" w:hAnsi="Tahoma" w:cs="Tahoma"/>
          <w:sz w:val="20"/>
          <w:szCs w:val="20"/>
        </w:rPr>
      </w:pPr>
      <w:r w:rsidRPr="000049F3">
        <w:rPr>
          <w:rFonts w:ascii="Tahoma" w:hAnsi="Tahoma" w:cs="Tahoma"/>
          <w:sz w:val="20"/>
          <w:szCs w:val="20"/>
        </w:rPr>
        <w:t xml:space="preserve">Strategie Energie 2020: Strategie pro konkurenceschopnou, udržitelnou a bezpečnou energii </w:t>
      </w:r>
    </w:p>
    <w:p w:rsidR="00011FD3" w:rsidRPr="000049F3" w:rsidRDefault="00011FD3" w:rsidP="00C6279B">
      <w:pPr>
        <w:pStyle w:val="Odstavecseseznamem"/>
        <w:numPr>
          <w:ilvl w:val="0"/>
          <w:numId w:val="3"/>
        </w:numPr>
        <w:ind w:left="1080"/>
        <w:jc w:val="both"/>
        <w:rPr>
          <w:rFonts w:ascii="Tahoma" w:hAnsi="Tahoma" w:cs="Tahoma"/>
          <w:sz w:val="20"/>
          <w:szCs w:val="20"/>
        </w:rPr>
      </w:pPr>
      <w:r w:rsidRPr="000049F3">
        <w:rPr>
          <w:rFonts w:ascii="Tahoma" w:hAnsi="Tahoma" w:cs="Tahoma"/>
          <w:sz w:val="20"/>
          <w:szCs w:val="20"/>
        </w:rPr>
        <w:t>Sdělení Komise: Unie inovací</w:t>
      </w:r>
    </w:p>
    <w:p w:rsidR="00011FD3" w:rsidRPr="000049F3" w:rsidRDefault="00011FD3" w:rsidP="00C6279B">
      <w:pPr>
        <w:pStyle w:val="Odstavecseseznamem"/>
        <w:numPr>
          <w:ilvl w:val="0"/>
          <w:numId w:val="3"/>
        </w:numPr>
        <w:ind w:left="1080"/>
        <w:jc w:val="both"/>
        <w:rPr>
          <w:rFonts w:ascii="Tahoma" w:hAnsi="Tahoma" w:cs="Tahoma"/>
          <w:sz w:val="20"/>
          <w:szCs w:val="20"/>
        </w:rPr>
      </w:pPr>
      <w:r w:rsidRPr="000049F3">
        <w:rPr>
          <w:rFonts w:ascii="Tahoma" w:hAnsi="Tahoma" w:cs="Tahoma"/>
          <w:sz w:val="20"/>
          <w:szCs w:val="20"/>
        </w:rPr>
        <w:t>Evropa méně náročná na zdroje</w:t>
      </w:r>
    </w:p>
    <w:p w:rsidR="00011FD3" w:rsidRPr="000049F3" w:rsidRDefault="00011FD3" w:rsidP="00C6279B">
      <w:pPr>
        <w:pStyle w:val="Odstavecseseznamem"/>
        <w:numPr>
          <w:ilvl w:val="0"/>
          <w:numId w:val="3"/>
        </w:numPr>
        <w:ind w:left="1080"/>
        <w:jc w:val="both"/>
        <w:rPr>
          <w:rFonts w:ascii="Tahoma" w:hAnsi="Tahoma" w:cs="Tahoma"/>
          <w:sz w:val="20"/>
          <w:szCs w:val="20"/>
        </w:rPr>
      </w:pPr>
      <w:r w:rsidRPr="000049F3">
        <w:rPr>
          <w:rFonts w:ascii="Tahoma" w:hAnsi="Tahoma" w:cs="Tahoma"/>
          <w:sz w:val="20"/>
          <w:szCs w:val="20"/>
        </w:rPr>
        <w:t>Plán pro Evropu účinněji využívající zdroje</w:t>
      </w:r>
    </w:p>
    <w:p w:rsidR="00011FD3" w:rsidRPr="000049F3" w:rsidRDefault="00011FD3" w:rsidP="00C6279B">
      <w:pPr>
        <w:pStyle w:val="Odstavecseseznamem"/>
        <w:numPr>
          <w:ilvl w:val="0"/>
          <w:numId w:val="3"/>
        </w:numPr>
        <w:ind w:left="1080"/>
        <w:jc w:val="both"/>
        <w:rPr>
          <w:rFonts w:ascii="Tahoma" w:hAnsi="Tahoma" w:cs="Tahoma"/>
          <w:sz w:val="20"/>
          <w:szCs w:val="20"/>
        </w:rPr>
      </w:pPr>
      <w:r w:rsidRPr="000049F3">
        <w:rPr>
          <w:rFonts w:ascii="Tahoma" w:hAnsi="Tahoma" w:cs="Tahoma"/>
          <w:sz w:val="20"/>
          <w:szCs w:val="20"/>
        </w:rPr>
        <w:t>Digitální agenda pro Evropu</w:t>
      </w:r>
    </w:p>
    <w:p w:rsidR="00011FD3" w:rsidRPr="000049F3" w:rsidRDefault="00011FD3" w:rsidP="00C6279B">
      <w:pPr>
        <w:pStyle w:val="Odstavecseseznamem"/>
        <w:numPr>
          <w:ilvl w:val="0"/>
          <w:numId w:val="3"/>
        </w:numPr>
        <w:ind w:left="1080"/>
        <w:jc w:val="both"/>
        <w:rPr>
          <w:rFonts w:ascii="Tahoma" w:hAnsi="Tahoma" w:cs="Tahoma"/>
          <w:sz w:val="20"/>
          <w:szCs w:val="20"/>
        </w:rPr>
      </w:pPr>
      <w:r w:rsidRPr="000049F3">
        <w:rPr>
          <w:rFonts w:ascii="Tahoma" w:hAnsi="Tahoma" w:cs="Tahoma"/>
          <w:sz w:val="20"/>
          <w:szCs w:val="20"/>
        </w:rPr>
        <w:t>Průmyslová politika pro éru globalizace</w:t>
      </w:r>
    </w:p>
    <w:p w:rsidR="00011FD3" w:rsidRPr="000049F3" w:rsidRDefault="00011FD3" w:rsidP="00C6279B">
      <w:pPr>
        <w:pStyle w:val="Odstavecseseznamem"/>
        <w:numPr>
          <w:ilvl w:val="0"/>
          <w:numId w:val="3"/>
        </w:numPr>
        <w:ind w:left="1080"/>
        <w:jc w:val="both"/>
        <w:rPr>
          <w:rFonts w:ascii="Tahoma" w:hAnsi="Tahoma" w:cs="Tahoma"/>
          <w:sz w:val="20"/>
          <w:szCs w:val="20"/>
        </w:rPr>
      </w:pPr>
      <w:r w:rsidRPr="000049F3">
        <w:rPr>
          <w:rFonts w:ascii="Tahoma" w:hAnsi="Tahoma" w:cs="Tahoma"/>
          <w:sz w:val="20"/>
          <w:szCs w:val="20"/>
        </w:rPr>
        <w:t>Sdělení k finanční perspektivě 2014 – 2020</w:t>
      </w:r>
    </w:p>
    <w:p w:rsidR="00011FD3" w:rsidRPr="000049F3" w:rsidRDefault="007F5349" w:rsidP="00C6279B">
      <w:pPr>
        <w:pStyle w:val="Odstavecseseznamem"/>
        <w:numPr>
          <w:ilvl w:val="0"/>
          <w:numId w:val="3"/>
        </w:numPr>
        <w:ind w:left="1080"/>
        <w:jc w:val="both"/>
        <w:rPr>
          <w:rFonts w:ascii="Tahoma" w:hAnsi="Tahoma" w:cs="Tahoma"/>
          <w:sz w:val="20"/>
          <w:szCs w:val="20"/>
        </w:rPr>
      </w:pPr>
      <w:r>
        <w:rPr>
          <w:rFonts w:ascii="Tahoma" w:hAnsi="Tahoma" w:cs="Tahoma"/>
          <w:sz w:val="20"/>
          <w:szCs w:val="20"/>
        </w:rPr>
        <w:t>N</w:t>
      </w:r>
      <w:r w:rsidR="00011FD3" w:rsidRPr="000049F3">
        <w:rPr>
          <w:rFonts w:ascii="Tahoma" w:hAnsi="Tahoma" w:cs="Tahoma"/>
          <w:sz w:val="20"/>
          <w:szCs w:val="20"/>
        </w:rPr>
        <w:t>ařízení Evropského parlamentu a Rady</w:t>
      </w:r>
      <w:r>
        <w:rPr>
          <w:rFonts w:ascii="Tahoma" w:hAnsi="Tahoma" w:cs="Tahoma"/>
          <w:sz w:val="20"/>
          <w:szCs w:val="20"/>
        </w:rPr>
        <w:t xml:space="preserve"> č. 1303/2013</w:t>
      </w:r>
      <w:r w:rsidR="00011FD3" w:rsidRPr="000049F3">
        <w:rPr>
          <w:rFonts w:ascii="Tahoma" w:hAnsi="Tahoma" w:cs="Tahoma"/>
          <w:sz w:val="20"/>
          <w:szCs w:val="20"/>
        </w:rPr>
        <w:t xml:space="preserve"> o spole</w:t>
      </w:r>
      <w:r w:rsidR="00011FD3" w:rsidRPr="000049F3">
        <w:rPr>
          <w:rFonts w:ascii="Tahoma" w:hAnsi="Tahoma" w:cs="Tahoma" w:hint="eastAsia"/>
          <w:sz w:val="20"/>
          <w:szCs w:val="20"/>
        </w:rPr>
        <w:t>č</w:t>
      </w:r>
      <w:r w:rsidR="00011FD3" w:rsidRPr="000049F3">
        <w:rPr>
          <w:rFonts w:ascii="Tahoma" w:hAnsi="Tahoma" w:cs="Tahoma"/>
          <w:sz w:val="20"/>
          <w:szCs w:val="20"/>
        </w:rPr>
        <w:t>ných ustanoveních ohledn</w:t>
      </w:r>
      <w:r w:rsidR="00011FD3" w:rsidRPr="000049F3">
        <w:rPr>
          <w:rFonts w:ascii="Tahoma" w:hAnsi="Tahoma" w:cs="Tahoma" w:hint="eastAsia"/>
          <w:sz w:val="20"/>
          <w:szCs w:val="20"/>
        </w:rPr>
        <w:t>ě</w:t>
      </w:r>
      <w:r w:rsidR="00011FD3" w:rsidRPr="000049F3">
        <w:rPr>
          <w:rFonts w:ascii="Tahoma" w:hAnsi="Tahoma" w:cs="Tahoma"/>
          <w:sz w:val="20"/>
          <w:szCs w:val="20"/>
        </w:rPr>
        <w:t xml:space="preserve"> Evropského fondu pro regionální rozvoj, Evropského sociálního fondu, Fondu soudržnosti, Evropského zem</w:t>
      </w:r>
      <w:r w:rsidR="00011FD3" w:rsidRPr="000049F3">
        <w:rPr>
          <w:rFonts w:ascii="Tahoma" w:hAnsi="Tahoma" w:cs="Tahoma" w:hint="eastAsia"/>
          <w:sz w:val="20"/>
          <w:szCs w:val="20"/>
        </w:rPr>
        <w:t>ě</w:t>
      </w:r>
      <w:r w:rsidR="00011FD3" w:rsidRPr="000049F3">
        <w:rPr>
          <w:rFonts w:ascii="Tahoma" w:hAnsi="Tahoma" w:cs="Tahoma"/>
          <w:sz w:val="20"/>
          <w:szCs w:val="20"/>
        </w:rPr>
        <w:t>d</w:t>
      </w:r>
      <w:r w:rsidR="00011FD3" w:rsidRPr="000049F3">
        <w:rPr>
          <w:rFonts w:ascii="Tahoma" w:hAnsi="Tahoma" w:cs="Tahoma" w:hint="eastAsia"/>
          <w:sz w:val="20"/>
          <w:szCs w:val="20"/>
        </w:rPr>
        <w:t>ě</w:t>
      </w:r>
      <w:r w:rsidR="00011FD3" w:rsidRPr="000049F3">
        <w:rPr>
          <w:rFonts w:ascii="Tahoma" w:hAnsi="Tahoma" w:cs="Tahoma"/>
          <w:sz w:val="20"/>
          <w:szCs w:val="20"/>
        </w:rPr>
        <w:t>lského fondu pro rozvoj venkova a Evropského námo</w:t>
      </w:r>
      <w:r w:rsidR="00011FD3" w:rsidRPr="000049F3">
        <w:rPr>
          <w:rFonts w:ascii="Tahoma" w:hAnsi="Tahoma" w:cs="Tahoma" w:hint="eastAsia"/>
          <w:sz w:val="20"/>
          <w:szCs w:val="20"/>
        </w:rPr>
        <w:t>ř</w:t>
      </w:r>
      <w:r w:rsidR="00011FD3" w:rsidRPr="000049F3">
        <w:rPr>
          <w:rFonts w:ascii="Tahoma" w:hAnsi="Tahoma" w:cs="Tahoma"/>
          <w:sz w:val="20"/>
          <w:szCs w:val="20"/>
        </w:rPr>
        <w:t>ního a rybá</w:t>
      </w:r>
      <w:r w:rsidR="00011FD3" w:rsidRPr="000049F3">
        <w:rPr>
          <w:rFonts w:ascii="Tahoma" w:hAnsi="Tahoma" w:cs="Tahoma" w:hint="eastAsia"/>
          <w:sz w:val="20"/>
          <w:szCs w:val="20"/>
        </w:rPr>
        <w:t>ř</w:t>
      </w:r>
      <w:r w:rsidR="00011FD3" w:rsidRPr="000049F3">
        <w:rPr>
          <w:rFonts w:ascii="Tahoma" w:hAnsi="Tahoma" w:cs="Tahoma"/>
          <w:sz w:val="20"/>
          <w:szCs w:val="20"/>
        </w:rPr>
        <w:t>ského fondu, jichž se týká spole</w:t>
      </w:r>
      <w:r w:rsidR="00011FD3" w:rsidRPr="000049F3">
        <w:rPr>
          <w:rFonts w:ascii="Tahoma" w:hAnsi="Tahoma" w:cs="Tahoma" w:hint="eastAsia"/>
          <w:sz w:val="20"/>
          <w:szCs w:val="20"/>
        </w:rPr>
        <w:t>č</w:t>
      </w:r>
      <w:r w:rsidR="00011FD3" w:rsidRPr="000049F3">
        <w:rPr>
          <w:rFonts w:ascii="Tahoma" w:hAnsi="Tahoma" w:cs="Tahoma"/>
          <w:sz w:val="20"/>
          <w:szCs w:val="20"/>
        </w:rPr>
        <w:t>ný strategický rámec, a o obecných ustanoveních ohledn</w:t>
      </w:r>
      <w:r w:rsidR="00011FD3" w:rsidRPr="000049F3">
        <w:rPr>
          <w:rFonts w:ascii="Tahoma" w:hAnsi="Tahoma" w:cs="Tahoma" w:hint="eastAsia"/>
          <w:sz w:val="20"/>
          <w:szCs w:val="20"/>
        </w:rPr>
        <w:t>ě</w:t>
      </w:r>
      <w:r w:rsidR="00011FD3" w:rsidRPr="000049F3">
        <w:rPr>
          <w:rFonts w:ascii="Tahoma" w:hAnsi="Tahoma" w:cs="Tahoma"/>
          <w:sz w:val="20"/>
          <w:szCs w:val="20"/>
        </w:rPr>
        <w:t xml:space="preserve"> Evropského fondu pro regionální rozvoj, Evropského sociálního fondu a Fondu soudržnosti a o zrušení nařízení (ES) č. 1083/2006</w:t>
      </w:r>
      <w:r>
        <w:rPr>
          <w:rFonts w:ascii="Tahoma" w:hAnsi="Tahoma" w:cs="Tahoma"/>
          <w:sz w:val="20"/>
          <w:szCs w:val="20"/>
        </w:rPr>
        <w:t xml:space="preserve"> (dále jen „Obecné nařízení“)</w:t>
      </w:r>
    </w:p>
    <w:p w:rsidR="00011FD3" w:rsidRPr="007F5349" w:rsidRDefault="007F5349" w:rsidP="00C6279B">
      <w:pPr>
        <w:pStyle w:val="Odstavecseseznamem"/>
        <w:numPr>
          <w:ilvl w:val="0"/>
          <w:numId w:val="3"/>
        </w:numPr>
        <w:ind w:left="1080"/>
        <w:jc w:val="both"/>
        <w:rPr>
          <w:rFonts w:ascii="Tahoma" w:hAnsi="Tahoma" w:cs="Tahoma"/>
          <w:sz w:val="20"/>
          <w:szCs w:val="20"/>
        </w:rPr>
      </w:pPr>
      <w:r>
        <w:rPr>
          <w:rFonts w:ascii="Tahoma" w:hAnsi="Tahoma" w:cs="Tahoma"/>
          <w:sz w:val="20"/>
          <w:szCs w:val="20"/>
        </w:rPr>
        <w:t>N</w:t>
      </w:r>
      <w:r w:rsidR="00011FD3" w:rsidRPr="000049F3">
        <w:rPr>
          <w:rFonts w:ascii="Tahoma" w:hAnsi="Tahoma" w:cs="Tahoma"/>
          <w:sz w:val="20"/>
          <w:szCs w:val="20"/>
        </w:rPr>
        <w:t xml:space="preserve">ařízení Evropského parlamentu a Rady </w:t>
      </w:r>
      <w:r>
        <w:rPr>
          <w:rFonts w:ascii="Tahoma" w:hAnsi="Tahoma" w:cs="Tahoma"/>
          <w:sz w:val="20"/>
          <w:szCs w:val="20"/>
        </w:rPr>
        <w:t xml:space="preserve">č. 1301/2013 </w:t>
      </w:r>
      <w:r w:rsidR="00011FD3" w:rsidRPr="007F5349">
        <w:rPr>
          <w:rFonts w:ascii="Tahoma" w:hAnsi="Tahoma" w:cs="Tahoma"/>
          <w:sz w:val="20"/>
          <w:szCs w:val="20"/>
        </w:rPr>
        <w:t xml:space="preserve">o </w:t>
      </w:r>
      <w:r>
        <w:rPr>
          <w:rFonts w:ascii="Tahoma" w:hAnsi="Tahoma" w:cs="Tahoma"/>
          <w:sz w:val="20"/>
          <w:szCs w:val="20"/>
        </w:rPr>
        <w:t>Evropském</w:t>
      </w:r>
      <w:r w:rsidR="00011FD3" w:rsidRPr="007F5349">
        <w:rPr>
          <w:rFonts w:ascii="Tahoma" w:hAnsi="Tahoma" w:cs="Tahoma"/>
          <w:sz w:val="20"/>
          <w:szCs w:val="20"/>
        </w:rPr>
        <w:t xml:space="preserve"> fondu </w:t>
      </w:r>
      <w:r>
        <w:rPr>
          <w:rFonts w:ascii="Tahoma" w:hAnsi="Tahoma" w:cs="Tahoma"/>
          <w:sz w:val="20"/>
          <w:szCs w:val="20"/>
        </w:rPr>
        <w:t xml:space="preserve">pro </w:t>
      </w:r>
      <w:r w:rsidR="00011FD3" w:rsidRPr="007F5349">
        <w:rPr>
          <w:rFonts w:ascii="Tahoma" w:hAnsi="Tahoma" w:cs="Tahoma"/>
          <w:sz w:val="20"/>
          <w:szCs w:val="20"/>
        </w:rPr>
        <w:t>regionální rozvoj</w:t>
      </w:r>
      <w:r>
        <w:rPr>
          <w:rFonts w:ascii="Tahoma" w:hAnsi="Tahoma" w:cs="Tahoma"/>
          <w:sz w:val="20"/>
          <w:szCs w:val="20"/>
        </w:rPr>
        <w:t xml:space="preserve">, o zvláštních ustanoveních týkajících se </w:t>
      </w:r>
      <w:r w:rsidR="00011FD3" w:rsidRPr="007F5349">
        <w:rPr>
          <w:rFonts w:ascii="Tahoma" w:hAnsi="Tahoma" w:cs="Tahoma"/>
          <w:sz w:val="20"/>
          <w:szCs w:val="20"/>
        </w:rPr>
        <w:t>cíle Investice pro růst a zaměstnanost a o zrušení nařízení (ES</w:t>
      </w:r>
      <w:r>
        <w:rPr>
          <w:rFonts w:ascii="Tahoma" w:hAnsi="Tahoma" w:cs="Tahoma"/>
          <w:sz w:val="20"/>
          <w:szCs w:val="20"/>
        </w:rPr>
        <w:t>) č. 1080/2006 (dále jen „</w:t>
      </w:r>
      <w:r w:rsidR="00011FD3" w:rsidRPr="007F5349">
        <w:rPr>
          <w:rFonts w:ascii="Tahoma" w:hAnsi="Tahoma" w:cs="Tahoma"/>
          <w:sz w:val="20"/>
          <w:szCs w:val="20"/>
        </w:rPr>
        <w:t xml:space="preserve">nařízení o EFRR“) </w:t>
      </w:r>
    </w:p>
    <w:p w:rsidR="00011FD3" w:rsidRPr="000049F3" w:rsidRDefault="00011FD3" w:rsidP="00C6279B">
      <w:pPr>
        <w:pStyle w:val="Odstavecseseznamem"/>
        <w:numPr>
          <w:ilvl w:val="0"/>
          <w:numId w:val="3"/>
        </w:numPr>
        <w:ind w:left="1080"/>
        <w:jc w:val="both"/>
        <w:rPr>
          <w:rFonts w:ascii="Tahoma" w:hAnsi="Tahoma" w:cs="Tahoma"/>
          <w:sz w:val="20"/>
          <w:szCs w:val="20"/>
        </w:rPr>
      </w:pPr>
      <w:r w:rsidRPr="000049F3">
        <w:rPr>
          <w:rFonts w:ascii="Tahoma" w:hAnsi="Tahoma" w:cs="Tahoma"/>
          <w:sz w:val="20"/>
          <w:szCs w:val="20"/>
        </w:rPr>
        <w:t xml:space="preserve">Stanovisko útvarů Komise k vývoji v oblasti Dohody o partnerství a programů v České republice pro období 2014 – 2020 (tzv. </w:t>
      </w:r>
      <w:proofErr w:type="spellStart"/>
      <w:r w:rsidRPr="000049F3">
        <w:rPr>
          <w:rFonts w:ascii="Tahoma" w:hAnsi="Tahoma" w:cs="Tahoma"/>
          <w:sz w:val="20"/>
          <w:szCs w:val="20"/>
        </w:rPr>
        <w:t>Position</w:t>
      </w:r>
      <w:proofErr w:type="spellEnd"/>
      <w:r w:rsidRPr="000049F3">
        <w:rPr>
          <w:rFonts w:ascii="Tahoma" w:hAnsi="Tahoma" w:cs="Tahoma"/>
          <w:sz w:val="20"/>
          <w:szCs w:val="20"/>
        </w:rPr>
        <w:t xml:space="preserve"> </w:t>
      </w:r>
      <w:proofErr w:type="spellStart"/>
      <w:r w:rsidRPr="000049F3">
        <w:rPr>
          <w:rFonts w:ascii="Tahoma" w:hAnsi="Tahoma" w:cs="Tahoma"/>
          <w:sz w:val="20"/>
          <w:szCs w:val="20"/>
        </w:rPr>
        <w:t>Paper</w:t>
      </w:r>
      <w:proofErr w:type="spellEnd"/>
      <w:r w:rsidRPr="000049F3">
        <w:rPr>
          <w:rFonts w:ascii="Tahoma" w:hAnsi="Tahoma" w:cs="Tahoma"/>
          <w:sz w:val="20"/>
          <w:szCs w:val="20"/>
        </w:rPr>
        <w:t>, říjen 2012)</w:t>
      </w:r>
    </w:p>
    <w:p w:rsidR="00011FD3" w:rsidRPr="000049F3" w:rsidRDefault="00495AF9" w:rsidP="00C6279B">
      <w:pPr>
        <w:pStyle w:val="Odstavecseseznamem"/>
        <w:numPr>
          <w:ilvl w:val="0"/>
          <w:numId w:val="3"/>
        </w:numPr>
        <w:ind w:left="1080"/>
        <w:jc w:val="both"/>
        <w:rPr>
          <w:rFonts w:ascii="Tahoma" w:hAnsi="Tahoma" w:cs="Tahoma"/>
          <w:sz w:val="20"/>
          <w:szCs w:val="20"/>
        </w:rPr>
      </w:pPr>
      <w:r>
        <w:rPr>
          <w:rFonts w:ascii="Tahoma" w:hAnsi="Tahoma" w:cs="Tahoma"/>
          <w:sz w:val="20"/>
          <w:szCs w:val="20"/>
        </w:rPr>
        <w:t>D</w:t>
      </w:r>
      <w:r w:rsidR="00011FD3" w:rsidRPr="000049F3">
        <w:rPr>
          <w:rFonts w:ascii="Tahoma" w:hAnsi="Tahoma" w:cs="Tahoma"/>
          <w:sz w:val="20"/>
          <w:szCs w:val="20"/>
        </w:rPr>
        <w:t>alší pracovní dokumenty („</w:t>
      </w:r>
      <w:proofErr w:type="spellStart"/>
      <w:r w:rsidR="00011FD3" w:rsidRPr="000049F3">
        <w:rPr>
          <w:rFonts w:ascii="Tahoma" w:hAnsi="Tahoma" w:cs="Tahoma"/>
          <w:sz w:val="20"/>
          <w:szCs w:val="20"/>
        </w:rPr>
        <w:t>working</w:t>
      </w:r>
      <w:proofErr w:type="spellEnd"/>
      <w:r w:rsidR="00011FD3" w:rsidRPr="000049F3">
        <w:rPr>
          <w:rFonts w:ascii="Tahoma" w:hAnsi="Tahoma" w:cs="Tahoma"/>
          <w:sz w:val="20"/>
          <w:szCs w:val="20"/>
        </w:rPr>
        <w:t xml:space="preserve"> </w:t>
      </w:r>
      <w:proofErr w:type="spellStart"/>
      <w:r w:rsidR="00011FD3" w:rsidRPr="000049F3">
        <w:rPr>
          <w:rFonts w:ascii="Tahoma" w:hAnsi="Tahoma" w:cs="Tahoma"/>
          <w:sz w:val="20"/>
          <w:szCs w:val="20"/>
        </w:rPr>
        <w:t>papers</w:t>
      </w:r>
      <w:proofErr w:type="spellEnd"/>
      <w:r w:rsidR="00011FD3" w:rsidRPr="000049F3">
        <w:rPr>
          <w:rFonts w:ascii="Tahoma" w:hAnsi="Tahoma" w:cs="Tahoma"/>
          <w:sz w:val="20"/>
          <w:szCs w:val="20"/>
        </w:rPr>
        <w:t>“) Evropské komise</w:t>
      </w:r>
    </w:p>
    <w:p w:rsidR="00011FD3" w:rsidRDefault="00011FD3" w:rsidP="00011FD3">
      <w:pPr>
        <w:rPr>
          <w:rFonts w:cs="Tahoma"/>
          <w:szCs w:val="20"/>
        </w:rPr>
      </w:pPr>
    </w:p>
    <w:p w:rsidR="00011FD3" w:rsidRPr="00C765A1" w:rsidRDefault="00495AF9" w:rsidP="00011FD3">
      <w:pPr>
        <w:ind w:left="360"/>
        <w:rPr>
          <w:rFonts w:cs="Tahoma"/>
          <w:szCs w:val="20"/>
          <w:u w:val="single"/>
        </w:rPr>
      </w:pPr>
      <w:r w:rsidRPr="00C765A1">
        <w:rPr>
          <w:rFonts w:cs="Tahoma"/>
          <w:szCs w:val="20"/>
          <w:u w:val="single"/>
        </w:rPr>
        <w:t>Další e</w:t>
      </w:r>
      <w:r w:rsidR="00011FD3" w:rsidRPr="00C765A1">
        <w:rPr>
          <w:rFonts w:cs="Tahoma"/>
          <w:szCs w:val="20"/>
          <w:u w:val="single"/>
        </w:rPr>
        <w:t>valuace, zprávy</w:t>
      </w:r>
    </w:p>
    <w:p w:rsidR="00011FD3" w:rsidRPr="006E7594" w:rsidRDefault="00011FD3" w:rsidP="00C6279B">
      <w:pPr>
        <w:pStyle w:val="Odstavecseseznamem"/>
        <w:numPr>
          <w:ilvl w:val="0"/>
          <w:numId w:val="3"/>
        </w:numPr>
        <w:ind w:left="1080"/>
        <w:jc w:val="both"/>
        <w:rPr>
          <w:rFonts w:ascii="Tahoma" w:hAnsi="Tahoma" w:cs="Tahoma"/>
          <w:sz w:val="20"/>
          <w:szCs w:val="20"/>
        </w:rPr>
      </w:pPr>
      <w:r w:rsidRPr="006E7594">
        <w:rPr>
          <w:rFonts w:ascii="Tahoma" w:hAnsi="Tahoma" w:cs="Tahoma"/>
          <w:sz w:val="20"/>
          <w:szCs w:val="20"/>
        </w:rPr>
        <w:t xml:space="preserve">II. </w:t>
      </w:r>
      <w:r w:rsidR="000C1E97">
        <w:rPr>
          <w:rFonts w:ascii="Tahoma" w:hAnsi="Tahoma" w:cs="Tahoma"/>
          <w:sz w:val="20"/>
          <w:szCs w:val="20"/>
        </w:rPr>
        <w:t>s</w:t>
      </w:r>
      <w:r w:rsidRPr="006E7594">
        <w:rPr>
          <w:rFonts w:ascii="Tahoma" w:hAnsi="Tahoma" w:cs="Tahoma"/>
          <w:sz w:val="20"/>
          <w:szCs w:val="20"/>
        </w:rPr>
        <w:t>trategická zpráva České republiky pro programové období 2007–2013</w:t>
      </w:r>
      <w:r>
        <w:rPr>
          <w:rFonts w:ascii="Tahoma" w:hAnsi="Tahoma" w:cs="Tahoma"/>
          <w:sz w:val="20"/>
          <w:szCs w:val="20"/>
        </w:rPr>
        <w:t xml:space="preserve">, MMR-NOK, </w:t>
      </w:r>
      <w:r w:rsidRPr="006E7594">
        <w:rPr>
          <w:rFonts w:ascii="Tahoma" w:hAnsi="Tahoma" w:cs="Tahoma"/>
          <w:sz w:val="20"/>
          <w:szCs w:val="20"/>
        </w:rPr>
        <w:t>prosinec 2012</w:t>
      </w:r>
    </w:p>
    <w:p w:rsidR="00011FD3" w:rsidRDefault="00011FD3" w:rsidP="00C6279B">
      <w:pPr>
        <w:pStyle w:val="Odstavecseseznamem"/>
        <w:numPr>
          <w:ilvl w:val="0"/>
          <w:numId w:val="3"/>
        </w:numPr>
        <w:ind w:left="1080"/>
        <w:jc w:val="both"/>
        <w:rPr>
          <w:rFonts w:ascii="Tahoma" w:hAnsi="Tahoma" w:cs="Tahoma"/>
          <w:sz w:val="20"/>
          <w:szCs w:val="20"/>
        </w:rPr>
      </w:pPr>
      <w:r w:rsidRPr="00287BC0">
        <w:rPr>
          <w:rFonts w:ascii="Tahoma" w:hAnsi="Tahoma" w:cs="Tahoma"/>
          <w:sz w:val="20"/>
          <w:szCs w:val="20"/>
        </w:rPr>
        <w:t>Střednědobé hodnocení věcné a finanční realizace Národního strategického referenčního rámce</w:t>
      </w:r>
      <w:r>
        <w:rPr>
          <w:rFonts w:ascii="Tahoma" w:hAnsi="Tahoma" w:cs="Tahoma"/>
          <w:sz w:val="20"/>
          <w:szCs w:val="20"/>
        </w:rPr>
        <w:t>, KPMG, duben 2012</w:t>
      </w:r>
    </w:p>
    <w:p w:rsidR="00011FD3" w:rsidRPr="00287BC0" w:rsidRDefault="00011FD3" w:rsidP="00C6279B">
      <w:pPr>
        <w:pStyle w:val="Odstavecseseznamem"/>
        <w:numPr>
          <w:ilvl w:val="0"/>
          <w:numId w:val="3"/>
        </w:numPr>
        <w:ind w:left="1080"/>
        <w:jc w:val="both"/>
        <w:rPr>
          <w:rFonts w:ascii="Tahoma" w:hAnsi="Tahoma" w:cs="Tahoma"/>
          <w:sz w:val="20"/>
          <w:szCs w:val="20"/>
        </w:rPr>
      </w:pPr>
      <w:r w:rsidRPr="00287BC0">
        <w:rPr>
          <w:rFonts w:ascii="Tahoma" w:hAnsi="Tahoma" w:cs="Tahoma"/>
          <w:sz w:val="20"/>
          <w:szCs w:val="20"/>
        </w:rPr>
        <w:t xml:space="preserve">Ex post evaluace Rámce podpory Společenství a jednotných programových dokumentů z programového období 2004–2006, HOPE-E.S., v.o.s., </w:t>
      </w:r>
      <w:proofErr w:type="spellStart"/>
      <w:r>
        <w:rPr>
          <w:rFonts w:ascii="Tahoma" w:hAnsi="Tahoma" w:cs="Tahoma"/>
          <w:sz w:val="20"/>
          <w:szCs w:val="20"/>
        </w:rPr>
        <w:t>Berman</w:t>
      </w:r>
      <w:proofErr w:type="spellEnd"/>
      <w:r>
        <w:rPr>
          <w:rFonts w:ascii="Tahoma" w:hAnsi="Tahoma" w:cs="Tahoma"/>
          <w:sz w:val="20"/>
          <w:szCs w:val="20"/>
        </w:rPr>
        <w:t xml:space="preserve"> </w:t>
      </w:r>
      <w:proofErr w:type="spellStart"/>
      <w:r>
        <w:rPr>
          <w:rFonts w:ascii="Tahoma" w:hAnsi="Tahoma" w:cs="Tahoma"/>
          <w:sz w:val="20"/>
          <w:szCs w:val="20"/>
        </w:rPr>
        <w:t>Group</w:t>
      </w:r>
      <w:proofErr w:type="spellEnd"/>
      <w:r w:rsidRPr="00287BC0">
        <w:rPr>
          <w:rFonts w:ascii="Tahoma" w:hAnsi="Tahoma" w:cs="Tahoma"/>
          <w:sz w:val="20"/>
          <w:szCs w:val="20"/>
        </w:rPr>
        <w:t xml:space="preserve">, s.r.o., </w:t>
      </w:r>
      <w:proofErr w:type="spellStart"/>
      <w:r w:rsidRPr="00287BC0">
        <w:rPr>
          <w:rFonts w:ascii="Tahoma" w:hAnsi="Tahoma" w:cs="Tahoma"/>
          <w:sz w:val="20"/>
          <w:szCs w:val="20"/>
        </w:rPr>
        <w:t>Cassia</w:t>
      </w:r>
      <w:proofErr w:type="spellEnd"/>
      <w:r w:rsidRPr="00287BC0">
        <w:rPr>
          <w:rFonts w:ascii="Tahoma" w:hAnsi="Tahoma" w:cs="Tahoma"/>
          <w:sz w:val="20"/>
          <w:szCs w:val="20"/>
        </w:rPr>
        <w:t xml:space="preserve"> </w:t>
      </w:r>
      <w:proofErr w:type="spellStart"/>
      <w:r w:rsidRPr="00287BC0">
        <w:rPr>
          <w:rFonts w:ascii="Tahoma" w:hAnsi="Tahoma" w:cs="Tahoma"/>
          <w:sz w:val="20"/>
          <w:szCs w:val="20"/>
        </w:rPr>
        <w:t>Development</w:t>
      </w:r>
      <w:proofErr w:type="spellEnd"/>
      <w:r w:rsidRPr="00287BC0">
        <w:rPr>
          <w:rFonts w:ascii="Tahoma" w:hAnsi="Tahoma" w:cs="Tahoma"/>
          <w:sz w:val="20"/>
          <w:szCs w:val="20"/>
        </w:rPr>
        <w:t xml:space="preserve"> &amp; </w:t>
      </w:r>
      <w:proofErr w:type="spellStart"/>
      <w:r w:rsidRPr="00287BC0">
        <w:rPr>
          <w:rFonts w:ascii="Tahoma" w:hAnsi="Tahoma" w:cs="Tahoma"/>
          <w:sz w:val="20"/>
          <w:szCs w:val="20"/>
        </w:rPr>
        <w:t>Consulting</w:t>
      </w:r>
      <w:proofErr w:type="spellEnd"/>
      <w:r w:rsidRPr="00287BC0">
        <w:rPr>
          <w:rFonts w:ascii="Tahoma" w:hAnsi="Tahoma" w:cs="Tahoma"/>
          <w:sz w:val="20"/>
          <w:szCs w:val="20"/>
        </w:rPr>
        <w:t xml:space="preserve">, s.r.o. </w:t>
      </w:r>
    </w:p>
    <w:p w:rsidR="00011FD3" w:rsidRPr="006E7594" w:rsidRDefault="00011FD3" w:rsidP="00011FD3">
      <w:pPr>
        <w:pStyle w:val="Odstavecseseznamem"/>
        <w:ind w:left="1080"/>
        <w:jc w:val="both"/>
        <w:rPr>
          <w:rFonts w:ascii="Tahoma" w:hAnsi="Tahoma" w:cs="Tahoma"/>
          <w:sz w:val="20"/>
          <w:szCs w:val="20"/>
        </w:rPr>
      </w:pPr>
    </w:p>
    <w:p w:rsidR="00011FD3" w:rsidRPr="00C765A1" w:rsidRDefault="00011FD3" w:rsidP="00011FD3">
      <w:pPr>
        <w:ind w:left="360"/>
        <w:rPr>
          <w:rFonts w:cs="Tahoma"/>
          <w:szCs w:val="20"/>
          <w:u w:val="single"/>
        </w:rPr>
      </w:pPr>
      <w:r w:rsidRPr="00C765A1">
        <w:rPr>
          <w:rFonts w:cs="Tahoma"/>
          <w:szCs w:val="20"/>
          <w:u w:val="single"/>
        </w:rPr>
        <w:t>Statistická data, analýzy, průzkumy:</w:t>
      </w:r>
    </w:p>
    <w:p w:rsidR="00011FD3" w:rsidRDefault="00011FD3" w:rsidP="00C6279B">
      <w:pPr>
        <w:pStyle w:val="Odstavecseseznamem"/>
        <w:numPr>
          <w:ilvl w:val="0"/>
          <w:numId w:val="3"/>
        </w:numPr>
        <w:ind w:left="1080"/>
        <w:jc w:val="both"/>
        <w:rPr>
          <w:rFonts w:ascii="Tahoma" w:hAnsi="Tahoma" w:cs="Tahoma"/>
          <w:sz w:val="20"/>
          <w:szCs w:val="20"/>
        </w:rPr>
      </w:pPr>
      <w:r w:rsidRPr="00F006B5">
        <w:rPr>
          <w:rFonts w:ascii="Tahoma" w:hAnsi="Tahoma" w:cs="Tahoma"/>
          <w:sz w:val="20"/>
          <w:szCs w:val="20"/>
        </w:rPr>
        <w:t xml:space="preserve">Český statistický úřad </w:t>
      </w:r>
      <w:r>
        <w:rPr>
          <w:rFonts w:ascii="Tahoma" w:hAnsi="Tahoma" w:cs="Tahoma"/>
          <w:sz w:val="20"/>
          <w:szCs w:val="20"/>
        </w:rPr>
        <w:t xml:space="preserve">- </w:t>
      </w:r>
      <w:r w:rsidRPr="00F006B5">
        <w:rPr>
          <w:rFonts w:ascii="Tahoma" w:hAnsi="Tahoma" w:cs="Tahoma"/>
          <w:sz w:val="20"/>
          <w:szCs w:val="20"/>
        </w:rPr>
        <w:t>ročenky, analýzy, konjunkturální průzkumy, souborné publikace, případové studie aj.</w:t>
      </w:r>
      <w:r>
        <w:rPr>
          <w:rFonts w:ascii="Tahoma" w:hAnsi="Tahoma" w:cs="Tahoma"/>
          <w:sz w:val="20"/>
          <w:szCs w:val="20"/>
        </w:rPr>
        <w:t>,</w:t>
      </w:r>
    </w:p>
    <w:p w:rsidR="00011FD3" w:rsidRPr="00F006B5" w:rsidRDefault="00011FD3" w:rsidP="00C6279B">
      <w:pPr>
        <w:pStyle w:val="Odstavecseseznamem"/>
        <w:numPr>
          <w:ilvl w:val="0"/>
          <w:numId w:val="3"/>
        </w:numPr>
        <w:ind w:left="1080"/>
        <w:jc w:val="both"/>
        <w:rPr>
          <w:rFonts w:ascii="Tahoma" w:hAnsi="Tahoma" w:cs="Tahoma"/>
          <w:sz w:val="20"/>
          <w:szCs w:val="20"/>
        </w:rPr>
      </w:pPr>
      <w:r w:rsidRPr="00F006B5">
        <w:rPr>
          <w:rFonts w:ascii="Tahoma" w:hAnsi="Tahoma" w:cs="Tahoma"/>
          <w:sz w:val="20"/>
          <w:szCs w:val="20"/>
        </w:rPr>
        <w:t>Mini</w:t>
      </w:r>
      <w:r>
        <w:rPr>
          <w:rFonts w:ascii="Tahoma" w:hAnsi="Tahoma" w:cs="Tahoma"/>
          <w:sz w:val="20"/>
          <w:szCs w:val="20"/>
        </w:rPr>
        <w:t xml:space="preserve">sterstvo průmyslu a obchodu ČR - </w:t>
      </w:r>
      <w:r w:rsidRPr="00F006B5">
        <w:rPr>
          <w:rFonts w:ascii="Tahoma" w:hAnsi="Tahoma" w:cs="Tahoma"/>
          <w:sz w:val="20"/>
          <w:szCs w:val="20"/>
        </w:rPr>
        <w:t>analýzy vývoje ekonomiky ČR a odvětví v působnost</w:t>
      </w:r>
      <w:r>
        <w:rPr>
          <w:rFonts w:ascii="Tahoma" w:hAnsi="Tahoma" w:cs="Tahoma"/>
          <w:sz w:val="20"/>
          <w:szCs w:val="20"/>
        </w:rPr>
        <w:t>i MPO, zprávy o situaci MSP aj.,</w:t>
      </w:r>
      <w:r w:rsidRPr="00F006B5">
        <w:rPr>
          <w:rFonts w:ascii="Tahoma" w:hAnsi="Tahoma" w:cs="Tahoma"/>
          <w:sz w:val="20"/>
          <w:szCs w:val="20"/>
        </w:rPr>
        <w:t xml:space="preserve">  </w:t>
      </w:r>
    </w:p>
    <w:p w:rsidR="00011FD3" w:rsidRPr="00F006B5" w:rsidRDefault="00011FD3" w:rsidP="00C6279B">
      <w:pPr>
        <w:pStyle w:val="Odstavecseseznamem"/>
        <w:numPr>
          <w:ilvl w:val="0"/>
          <w:numId w:val="3"/>
        </w:numPr>
        <w:ind w:left="1080"/>
        <w:jc w:val="both"/>
        <w:rPr>
          <w:rFonts w:ascii="Tahoma" w:hAnsi="Tahoma" w:cs="Tahoma"/>
          <w:sz w:val="20"/>
          <w:szCs w:val="20"/>
        </w:rPr>
      </w:pPr>
      <w:r w:rsidRPr="00F006B5">
        <w:rPr>
          <w:rFonts w:ascii="Tahoma" w:hAnsi="Tahoma" w:cs="Tahoma"/>
          <w:sz w:val="20"/>
          <w:szCs w:val="20"/>
        </w:rPr>
        <w:t>EUROSTAT,</w:t>
      </w:r>
    </w:p>
    <w:p w:rsidR="00011FD3" w:rsidRPr="00F006B5" w:rsidRDefault="00011FD3" w:rsidP="00C6279B">
      <w:pPr>
        <w:pStyle w:val="Odstavecseseznamem"/>
        <w:numPr>
          <w:ilvl w:val="0"/>
          <w:numId w:val="3"/>
        </w:numPr>
        <w:ind w:left="1080"/>
        <w:jc w:val="both"/>
        <w:rPr>
          <w:rFonts w:ascii="Tahoma" w:hAnsi="Tahoma" w:cs="Tahoma"/>
          <w:sz w:val="20"/>
          <w:szCs w:val="20"/>
        </w:rPr>
      </w:pPr>
      <w:r w:rsidRPr="00F006B5">
        <w:rPr>
          <w:rFonts w:ascii="Tahoma" w:hAnsi="Tahoma" w:cs="Tahoma"/>
          <w:sz w:val="20"/>
          <w:szCs w:val="20"/>
        </w:rPr>
        <w:lastRenderedPageBreak/>
        <w:t xml:space="preserve">Česká národní banka (zprávy o finanční stabilitě), </w:t>
      </w:r>
    </w:p>
    <w:p w:rsidR="00011FD3" w:rsidRPr="00F006B5" w:rsidRDefault="00011FD3" w:rsidP="00C6279B">
      <w:pPr>
        <w:pStyle w:val="Odstavecseseznamem"/>
        <w:numPr>
          <w:ilvl w:val="0"/>
          <w:numId w:val="3"/>
        </w:numPr>
        <w:ind w:left="1080"/>
        <w:jc w:val="both"/>
        <w:rPr>
          <w:rFonts w:ascii="Tahoma" w:hAnsi="Tahoma" w:cs="Tahoma"/>
          <w:sz w:val="20"/>
          <w:szCs w:val="20"/>
        </w:rPr>
      </w:pPr>
      <w:r w:rsidRPr="00F006B5">
        <w:rPr>
          <w:rFonts w:ascii="Tahoma" w:hAnsi="Tahoma" w:cs="Tahoma"/>
          <w:sz w:val="20"/>
          <w:szCs w:val="20"/>
        </w:rPr>
        <w:t>Ministerstvo financí ČR (makroekonomické predikce ČR)</w:t>
      </w:r>
    </w:p>
    <w:p w:rsidR="00011FD3" w:rsidRDefault="00011FD3" w:rsidP="00011FD3">
      <w:pPr>
        <w:ind w:left="360"/>
        <w:rPr>
          <w:rFonts w:cs="Tahoma"/>
          <w:szCs w:val="20"/>
        </w:rPr>
      </w:pPr>
    </w:p>
    <w:p w:rsidR="00011FD3" w:rsidRPr="00C765A1" w:rsidRDefault="00011FD3" w:rsidP="00011FD3">
      <w:pPr>
        <w:ind w:left="360"/>
        <w:rPr>
          <w:rFonts w:cs="Tahoma"/>
          <w:szCs w:val="20"/>
          <w:u w:val="single"/>
        </w:rPr>
      </w:pPr>
      <w:r w:rsidRPr="00C765A1">
        <w:rPr>
          <w:rFonts w:cs="Tahoma"/>
          <w:szCs w:val="20"/>
          <w:u w:val="single"/>
        </w:rPr>
        <w:t xml:space="preserve">Metodické </w:t>
      </w:r>
      <w:r w:rsidR="00C765A1">
        <w:rPr>
          <w:rFonts w:cs="Tahoma"/>
          <w:szCs w:val="20"/>
          <w:u w:val="single"/>
        </w:rPr>
        <w:t>dokumenty</w:t>
      </w:r>
      <w:r w:rsidRPr="00C765A1">
        <w:rPr>
          <w:rFonts w:cs="Tahoma"/>
          <w:szCs w:val="20"/>
          <w:u w:val="single"/>
        </w:rPr>
        <w:t>:</w:t>
      </w:r>
    </w:p>
    <w:p w:rsidR="00011FD3" w:rsidRPr="00A74FAF" w:rsidRDefault="00011FD3" w:rsidP="00C6279B">
      <w:pPr>
        <w:pStyle w:val="Odstavecseseznamem"/>
        <w:numPr>
          <w:ilvl w:val="0"/>
          <w:numId w:val="3"/>
        </w:numPr>
        <w:ind w:left="1080"/>
        <w:jc w:val="both"/>
        <w:rPr>
          <w:rFonts w:ascii="Tahoma" w:hAnsi="Tahoma" w:cs="Tahoma"/>
          <w:sz w:val="20"/>
          <w:szCs w:val="20"/>
        </w:rPr>
      </w:pPr>
      <w:r>
        <w:rPr>
          <w:rFonts w:ascii="Tahoma" w:hAnsi="Tahoma" w:cs="Tahoma"/>
          <w:sz w:val="20"/>
          <w:szCs w:val="20"/>
        </w:rPr>
        <w:t xml:space="preserve">EVALSED </w:t>
      </w:r>
      <w:proofErr w:type="spellStart"/>
      <w:r>
        <w:rPr>
          <w:rFonts w:ascii="Tahoma" w:hAnsi="Tahoma" w:cs="Tahoma"/>
          <w:sz w:val="20"/>
          <w:szCs w:val="20"/>
        </w:rPr>
        <w:t>Guide</w:t>
      </w:r>
      <w:proofErr w:type="spellEnd"/>
      <w:r>
        <w:rPr>
          <w:rFonts w:ascii="Tahoma" w:hAnsi="Tahoma" w:cs="Tahoma"/>
          <w:sz w:val="20"/>
          <w:szCs w:val="20"/>
        </w:rPr>
        <w:t xml:space="preserve">: </w:t>
      </w:r>
      <w:proofErr w:type="spellStart"/>
      <w:r>
        <w:rPr>
          <w:rFonts w:ascii="Tahoma" w:hAnsi="Tahoma" w:cs="Tahoma"/>
          <w:sz w:val="20"/>
          <w:szCs w:val="20"/>
        </w:rPr>
        <w:t>The</w:t>
      </w:r>
      <w:proofErr w:type="spellEnd"/>
      <w:r>
        <w:rPr>
          <w:rFonts w:ascii="Tahoma" w:hAnsi="Tahoma" w:cs="Tahoma"/>
          <w:sz w:val="20"/>
          <w:szCs w:val="20"/>
        </w:rPr>
        <w:t xml:space="preserve"> </w:t>
      </w:r>
      <w:proofErr w:type="spellStart"/>
      <w:r>
        <w:rPr>
          <w:rFonts w:ascii="Tahoma" w:hAnsi="Tahoma" w:cs="Tahoma"/>
          <w:sz w:val="20"/>
          <w:szCs w:val="20"/>
        </w:rPr>
        <w:t>resource</w:t>
      </w:r>
      <w:proofErr w:type="spellEnd"/>
      <w:r>
        <w:rPr>
          <w:rFonts w:ascii="Tahoma" w:hAnsi="Tahoma" w:cs="Tahoma"/>
          <w:sz w:val="20"/>
          <w:szCs w:val="20"/>
        </w:rPr>
        <w:t xml:space="preserve"> </w:t>
      </w:r>
      <w:proofErr w:type="spellStart"/>
      <w:r>
        <w:rPr>
          <w:rFonts w:ascii="Tahoma" w:hAnsi="Tahoma" w:cs="Tahoma"/>
          <w:sz w:val="20"/>
          <w:szCs w:val="20"/>
        </w:rPr>
        <w:t>for</w:t>
      </w:r>
      <w:proofErr w:type="spellEnd"/>
      <w:r>
        <w:rPr>
          <w:rFonts w:ascii="Tahoma" w:hAnsi="Tahoma" w:cs="Tahoma"/>
          <w:sz w:val="20"/>
          <w:szCs w:val="20"/>
        </w:rPr>
        <w:t xml:space="preserve"> </w:t>
      </w:r>
      <w:proofErr w:type="spellStart"/>
      <w:r w:rsidRPr="00A74FAF">
        <w:rPr>
          <w:rFonts w:ascii="Tahoma" w:hAnsi="Tahoma" w:cs="Tahoma"/>
          <w:sz w:val="20"/>
          <w:szCs w:val="20"/>
        </w:rPr>
        <w:t>the</w:t>
      </w:r>
      <w:proofErr w:type="spellEnd"/>
      <w:r>
        <w:rPr>
          <w:rFonts w:ascii="Tahoma" w:hAnsi="Tahoma" w:cs="Tahoma"/>
          <w:sz w:val="20"/>
          <w:szCs w:val="20"/>
        </w:rPr>
        <w:t xml:space="preserve"> </w:t>
      </w:r>
      <w:proofErr w:type="spellStart"/>
      <w:r w:rsidRPr="00A74FAF">
        <w:rPr>
          <w:rFonts w:ascii="Tahoma" w:hAnsi="Tahoma" w:cs="Tahoma"/>
          <w:sz w:val="20"/>
          <w:szCs w:val="20"/>
        </w:rPr>
        <w:t>evaluation</w:t>
      </w:r>
      <w:proofErr w:type="spellEnd"/>
      <w:r w:rsidRPr="00A74FAF">
        <w:rPr>
          <w:rFonts w:ascii="Tahoma" w:hAnsi="Tahoma" w:cs="Tahoma"/>
          <w:sz w:val="20"/>
          <w:szCs w:val="20"/>
        </w:rPr>
        <w:t xml:space="preserve"> </w:t>
      </w:r>
      <w:proofErr w:type="spellStart"/>
      <w:r w:rsidRPr="00A74FAF">
        <w:rPr>
          <w:rFonts w:ascii="Tahoma" w:hAnsi="Tahoma" w:cs="Tahoma"/>
          <w:sz w:val="20"/>
          <w:szCs w:val="20"/>
        </w:rPr>
        <w:t>of</w:t>
      </w:r>
      <w:proofErr w:type="spellEnd"/>
      <w:r w:rsidRPr="00A74FAF">
        <w:rPr>
          <w:rFonts w:ascii="Tahoma" w:hAnsi="Tahoma" w:cs="Tahoma"/>
          <w:sz w:val="20"/>
          <w:szCs w:val="20"/>
        </w:rPr>
        <w:t xml:space="preserve"> </w:t>
      </w:r>
      <w:proofErr w:type="spellStart"/>
      <w:r w:rsidRPr="00A74FAF">
        <w:rPr>
          <w:rFonts w:ascii="Tahoma" w:hAnsi="Tahoma" w:cs="Tahoma"/>
          <w:sz w:val="20"/>
          <w:szCs w:val="20"/>
        </w:rPr>
        <w:t>Socio</w:t>
      </w:r>
      <w:proofErr w:type="spellEnd"/>
      <w:r w:rsidRPr="00A74FAF">
        <w:rPr>
          <w:rFonts w:ascii="Tahoma" w:hAnsi="Tahoma" w:cs="Tahoma"/>
          <w:sz w:val="20"/>
          <w:szCs w:val="20"/>
        </w:rPr>
        <w:t>-</w:t>
      </w:r>
      <w:proofErr w:type="spellStart"/>
      <w:r w:rsidRPr="00A74FAF">
        <w:rPr>
          <w:rFonts w:ascii="Tahoma" w:hAnsi="Tahoma" w:cs="Tahoma"/>
          <w:sz w:val="20"/>
          <w:szCs w:val="20"/>
        </w:rPr>
        <w:t>Economic</w:t>
      </w:r>
      <w:proofErr w:type="spellEnd"/>
      <w:r w:rsidRPr="00A74FAF">
        <w:rPr>
          <w:rFonts w:ascii="Tahoma" w:hAnsi="Tahoma" w:cs="Tahoma"/>
          <w:sz w:val="20"/>
          <w:szCs w:val="20"/>
        </w:rPr>
        <w:t xml:space="preserve"> </w:t>
      </w:r>
      <w:proofErr w:type="spellStart"/>
      <w:r w:rsidRPr="00A74FAF">
        <w:rPr>
          <w:rFonts w:ascii="Tahoma" w:hAnsi="Tahoma" w:cs="Tahoma"/>
          <w:sz w:val="20"/>
          <w:szCs w:val="20"/>
        </w:rPr>
        <w:t>Development</w:t>
      </w:r>
      <w:proofErr w:type="spellEnd"/>
      <w:r>
        <w:rPr>
          <w:rFonts w:ascii="Tahoma" w:hAnsi="Tahoma" w:cs="Tahoma"/>
          <w:sz w:val="20"/>
          <w:szCs w:val="20"/>
        </w:rPr>
        <w:t xml:space="preserve">, </w:t>
      </w:r>
      <w:proofErr w:type="spellStart"/>
      <w:r>
        <w:rPr>
          <w:rFonts w:ascii="Tahoma" w:hAnsi="Tahoma" w:cs="Tahoma"/>
          <w:sz w:val="20"/>
          <w:szCs w:val="20"/>
        </w:rPr>
        <w:t>European</w:t>
      </w:r>
      <w:proofErr w:type="spellEnd"/>
      <w:r>
        <w:rPr>
          <w:rFonts w:ascii="Tahoma" w:hAnsi="Tahoma" w:cs="Tahoma"/>
          <w:sz w:val="20"/>
          <w:szCs w:val="20"/>
        </w:rPr>
        <w:t xml:space="preserve"> </w:t>
      </w:r>
      <w:proofErr w:type="spellStart"/>
      <w:r>
        <w:rPr>
          <w:rFonts w:ascii="Tahoma" w:hAnsi="Tahoma" w:cs="Tahoma"/>
          <w:sz w:val="20"/>
          <w:szCs w:val="20"/>
        </w:rPr>
        <w:t>Commission</w:t>
      </w:r>
      <w:proofErr w:type="spellEnd"/>
      <w:r>
        <w:rPr>
          <w:rFonts w:ascii="Tahoma" w:hAnsi="Tahoma" w:cs="Tahoma"/>
          <w:sz w:val="20"/>
          <w:szCs w:val="20"/>
        </w:rPr>
        <w:t>, 2012.</w:t>
      </w:r>
    </w:p>
    <w:p w:rsidR="00011FD3" w:rsidRDefault="00011FD3" w:rsidP="00C6279B">
      <w:pPr>
        <w:pStyle w:val="Odstavecseseznamem"/>
        <w:numPr>
          <w:ilvl w:val="0"/>
          <w:numId w:val="3"/>
        </w:numPr>
        <w:ind w:left="1080"/>
        <w:jc w:val="both"/>
        <w:rPr>
          <w:rFonts w:ascii="Tahoma" w:hAnsi="Tahoma" w:cs="Tahoma"/>
          <w:sz w:val="20"/>
          <w:szCs w:val="20"/>
        </w:rPr>
      </w:pPr>
      <w:r>
        <w:rPr>
          <w:rFonts w:ascii="Tahoma" w:hAnsi="Tahoma" w:cs="Tahoma"/>
          <w:sz w:val="20"/>
          <w:szCs w:val="20"/>
        </w:rPr>
        <w:t xml:space="preserve">EVALSED </w:t>
      </w:r>
      <w:proofErr w:type="spellStart"/>
      <w:r>
        <w:rPr>
          <w:rFonts w:ascii="Tahoma" w:hAnsi="Tahoma" w:cs="Tahoma"/>
          <w:sz w:val="20"/>
          <w:szCs w:val="20"/>
        </w:rPr>
        <w:t>Sourcebook</w:t>
      </w:r>
      <w:proofErr w:type="spellEnd"/>
      <w:r>
        <w:rPr>
          <w:rFonts w:ascii="Tahoma" w:hAnsi="Tahoma" w:cs="Tahoma"/>
          <w:sz w:val="20"/>
          <w:szCs w:val="20"/>
        </w:rPr>
        <w:t xml:space="preserve">: </w:t>
      </w:r>
      <w:proofErr w:type="spellStart"/>
      <w:r w:rsidRPr="00EA64D4">
        <w:rPr>
          <w:rFonts w:ascii="Tahoma" w:hAnsi="Tahoma" w:cs="Tahoma"/>
          <w:sz w:val="20"/>
          <w:szCs w:val="20"/>
        </w:rPr>
        <w:t>Method</w:t>
      </w:r>
      <w:proofErr w:type="spellEnd"/>
      <w:r w:rsidRPr="00EA64D4">
        <w:rPr>
          <w:rFonts w:ascii="Tahoma" w:hAnsi="Tahoma" w:cs="Tahoma"/>
          <w:sz w:val="20"/>
          <w:szCs w:val="20"/>
        </w:rPr>
        <w:t xml:space="preserve"> </w:t>
      </w:r>
      <w:proofErr w:type="spellStart"/>
      <w:r w:rsidRPr="00EA64D4">
        <w:rPr>
          <w:rFonts w:ascii="Tahoma" w:hAnsi="Tahoma" w:cs="Tahoma"/>
          <w:sz w:val="20"/>
          <w:szCs w:val="20"/>
        </w:rPr>
        <w:t>and</w:t>
      </w:r>
      <w:proofErr w:type="spellEnd"/>
      <w:r w:rsidRPr="00EA64D4">
        <w:rPr>
          <w:rFonts w:ascii="Tahoma" w:hAnsi="Tahoma" w:cs="Tahoma"/>
          <w:sz w:val="20"/>
          <w:szCs w:val="20"/>
        </w:rPr>
        <w:t xml:space="preserve"> </w:t>
      </w:r>
      <w:proofErr w:type="spellStart"/>
      <w:r w:rsidRPr="00EA64D4">
        <w:rPr>
          <w:rFonts w:ascii="Tahoma" w:hAnsi="Tahoma" w:cs="Tahoma"/>
          <w:sz w:val="20"/>
          <w:szCs w:val="20"/>
        </w:rPr>
        <w:t>techniques</w:t>
      </w:r>
      <w:proofErr w:type="spellEnd"/>
      <w:r>
        <w:rPr>
          <w:rFonts w:ascii="Tahoma" w:hAnsi="Tahoma" w:cs="Tahoma"/>
          <w:sz w:val="20"/>
          <w:szCs w:val="20"/>
        </w:rPr>
        <w:t xml:space="preserve">, </w:t>
      </w:r>
      <w:proofErr w:type="spellStart"/>
      <w:r>
        <w:rPr>
          <w:rFonts w:ascii="Tahoma" w:hAnsi="Tahoma" w:cs="Tahoma"/>
          <w:sz w:val="20"/>
          <w:szCs w:val="20"/>
        </w:rPr>
        <w:t>European</w:t>
      </w:r>
      <w:proofErr w:type="spellEnd"/>
      <w:r>
        <w:rPr>
          <w:rFonts w:ascii="Tahoma" w:hAnsi="Tahoma" w:cs="Tahoma"/>
          <w:sz w:val="20"/>
          <w:szCs w:val="20"/>
        </w:rPr>
        <w:t xml:space="preserve"> </w:t>
      </w:r>
      <w:proofErr w:type="spellStart"/>
      <w:r>
        <w:rPr>
          <w:rFonts w:ascii="Tahoma" w:hAnsi="Tahoma" w:cs="Tahoma"/>
          <w:sz w:val="20"/>
          <w:szCs w:val="20"/>
        </w:rPr>
        <w:t>Commission</w:t>
      </w:r>
      <w:proofErr w:type="spellEnd"/>
      <w:r>
        <w:rPr>
          <w:rFonts w:ascii="Tahoma" w:hAnsi="Tahoma" w:cs="Tahoma"/>
          <w:sz w:val="20"/>
          <w:szCs w:val="20"/>
        </w:rPr>
        <w:t xml:space="preserve">, 2012. </w:t>
      </w:r>
    </w:p>
    <w:p w:rsidR="00011FD3" w:rsidRDefault="00011FD3" w:rsidP="00C6279B">
      <w:pPr>
        <w:pStyle w:val="Odstavecseseznamem"/>
        <w:numPr>
          <w:ilvl w:val="0"/>
          <w:numId w:val="3"/>
        </w:numPr>
        <w:ind w:left="1080"/>
        <w:jc w:val="both"/>
        <w:rPr>
          <w:rFonts w:ascii="Tahoma" w:hAnsi="Tahoma" w:cs="Tahoma"/>
          <w:sz w:val="20"/>
          <w:szCs w:val="20"/>
        </w:rPr>
      </w:pPr>
      <w:r>
        <w:rPr>
          <w:rFonts w:ascii="Tahoma" w:hAnsi="Tahoma" w:cs="Tahoma"/>
          <w:sz w:val="20"/>
          <w:szCs w:val="20"/>
        </w:rPr>
        <w:t xml:space="preserve">EC </w:t>
      </w:r>
      <w:proofErr w:type="spellStart"/>
      <w:r w:rsidRPr="00655D0F">
        <w:rPr>
          <w:rFonts w:ascii="Tahoma" w:hAnsi="Tahoma" w:cs="Tahoma"/>
          <w:sz w:val="20"/>
          <w:szCs w:val="20"/>
        </w:rPr>
        <w:t>Guidance</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Documents</w:t>
      </w:r>
      <w:proofErr w:type="spellEnd"/>
      <w:r w:rsidRPr="00655D0F">
        <w:rPr>
          <w:rFonts w:ascii="Tahoma" w:hAnsi="Tahoma" w:cs="Tahoma"/>
          <w:sz w:val="20"/>
          <w:szCs w:val="20"/>
        </w:rPr>
        <w:t xml:space="preserve"> </w:t>
      </w:r>
      <w:r>
        <w:rPr>
          <w:rFonts w:ascii="Tahoma" w:hAnsi="Tahoma" w:cs="Tahoma"/>
          <w:sz w:val="20"/>
          <w:szCs w:val="20"/>
        </w:rPr>
        <w:t>pro programovací období</w:t>
      </w:r>
      <w:r w:rsidRPr="00655D0F">
        <w:rPr>
          <w:rFonts w:ascii="Tahoma" w:hAnsi="Tahoma" w:cs="Tahoma"/>
          <w:sz w:val="20"/>
          <w:szCs w:val="20"/>
        </w:rPr>
        <w:t xml:space="preserve"> 2014 – 2020</w:t>
      </w:r>
      <w:r>
        <w:rPr>
          <w:rFonts w:ascii="Tahoma" w:hAnsi="Tahoma" w:cs="Tahoma"/>
          <w:sz w:val="20"/>
          <w:szCs w:val="20"/>
        </w:rPr>
        <w:t>:</w:t>
      </w:r>
    </w:p>
    <w:p w:rsidR="007F5349" w:rsidRDefault="007F5349" w:rsidP="00C6279B">
      <w:pPr>
        <w:pStyle w:val="Odstavecseseznamem"/>
        <w:numPr>
          <w:ilvl w:val="1"/>
          <w:numId w:val="3"/>
        </w:numPr>
        <w:ind w:left="1800"/>
        <w:jc w:val="both"/>
        <w:rPr>
          <w:rFonts w:ascii="Tahoma" w:hAnsi="Tahoma" w:cs="Tahoma"/>
          <w:sz w:val="20"/>
          <w:szCs w:val="20"/>
        </w:rPr>
      </w:pPr>
      <w:r>
        <w:rPr>
          <w:rFonts w:ascii="Tahoma" w:hAnsi="Tahoma" w:cs="Tahoma"/>
          <w:sz w:val="20"/>
          <w:szCs w:val="20"/>
        </w:rPr>
        <w:t xml:space="preserve">Draft </w:t>
      </w:r>
      <w:proofErr w:type="spellStart"/>
      <w:r>
        <w:rPr>
          <w:rFonts w:ascii="Tahoma" w:hAnsi="Tahoma" w:cs="Tahoma"/>
          <w:sz w:val="20"/>
          <w:szCs w:val="20"/>
        </w:rPr>
        <w:t>Guidance</w:t>
      </w:r>
      <w:proofErr w:type="spellEnd"/>
      <w:r>
        <w:rPr>
          <w:rFonts w:ascii="Tahoma" w:hAnsi="Tahoma" w:cs="Tahoma"/>
          <w:sz w:val="20"/>
          <w:szCs w:val="20"/>
        </w:rPr>
        <w:t xml:space="preserve"> </w:t>
      </w:r>
      <w:proofErr w:type="spellStart"/>
      <w:r>
        <w:rPr>
          <w:rFonts w:ascii="Tahoma" w:hAnsi="Tahoma" w:cs="Tahoma"/>
          <w:sz w:val="20"/>
          <w:szCs w:val="20"/>
        </w:rPr>
        <w:t>Document</w:t>
      </w:r>
      <w:proofErr w:type="spellEnd"/>
      <w:r>
        <w:rPr>
          <w:rFonts w:ascii="Tahoma" w:hAnsi="Tahoma" w:cs="Tahoma"/>
          <w:sz w:val="20"/>
          <w:szCs w:val="20"/>
        </w:rPr>
        <w:t xml:space="preserve"> on </w:t>
      </w:r>
      <w:proofErr w:type="spellStart"/>
      <w:r>
        <w:rPr>
          <w:rFonts w:ascii="Tahoma" w:hAnsi="Tahoma" w:cs="Tahoma"/>
          <w:sz w:val="20"/>
          <w:szCs w:val="20"/>
        </w:rPr>
        <w:t>Evaluation</w:t>
      </w:r>
      <w:proofErr w:type="spellEnd"/>
      <w:r>
        <w:rPr>
          <w:rFonts w:ascii="Tahoma" w:hAnsi="Tahoma" w:cs="Tahoma"/>
          <w:sz w:val="20"/>
          <w:szCs w:val="20"/>
        </w:rPr>
        <w:t xml:space="preserve"> </w:t>
      </w:r>
      <w:proofErr w:type="spellStart"/>
      <w:r>
        <w:rPr>
          <w:rFonts w:ascii="Tahoma" w:hAnsi="Tahoma" w:cs="Tahoma"/>
          <w:sz w:val="20"/>
          <w:szCs w:val="20"/>
        </w:rPr>
        <w:t>Plans</w:t>
      </w:r>
      <w:proofErr w:type="spellEnd"/>
      <w:r w:rsidR="009E5211">
        <w:rPr>
          <w:rFonts w:ascii="Tahoma" w:hAnsi="Tahoma" w:cs="Tahoma"/>
          <w:sz w:val="20"/>
          <w:szCs w:val="20"/>
        </w:rPr>
        <w:t xml:space="preserve"> (</w:t>
      </w:r>
      <w:proofErr w:type="spellStart"/>
      <w:r w:rsidR="00580CF1">
        <w:rPr>
          <w:rFonts w:ascii="Tahoma" w:hAnsi="Tahoma" w:cs="Tahoma"/>
          <w:sz w:val="20"/>
          <w:szCs w:val="20"/>
        </w:rPr>
        <w:t>April</w:t>
      </w:r>
      <w:proofErr w:type="spellEnd"/>
      <w:r>
        <w:rPr>
          <w:rFonts w:ascii="Tahoma" w:hAnsi="Tahoma" w:cs="Tahoma"/>
          <w:sz w:val="20"/>
          <w:szCs w:val="20"/>
        </w:rPr>
        <w:t xml:space="preserve"> 2014</w:t>
      </w:r>
      <w:r w:rsidR="009E5211">
        <w:rPr>
          <w:rFonts w:ascii="Tahoma" w:hAnsi="Tahoma" w:cs="Tahoma"/>
          <w:sz w:val="20"/>
          <w:szCs w:val="20"/>
        </w:rPr>
        <w:t>)</w:t>
      </w:r>
    </w:p>
    <w:p w:rsidR="007F5349" w:rsidRPr="000049F3" w:rsidRDefault="007F5349" w:rsidP="00C6279B">
      <w:pPr>
        <w:pStyle w:val="Odstavecseseznamem"/>
        <w:numPr>
          <w:ilvl w:val="1"/>
          <w:numId w:val="3"/>
        </w:numPr>
        <w:ind w:left="1800"/>
        <w:jc w:val="both"/>
        <w:rPr>
          <w:rFonts w:ascii="Tahoma" w:hAnsi="Tahoma" w:cs="Tahoma"/>
          <w:sz w:val="20"/>
          <w:szCs w:val="20"/>
        </w:rPr>
      </w:pPr>
      <w:r w:rsidRPr="000049F3">
        <w:rPr>
          <w:rFonts w:ascii="Tahoma" w:hAnsi="Tahoma" w:cs="Tahoma"/>
          <w:sz w:val="20"/>
          <w:szCs w:val="20"/>
        </w:rPr>
        <w:t xml:space="preserve">Monitoring </w:t>
      </w:r>
      <w:proofErr w:type="spellStart"/>
      <w:r w:rsidRPr="000049F3">
        <w:rPr>
          <w:rFonts w:ascii="Tahoma" w:hAnsi="Tahoma" w:cs="Tahoma"/>
          <w:sz w:val="20"/>
          <w:szCs w:val="20"/>
        </w:rPr>
        <w:t>and</w:t>
      </w:r>
      <w:proofErr w:type="spellEnd"/>
      <w:r w:rsidRPr="000049F3">
        <w:rPr>
          <w:rFonts w:ascii="Tahoma" w:hAnsi="Tahoma" w:cs="Tahoma"/>
          <w:sz w:val="20"/>
          <w:szCs w:val="20"/>
        </w:rPr>
        <w:t xml:space="preserve"> </w:t>
      </w:r>
      <w:proofErr w:type="spellStart"/>
      <w:r w:rsidRPr="000049F3">
        <w:rPr>
          <w:rFonts w:ascii="Tahoma" w:hAnsi="Tahoma" w:cs="Tahoma"/>
          <w:sz w:val="20"/>
          <w:szCs w:val="20"/>
        </w:rPr>
        <w:t>Evaluation</w:t>
      </w:r>
      <w:proofErr w:type="spellEnd"/>
      <w:r w:rsidRPr="000049F3">
        <w:rPr>
          <w:rFonts w:ascii="Tahoma" w:hAnsi="Tahoma" w:cs="Tahoma"/>
          <w:sz w:val="20"/>
          <w:szCs w:val="20"/>
        </w:rPr>
        <w:t xml:space="preserve"> </w:t>
      </w:r>
      <w:proofErr w:type="spellStart"/>
      <w:r w:rsidRPr="000049F3">
        <w:rPr>
          <w:rFonts w:ascii="Tahoma" w:hAnsi="Tahoma" w:cs="Tahoma"/>
          <w:sz w:val="20"/>
          <w:szCs w:val="20"/>
        </w:rPr>
        <w:t>of</w:t>
      </w:r>
      <w:proofErr w:type="spellEnd"/>
      <w:r w:rsidRPr="000049F3">
        <w:rPr>
          <w:rFonts w:ascii="Tahoma" w:hAnsi="Tahoma" w:cs="Tahoma"/>
          <w:sz w:val="20"/>
          <w:szCs w:val="20"/>
        </w:rPr>
        <w:t xml:space="preserve"> </w:t>
      </w:r>
      <w:proofErr w:type="spellStart"/>
      <w:r w:rsidRPr="000049F3">
        <w:rPr>
          <w:rFonts w:ascii="Tahoma" w:hAnsi="Tahoma" w:cs="Tahoma"/>
          <w:sz w:val="20"/>
          <w:szCs w:val="20"/>
        </w:rPr>
        <w:t>European</w:t>
      </w:r>
      <w:proofErr w:type="spellEnd"/>
      <w:r w:rsidRPr="000049F3">
        <w:rPr>
          <w:rFonts w:ascii="Tahoma" w:hAnsi="Tahoma" w:cs="Tahoma"/>
          <w:sz w:val="20"/>
          <w:szCs w:val="20"/>
        </w:rPr>
        <w:t xml:space="preserve"> </w:t>
      </w:r>
      <w:proofErr w:type="spellStart"/>
      <w:r w:rsidRPr="000049F3">
        <w:rPr>
          <w:rFonts w:ascii="Tahoma" w:hAnsi="Tahoma" w:cs="Tahoma"/>
          <w:sz w:val="20"/>
          <w:szCs w:val="20"/>
        </w:rPr>
        <w:t>Cohesion</w:t>
      </w:r>
      <w:proofErr w:type="spellEnd"/>
      <w:r w:rsidRPr="000049F3">
        <w:rPr>
          <w:rFonts w:ascii="Tahoma" w:hAnsi="Tahoma" w:cs="Tahoma"/>
          <w:sz w:val="20"/>
          <w:szCs w:val="20"/>
        </w:rPr>
        <w:t xml:space="preserve"> </w:t>
      </w:r>
      <w:proofErr w:type="spellStart"/>
      <w:r w:rsidRPr="000049F3">
        <w:rPr>
          <w:rFonts w:ascii="Tahoma" w:hAnsi="Tahoma" w:cs="Tahoma"/>
          <w:sz w:val="20"/>
          <w:szCs w:val="20"/>
        </w:rPr>
        <w:t>Policy</w:t>
      </w:r>
      <w:proofErr w:type="spellEnd"/>
      <w:r w:rsidRPr="000049F3">
        <w:rPr>
          <w:rFonts w:ascii="Tahoma" w:hAnsi="Tahoma" w:cs="Tahoma"/>
          <w:sz w:val="20"/>
          <w:szCs w:val="20"/>
        </w:rPr>
        <w:t xml:space="preserve">: </w:t>
      </w:r>
      <w:proofErr w:type="spellStart"/>
      <w:r w:rsidRPr="000049F3">
        <w:rPr>
          <w:rFonts w:ascii="Tahoma" w:hAnsi="Tahoma" w:cs="Tahoma"/>
          <w:sz w:val="20"/>
          <w:szCs w:val="20"/>
        </w:rPr>
        <w:t>Guidance</w:t>
      </w:r>
      <w:proofErr w:type="spellEnd"/>
      <w:r w:rsidRPr="000049F3">
        <w:rPr>
          <w:rFonts w:ascii="Tahoma" w:hAnsi="Tahoma" w:cs="Tahoma"/>
          <w:sz w:val="20"/>
          <w:szCs w:val="20"/>
        </w:rPr>
        <w:t xml:space="preserve"> </w:t>
      </w:r>
      <w:proofErr w:type="spellStart"/>
      <w:r w:rsidRPr="000049F3">
        <w:rPr>
          <w:rFonts w:ascii="Tahoma" w:hAnsi="Tahoma" w:cs="Tahoma"/>
          <w:sz w:val="20"/>
          <w:szCs w:val="20"/>
        </w:rPr>
        <w:t>Document</w:t>
      </w:r>
      <w:proofErr w:type="spellEnd"/>
      <w:r w:rsidRPr="000049F3">
        <w:rPr>
          <w:rFonts w:ascii="Tahoma" w:hAnsi="Tahoma" w:cs="Tahoma"/>
          <w:sz w:val="20"/>
          <w:szCs w:val="20"/>
        </w:rPr>
        <w:t xml:space="preserve"> on Ex-ante </w:t>
      </w:r>
      <w:proofErr w:type="spellStart"/>
      <w:r w:rsidRPr="000049F3">
        <w:rPr>
          <w:rFonts w:ascii="Tahoma" w:hAnsi="Tahoma" w:cs="Tahoma"/>
          <w:sz w:val="20"/>
          <w:szCs w:val="20"/>
        </w:rPr>
        <w:t>Evaluation</w:t>
      </w:r>
      <w:proofErr w:type="spellEnd"/>
      <w:r w:rsidRPr="000049F3">
        <w:rPr>
          <w:rFonts w:ascii="Tahoma" w:hAnsi="Tahoma" w:cs="Tahoma"/>
          <w:sz w:val="20"/>
          <w:szCs w:val="20"/>
        </w:rPr>
        <w:t xml:space="preserve">, </w:t>
      </w:r>
      <w:proofErr w:type="spellStart"/>
      <w:r w:rsidRPr="000049F3">
        <w:rPr>
          <w:rFonts w:ascii="Tahoma" w:hAnsi="Tahoma" w:cs="Tahoma"/>
          <w:sz w:val="20"/>
          <w:szCs w:val="20"/>
        </w:rPr>
        <w:t>European</w:t>
      </w:r>
      <w:proofErr w:type="spellEnd"/>
      <w:r w:rsidRPr="000049F3">
        <w:rPr>
          <w:rFonts w:ascii="Tahoma" w:hAnsi="Tahoma" w:cs="Tahoma"/>
          <w:sz w:val="20"/>
          <w:szCs w:val="20"/>
        </w:rPr>
        <w:t xml:space="preserve"> </w:t>
      </w:r>
      <w:proofErr w:type="spellStart"/>
      <w:r w:rsidRPr="000049F3">
        <w:rPr>
          <w:rFonts w:ascii="Tahoma" w:hAnsi="Tahoma" w:cs="Tahoma"/>
          <w:sz w:val="20"/>
          <w:szCs w:val="20"/>
        </w:rPr>
        <w:t>Commission</w:t>
      </w:r>
      <w:proofErr w:type="spellEnd"/>
      <w:r w:rsidR="009E5211">
        <w:rPr>
          <w:rFonts w:ascii="Tahoma" w:hAnsi="Tahoma" w:cs="Tahoma"/>
          <w:sz w:val="20"/>
          <w:szCs w:val="20"/>
        </w:rPr>
        <w:t xml:space="preserve"> (</w:t>
      </w:r>
      <w:proofErr w:type="spellStart"/>
      <w:r>
        <w:rPr>
          <w:rFonts w:ascii="Tahoma" w:hAnsi="Tahoma" w:cs="Tahoma"/>
          <w:sz w:val="20"/>
          <w:szCs w:val="20"/>
        </w:rPr>
        <w:t>January</w:t>
      </w:r>
      <w:proofErr w:type="spellEnd"/>
      <w:r>
        <w:rPr>
          <w:rFonts w:ascii="Tahoma" w:hAnsi="Tahoma" w:cs="Tahoma"/>
          <w:sz w:val="20"/>
          <w:szCs w:val="20"/>
        </w:rPr>
        <w:t xml:space="preserve"> </w:t>
      </w:r>
      <w:r w:rsidRPr="000049F3">
        <w:rPr>
          <w:rFonts w:ascii="Tahoma" w:hAnsi="Tahoma" w:cs="Tahoma"/>
          <w:sz w:val="20"/>
          <w:szCs w:val="20"/>
        </w:rPr>
        <w:t>201</w:t>
      </w:r>
      <w:r>
        <w:rPr>
          <w:rFonts w:ascii="Tahoma" w:hAnsi="Tahoma" w:cs="Tahoma"/>
          <w:sz w:val="20"/>
          <w:szCs w:val="20"/>
        </w:rPr>
        <w:t>3</w:t>
      </w:r>
      <w:r w:rsidR="009E5211">
        <w:rPr>
          <w:rFonts w:ascii="Tahoma" w:hAnsi="Tahoma" w:cs="Tahoma"/>
          <w:sz w:val="20"/>
          <w:szCs w:val="20"/>
        </w:rPr>
        <w:t>)</w:t>
      </w:r>
    </w:p>
    <w:p w:rsidR="00011FD3" w:rsidRPr="00655D0F" w:rsidRDefault="00011FD3" w:rsidP="00C6279B">
      <w:pPr>
        <w:pStyle w:val="Odstavecseseznamem"/>
        <w:numPr>
          <w:ilvl w:val="1"/>
          <w:numId w:val="3"/>
        </w:numPr>
        <w:ind w:left="1800"/>
        <w:jc w:val="both"/>
        <w:rPr>
          <w:rFonts w:ascii="Tahoma" w:hAnsi="Tahoma" w:cs="Tahoma"/>
          <w:sz w:val="20"/>
          <w:szCs w:val="20"/>
        </w:rPr>
      </w:pPr>
      <w:proofErr w:type="spellStart"/>
      <w:r w:rsidRPr="00655D0F">
        <w:rPr>
          <w:rFonts w:ascii="Tahoma" w:hAnsi="Tahoma" w:cs="Tahoma"/>
          <w:sz w:val="20"/>
          <w:szCs w:val="20"/>
        </w:rPr>
        <w:t>Guidance</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Document</w:t>
      </w:r>
      <w:proofErr w:type="spellEnd"/>
      <w:r w:rsidRPr="00655D0F">
        <w:rPr>
          <w:rFonts w:ascii="Tahoma" w:hAnsi="Tahoma" w:cs="Tahoma"/>
          <w:sz w:val="20"/>
          <w:szCs w:val="20"/>
        </w:rPr>
        <w:t xml:space="preserve"> </w:t>
      </w:r>
      <w:r>
        <w:rPr>
          <w:rFonts w:ascii="Tahoma" w:hAnsi="Tahoma" w:cs="Tahoma"/>
          <w:sz w:val="20"/>
          <w:szCs w:val="20"/>
        </w:rPr>
        <w:t>o</w:t>
      </w:r>
      <w:r w:rsidRPr="00655D0F">
        <w:rPr>
          <w:rFonts w:ascii="Tahoma" w:hAnsi="Tahoma" w:cs="Tahoma"/>
          <w:sz w:val="20"/>
          <w:szCs w:val="20"/>
        </w:rPr>
        <w:t xml:space="preserve">n Monitoring </w:t>
      </w:r>
      <w:proofErr w:type="spellStart"/>
      <w:r>
        <w:rPr>
          <w:rFonts w:ascii="Tahoma" w:hAnsi="Tahoma" w:cs="Tahoma"/>
          <w:sz w:val="20"/>
          <w:szCs w:val="20"/>
        </w:rPr>
        <w:t>a</w:t>
      </w:r>
      <w:r w:rsidRPr="00655D0F">
        <w:rPr>
          <w:rFonts w:ascii="Tahoma" w:hAnsi="Tahoma" w:cs="Tahoma"/>
          <w:sz w:val="20"/>
          <w:szCs w:val="20"/>
        </w:rPr>
        <w:t>nd</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Evaluation</w:t>
      </w:r>
      <w:proofErr w:type="spellEnd"/>
      <w:r w:rsidRPr="00655D0F">
        <w:rPr>
          <w:rFonts w:ascii="Tahoma" w:hAnsi="Tahoma" w:cs="Tahoma"/>
          <w:sz w:val="20"/>
          <w:szCs w:val="20"/>
        </w:rPr>
        <w:t xml:space="preserve"> - </w:t>
      </w:r>
      <w:proofErr w:type="spellStart"/>
      <w:r w:rsidRPr="00655D0F">
        <w:rPr>
          <w:rFonts w:ascii="Tahoma" w:hAnsi="Tahoma" w:cs="Tahoma"/>
          <w:sz w:val="20"/>
          <w:szCs w:val="20"/>
        </w:rPr>
        <w:t>European</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Regional</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Development</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Fund</w:t>
      </w:r>
      <w:proofErr w:type="spellEnd"/>
      <w:r w:rsidRPr="00655D0F">
        <w:rPr>
          <w:rFonts w:ascii="Tahoma" w:hAnsi="Tahoma" w:cs="Tahoma"/>
          <w:sz w:val="20"/>
          <w:szCs w:val="20"/>
        </w:rPr>
        <w:t xml:space="preserve"> </w:t>
      </w:r>
      <w:proofErr w:type="spellStart"/>
      <w:r>
        <w:rPr>
          <w:rFonts w:ascii="Tahoma" w:hAnsi="Tahoma" w:cs="Tahoma"/>
          <w:sz w:val="20"/>
          <w:szCs w:val="20"/>
        </w:rPr>
        <w:t>a</w:t>
      </w:r>
      <w:r w:rsidRPr="00655D0F">
        <w:rPr>
          <w:rFonts w:ascii="Tahoma" w:hAnsi="Tahoma" w:cs="Tahoma"/>
          <w:sz w:val="20"/>
          <w:szCs w:val="20"/>
        </w:rPr>
        <w:t>nd</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Cohesion</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Fund</w:t>
      </w:r>
      <w:proofErr w:type="spellEnd"/>
      <w:r w:rsidRPr="00655D0F">
        <w:rPr>
          <w:rFonts w:ascii="Tahoma" w:hAnsi="Tahoma" w:cs="Tahoma"/>
          <w:sz w:val="20"/>
          <w:szCs w:val="20"/>
        </w:rPr>
        <w:t xml:space="preserve"> – </w:t>
      </w:r>
      <w:proofErr w:type="spellStart"/>
      <w:r w:rsidRPr="00655D0F">
        <w:rPr>
          <w:rFonts w:ascii="Tahoma" w:hAnsi="Tahoma" w:cs="Tahoma"/>
          <w:sz w:val="20"/>
          <w:szCs w:val="20"/>
        </w:rPr>
        <w:t>Concepts</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and</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Recommendations</w:t>
      </w:r>
      <w:proofErr w:type="spellEnd"/>
      <w:r w:rsidR="009E5211">
        <w:rPr>
          <w:rFonts w:ascii="Tahoma" w:hAnsi="Tahoma" w:cs="Tahoma"/>
          <w:sz w:val="20"/>
          <w:szCs w:val="20"/>
        </w:rPr>
        <w:t xml:space="preserve"> (</w:t>
      </w:r>
      <w:proofErr w:type="spellStart"/>
      <w:r w:rsidR="009E5211">
        <w:rPr>
          <w:rFonts w:ascii="Tahoma" w:hAnsi="Tahoma" w:cs="Tahoma"/>
          <w:sz w:val="20"/>
          <w:szCs w:val="20"/>
        </w:rPr>
        <w:t>M</w:t>
      </w:r>
      <w:r w:rsidR="000269BD">
        <w:rPr>
          <w:rFonts w:ascii="Tahoma" w:hAnsi="Tahoma" w:cs="Tahoma"/>
          <w:sz w:val="20"/>
          <w:szCs w:val="20"/>
        </w:rPr>
        <w:t>arch</w:t>
      </w:r>
      <w:proofErr w:type="spellEnd"/>
      <w:r w:rsidR="000269BD">
        <w:rPr>
          <w:rFonts w:ascii="Tahoma" w:hAnsi="Tahoma" w:cs="Tahoma"/>
          <w:sz w:val="20"/>
          <w:szCs w:val="20"/>
        </w:rPr>
        <w:t xml:space="preserve"> 2014)</w:t>
      </w:r>
    </w:p>
    <w:p w:rsidR="00011FD3" w:rsidRDefault="00011FD3" w:rsidP="00C6279B">
      <w:pPr>
        <w:pStyle w:val="Odstavecseseznamem"/>
        <w:numPr>
          <w:ilvl w:val="1"/>
          <w:numId w:val="3"/>
        </w:numPr>
        <w:ind w:left="1800"/>
        <w:jc w:val="both"/>
        <w:rPr>
          <w:rFonts w:ascii="Tahoma" w:hAnsi="Tahoma" w:cs="Tahoma"/>
          <w:sz w:val="20"/>
          <w:szCs w:val="20"/>
        </w:rPr>
      </w:pPr>
      <w:proofErr w:type="spellStart"/>
      <w:r w:rsidRPr="00655D0F">
        <w:rPr>
          <w:rFonts w:ascii="Tahoma" w:hAnsi="Tahoma" w:cs="Tahoma"/>
          <w:sz w:val="20"/>
          <w:szCs w:val="20"/>
        </w:rPr>
        <w:t>Results</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Indicators</w:t>
      </w:r>
      <w:proofErr w:type="spellEnd"/>
      <w:r w:rsidRPr="00655D0F">
        <w:rPr>
          <w:rFonts w:ascii="Tahoma" w:hAnsi="Tahoma" w:cs="Tahoma"/>
          <w:sz w:val="20"/>
          <w:szCs w:val="20"/>
        </w:rPr>
        <w:t xml:space="preserve"> 2014+:</w:t>
      </w:r>
      <w:r>
        <w:rPr>
          <w:rFonts w:ascii="Tahoma" w:hAnsi="Tahoma" w:cs="Tahoma"/>
          <w:sz w:val="20"/>
          <w:szCs w:val="20"/>
        </w:rPr>
        <w:t xml:space="preserve"> </w:t>
      </w:r>
      <w:r w:rsidRPr="00655D0F">
        <w:rPr>
          <w:rFonts w:ascii="Tahoma" w:hAnsi="Tahoma" w:cs="Tahoma"/>
          <w:sz w:val="20"/>
          <w:szCs w:val="20"/>
        </w:rPr>
        <w:t xml:space="preserve">Report </w:t>
      </w:r>
      <w:r>
        <w:rPr>
          <w:rFonts w:ascii="Tahoma" w:hAnsi="Tahoma" w:cs="Tahoma"/>
          <w:sz w:val="20"/>
          <w:szCs w:val="20"/>
        </w:rPr>
        <w:t>o</w:t>
      </w:r>
      <w:r w:rsidRPr="00655D0F">
        <w:rPr>
          <w:rFonts w:ascii="Tahoma" w:hAnsi="Tahoma" w:cs="Tahoma"/>
          <w:sz w:val="20"/>
          <w:szCs w:val="20"/>
        </w:rPr>
        <w:t xml:space="preserve">n Pilot </w:t>
      </w:r>
      <w:proofErr w:type="spellStart"/>
      <w:r w:rsidRPr="00655D0F">
        <w:rPr>
          <w:rFonts w:ascii="Tahoma" w:hAnsi="Tahoma" w:cs="Tahoma"/>
          <w:sz w:val="20"/>
          <w:szCs w:val="20"/>
        </w:rPr>
        <w:t>Tests</w:t>
      </w:r>
      <w:proofErr w:type="spellEnd"/>
      <w:r w:rsidRPr="00655D0F">
        <w:rPr>
          <w:rFonts w:ascii="Tahoma" w:hAnsi="Tahoma" w:cs="Tahoma"/>
          <w:sz w:val="20"/>
          <w:szCs w:val="20"/>
        </w:rPr>
        <w:t xml:space="preserve"> </w:t>
      </w:r>
      <w:r>
        <w:rPr>
          <w:rFonts w:ascii="Tahoma" w:hAnsi="Tahoma" w:cs="Tahoma"/>
          <w:sz w:val="20"/>
          <w:szCs w:val="20"/>
        </w:rPr>
        <w:t xml:space="preserve">in 23 </w:t>
      </w:r>
      <w:proofErr w:type="spellStart"/>
      <w:r>
        <w:rPr>
          <w:rFonts w:ascii="Tahoma" w:hAnsi="Tahoma" w:cs="Tahoma"/>
          <w:sz w:val="20"/>
          <w:szCs w:val="20"/>
        </w:rPr>
        <w:t>Regions</w:t>
      </w:r>
      <w:proofErr w:type="spellEnd"/>
      <w:r>
        <w:rPr>
          <w:rFonts w:ascii="Tahoma" w:hAnsi="Tahoma" w:cs="Tahoma"/>
          <w:sz w:val="20"/>
          <w:szCs w:val="20"/>
        </w:rPr>
        <w:t>/</w:t>
      </w:r>
      <w:proofErr w:type="spellStart"/>
      <w:r>
        <w:rPr>
          <w:rFonts w:ascii="Tahoma" w:hAnsi="Tahoma" w:cs="Tahoma"/>
          <w:sz w:val="20"/>
          <w:szCs w:val="20"/>
        </w:rPr>
        <w:t>OP</w:t>
      </w:r>
      <w:r w:rsidRPr="00655D0F">
        <w:rPr>
          <w:rFonts w:ascii="Tahoma" w:hAnsi="Tahoma" w:cs="Tahoma"/>
          <w:sz w:val="20"/>
          <w:szCs w:val="20"/>
        </w:rPr>
        <w:t>s</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Across</w:t>
      </w:r>
      <w:proofErr w:type="spellEnd"/>
      <w:r w:rsidRPr="00655D0F">
        <w:rPr>
          <w:rFonts w:ascii="Tahoma" w:hAnsi="Tahoma" w:cs="Tahoma"/>
          <w:sz w:val="20"/>
          <w:szCs w:val="20"/>
        </w:rPr>
        <w:t xml:space="preserve"> 15 M</w:t>
      </w:r>
      <w:r>
        <w:rPr>
          <w:rFonts w:ascii="Tahoma" w:hAnsi="Tahoma" w:cs="Tahoma"/>
          <w:sz w:val="20"/>
          <w:szCs w:val="20"/>
        </w:rPr>
        <w:t>S</w:t>
      </w:r>
      <w:r w:rsidRPr="00655D0F">
        <w:rPr>
          <w:rFonts w:ascii="Tahoma" w:hAnsi="Tahoma" w:cs="Tahoma"/>
          <w:sz w:val="20"/>
          <w:szCs w:val="20"/>
        </w:rPr>
        <w:t xml:space="preserve"> </w:t>
      </w:r>
      <w:proofErr w:type="spellStart"/>
      <w:r>
        <w:rPr>
          <w:rFonts w:ascii="Tahoma" w:hAnsi="Tahoma" w:cs="Tahoma"/>
          <w:sz w:val="20"/>
          <w:szCs w:val="20"/>
        </w:rPr>
        <w:t>o</w:t>
      </w:r>
      <w:r w:rsidRPr="00655D0F">
        <w:rPr>
          <w:rFonts w:ascii="Tahoma" w:hAnsi="Tahoma" w:cs="Tahoma"/>
          <w:sz w:val="20"/>
          <w:szCs w:val="20"/>
        </w:rPr>
        <w:t>f</w:t>
      </w:r>
      <w:proofErr w:type="spellEnd"/>
      <w:r w:rsidRPr="00655D0F">
        <w:rPr>
          <w:rFonts w:ascii="Tahoma" w:hAnsi="Tahoma" w:cs="Tahoma"/>
          <w:sz w:val="20"/>
          <w:szCs w:val="20"/>
        </w:rPr>
        <w:t xml:space="preserve"> </w:t>
      </w:r>
      <w:proofErr w:type="spellStart"/>
      <w:r>
        <w:rPr>
          <w:rFonts w:ascii="Tahoma" w:hAnsi="Tahoma" w:cs="Tahoma"/>
          <w:sz w:val="20"/>
          <w:szCs w:val="20"/>
        </w:rPr>
        <w:t>the</w:t>
      </w:r>
      <w:proofErr w:type="spellEnd"/>
      <w:r>
        <w:rPr>
          <w:rFonts w:ascii="Tahoma" w:hAnsi="Tahoma" w:cs="Tahoma"/>
          <w:sz w:val="20"/>
          <w:szCs w:val="20"/>
        </w:rPr>
        <w:t xml:space="preserve"> EU</w:t>
      </w:r>
    </w:p>
    <w:p w:rsidR="00011FD3" w:rsidRDefault="00011FD3" w:rsidP="00C6279B">
      <w:pPr>
        <w:pStyle w:val="Odstavecseseznamem"/>
        <w:numPr>
          <w:ilvl w:val="1"/>
          <w:numId w:val="3"/>
        </w:numPr>
        <w:ind w:left="1800"/>
        <w:jc w:val="both"/>
        <w:rPr>
          <w:rFonts w:ascii="Tahoma" w:hAnsi="Tahoma" w:cs="Tahoma"/>
          <w:sz w:val="20"/>
          <w:szCs w:val="20"/>
        </w:rPr>
      </w:pPr>
      <w:proofErr w:type="spellStart"/>
      <w:r w:rsidRPr="00655D0F">
        <w:rPr>
          <w:rFonts w:ascii="Tahoma" w:hAnsi="Tahoma" w:cs="Tahoma"/>
          <w:sz w:val="20"/>
          <w:szCs w:val="20"/>
        </w:rPr>
        <w:t>Outcome</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Indicators</w:t>
      </w:r>
      <w:proofErr w:type="spellEnd"/>
      <w:r w:rsidRPr="00655D0F">
        <w:rPr>
          <w:rFonts w:ascii="Tahoma" w:hAnsi="Tahoma" w:cs="Tahoma"/>
          <w:sz w:val="20"/>
          <w:szCs w:val="20"/>
        </w:rPr>
        <w:t xml:space="preserve"> </w:t>
      </w:r>
      <w:proofErr w:type="spellStart"/>
      <w:r>
        <w:rPr>
          <w:rFonts w:ascii="Tahoma" w:hAnsi="Tahoma" w:cs="Tahoma"/>
          <w:sz w:val="20"/>
          <w:szCs w:val="20"/>
        </w:rPr>
        <w:t>a</w:t>
      </w:r>
      <w:r w:rsidRPr="00655D0F">
        <w:rPr>
          <w:rFonts w:ascii="Tahoma" w:hAnsi="Tahoma" w:cs="Tahoma"/>
          <w:sz w:val="20"/>
          <w:szCs w:val="20"/>
        </w:rPr>
        <w:t>nd</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Targets</w:t>
      </w:r>
      <w:proofErr w:type="spellEnd"/>
      <w:r w:rsidRPr="00655D0F">
        <w:rPr>
          <w:rFonts w:ascii="Tahoma" w:hAnsi="Tahoma" w:cs="Tahoma"/>
          <w:sz w:val="20"/>
          <w:szCs w:val="20"/>
        </w:rPr>
        <w:t xml:space="preserve"> - </w:t>
      </w:r>
      <w:proofErr w:type="spellStart"/>
      <w:r w:rsidRPr="00655D0F">
        <w:rPr>
          <w:rFonts w:ascii="Tahoma" w:hAnsi="Tahoma" w:cs="Tahoma"/>
          <w:sz w:val="20"/>
          <w:szCs w:val="20"/>
        </w:rPr>
        <w:t>Towards</w:t>
      </w:r>
      <w:proofErr w:type="spellEnd"/>
      <w:r w:rsidRPr="00655D0F">
        <w:rPr>
          <w:rFonts w:ascii="Tahoma" w:hAnsi="Tahoma" w:cs="Tahoma"/>
          <w:sz w:val="20"/>
          <w:szCs w:val="20"/>
        </w:rPr>
        <w:t xml:space="preserve"> </w:t>
      </w:r>
      <w:r>
        <w:rPr>
          <w:rFonts w:ascii="Tahoma" w:hAnsi="Tahoma" w:cs="Tahoma"/>
          <w:sz w:val="20"/>
          <w:szCs w:val="20"/>
        </w:rPr>
        <w:t>a</w:t>
      </w:r>
      <w:r w:rsidRPr="00655D0F">
        <w:rPr>
          <w:rFonts w:ascii="Tahoma" w:hAnsi="Tahoma" w:cs="Tahoma"/>
          <w:sz w:val="20"/>
          <w:szCs w:val="20"/>
        </w:rPr>
        <w:t xml:space="preserve"> New </w:t>
      </w:r>
      <w:proofErr w:type="spellStart"/>
      <w:r w:rsidRPr="00655D0F">
        <w:rPr>
          <w:rFonts w:ascii="Tahoma" w:hAnsi="Tahoma" w:cs="Tahoma"/>
          <w:sz w:val="20"/>
          <w:szCs w:val="20"/>
        </w:rPr>
        <w:t>System</w:t>
      </w:r>
      <w:proofErr w:type="spellEnd"/>
      <w:r w:rsidRPr="00655D0F">
        <w:rPr>
          <w:rFonts w:ascii="Tahoma" w:hAnsi="Tahoma" w:cs="Tahoma"/>
          <w:sz w:val="20"/>
          <w:szCs w:val="20"/>
        </w:rPr>
        <w:t xml:space="preserve"> </w:t>
      </w:r>
      <w:proofErr w:type="spellStart"/>
      <w:r>
        <w:rPr>
          <w:rFonts w:ascii="Tahoma" w:hAnsi="Tahoma" w:cs="Tahoma"/>
          <w:sz w:val="20"/>
          <w:szCs w:val="20"/>
        </w:rPr>
        <w:t>o</w:t>
      </w:r>
      <w:r w:rsidRPr="00655D0F">
        <w:rPr>
          <w:rFonts w:ascii="Tahoma" w:hAnsi="Tahoma" w:cs="Tahoma"/>
          <w:sz w:val="20"/>
          <w:szCs w:val="20"/>
        </w:rPr>
        <w:t>f</w:t>
      </w:r>
      <w:proofErr w:type="spellEnd"/>
      <w:r w:rsidRPr="00655D0F">
        <w:rPr>
          <w:rFonts w:ascii="Tahoma" w:hAnsi="Tahoma" w:cs="Tahoma"/>
          <w:sz w:val="20"/>
          <w:szCs w:val="20"/>
        </w:rPr>
        <w:t xml:space="preserve"> Monitoring </w:t>
      </w:r>
      <w:proofErr w:type="spellStart"/>
      <w:r>
        <w:rPr>
          <w:rFonts w:ascii="Tahoma" w:hAnsi="Tahoma" w:cs="Tahoma"/>
          <w:sz w:val="20"/>
          <w:szCs w:val="20"/>
        </w:rPr>
        <w:t>a</w:t>
      </w:r>
      <w:r w:rsidRPr="00655D0F">
        <w:rPr>
          <w:rFonts w:ascii="Tahoma" w:hAnsi="Tahoma" w:cs="Tahoma"/>
          <w:sz w:val="20"/>
          <w:szCs w:val="20"/>
        </w:rPr>
        <w:t>nd</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Evaluation</w:t>
      </w:r>
      <w:proofErr w:type="spellEnd"/>
      <w:r w:rsidRPr="00655D0F">
        <w:rPr>
          <w:rFonts w:ascii="Tahoma" w:hAnsi="Tahoma" w:cs="Tahoma"/>
          <w:sz w:val="20"/>
          <w:szCs w:val="20"/>
        </w:rPr>
        <w:t xml:space="preserve"> </w:t>
      </w:r>
      <w:r>
        <w:rPr>
          <w:rFonts w:ascii="Tahoma" w:hAnsi="Tahoma" w:cs="Tahoma"/>
          <w:sz w:val="20"/>
          <w:szCs w:val="20"/>
        </w:rPr>
        <w:t>i</w:t>
      </w:r>
      <w:r w:rsidRPr="00655D0F">
        <w:rPr>
          <w:rFonts w:ascii="Tahoma" w:hAnsi="Tahoma" w:cs="Tahoma"/>
          <w:sz w:val="20"/>
          <w:szCs w:val="20"/>
        </w:rPr>
        <w:t xml:space="preserve">n </w:t>
      </w:r>
      <w:r>
        <w:rPr>
          <w:rFonts w:ascii="Tahoma" w:hAnsi="Tahoma" w:cs="Tahoma"/>
          <w:sz w:val="20"/>
          <w:szCs w:val="20"/>
        </w:rPr>
        <w:t>EU</w:t>
      </w:r>
      <w:r w:rsidRPr="00655D0F">
        <w:rPr>
          <w:rFonts w:ascii="Tahoma" w:hAnsi="Tahoma" w:cs="Tahoma"/>
          <w:sz w:val="20"/>
          <w:szCs w:val="20"/>
        </w:rPr>
        <w:t xml:space="preserve"> </w:t>
      </w:r>
      <w:proofErr w:type="spellStart"/>
      <w:r w:rsidRPr="00655D0F">
        <w:rPr>
          <w:rFonts w:ascii="Tahoma" w:hAnsi="Tahoma" w:cs="Tahoma"/>
          <w:sz w:val="20"/>
          <w:szCs w:val="20"/>
        </w:rPr>
        <w:t>Cohesion</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Policy</w:t>
      </w:r>
      <w:proofErr w:type="spellEnd"/>
    </w:p>
    <w:p w:rsidR="00011FD3" w:rsidRDefault="00011FD3" w:rsidP="00C6279B">
      <w:pPr>
        <w:pStyle w:val="Odstavecseseznamem"/>
        <w:numPr>
          <w:ilvl w:val="1"/>
          <w:numId w:val="3"/>
        </w:numPr>
        <w:ind w:left="1800"/>
        <w:jc w:val="both"/>
        <w:rPr>
          <w:rFonts w:ascii="Tahoma" w:hAnsi="Tahoma" w:cs="Tahoma"/>
          <w:sz w:val="20"/>
          <w:szCs w:val="20"/>
        </w:rPr>
      </w:pPr>
      <w:proofErr w:type="spellStart"/>
      <w:r>
        <w:rPr>
          <w:rFonts w:ascii="Tahoma" w:hAnsi="Tahoma" w:cs="Tahoma"/>
          <w:sz w:val="20"/>
          <w:szCs w:val="20"/>
        </w:rPr>
        <w:t>Outcome</w:t>
      </w:r>
      <w:proofErr w:type="spellEnd"/>
      <w:r>
        <w:rPr>
          <w:rFonts w:ascii="Tahoma" w:hAnsi="Tahoma" w:cs="Tahoma"/>
          <w:sz w:val="20"/>
          <w:szCs w:val="20"/>
        </w:rPr>
        <w:t xml:space="preserve"> </w:t>
      </w:r>
      <w:proofErr w:type="spellStart"/>
      <w:r>
        <w:rPr>
          <w:rFonts w:ascii="Tahoma" w:hAnsi="Tahoma" w:cs="Tahoma"/>
          <w:sz w:val="20"/>
          <w:szCs w:val="20"/>
        </w:rPr>
        <w:t>I</w:t>
      </w:r>
      <w:r w:rsidRPr="00655D0F">
        <w:rPr>
          <w:rFonts w:ascii="Tahoma" w:hAnsi="Tahoma" w:cs="Tahoma"/>
          <w:sz w:val="20"/>
          <w:szCs w:val="20"/>
        </w:rPr>
        <w:t>ndicators</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for</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the</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Thematic</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priorities</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addressing</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the</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Europe</w:t>
      </w:r>
      <w:proofErr w:type="spellEnd"/>
      <w:r w:rsidRPr="00655D0F">
        <w:rPr>
          <w:rFonts w:ascii="Tahoma" w:hAnsi="Tahoma" w:cs="Tahoma"/>
          <w:sz w:val="20"/>
          <w:szCs w:val="20"/>
        </w:rPr>
        <w:t xml:space="preserve"> 2020 </w:t>
      </w:r>
      <w:proofErr w:type="spellStart"/>
      <w:r w:rsidRPr="00655D0F">
        <w:rPr>
          <w:rFonts w:ascii="Tahoma" w:hAnsi="Tahoma" w:cs="Tahoma"/>
          <w:sz w:val="20"/>
          <w:szCs w:val="20"/>
        </w:rPr>
        <w:t>Objective</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Improving</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the</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conditions</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for</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innovation</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research</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and</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development</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Examples</w:t>
      </w:r>
      <w:proofErr w:type="spellEnd"/>
    </w:p>
    <w:p w:rsidR="00011FD3" w:rsidRDefault="00011FD3" w:rsidP="00C6279B">
      <w:pPr>
        <w:pStyle w:val="Odstavecseseznamem"/>
        <w:numPr>
          <w:ilvl w:val="1"/>
          <w:numId w:val="3"/>
        </w:numPr>
        <w:ind w:left="1800"/>
        <w:jc w:val="both"/>
        <w:rPr>
          <w:rFonts w:ascii="Tahoma" w:hAnsi="Tahoma" w:cs="Tahoma"/>
          <w:sz w:val="20"/>
          <w:szCs w:val="20"/>
        </w:rPr>
      </w:pPr>
      <w:proofErr w:type="spellStart"/>
      <w:r w:rsidRPr="00655D0F">
        <w:rPr>
          <w:rFonts w:ascii="Tahoma" w:hAnsi="Tahoma" w:cs="Tahoma"/>
          <w:sz w:val="20"/>
          <w:szCs w:val="20"/>
        </w:rPr>
        <w:t>Outcome</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Indicators</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for</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the</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Thematic</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priorities</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addressing</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the</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Europe</w:t>
      </w:r>
      <w:proofErr w:type="spellEnd"/>
      <w:r w:rsidRPr="00655D0F">
        <w:rPr>
          <w:rFonts w:ascii="Tahoma" w:hAnsi="Tahoma" w:cs="Tahoma"/>
          <w:sz w:val="20"/>
          <w:szCs w:val="20"/>
        </w:rPr>
        <w:t xml:space="preserve"> 2020 </w:t>
      </w:r>
      <w:proofErr w:type="spellStart"/>
      <w:r w:rsidRPr="00655D0F">
        <w:rPr>
          <w:rFonts w:ascii="Tahoma" w:hAnsi="Tahoma" w:cs="Tahoma"/>
          <w:sz w:val="20"/>
          <w:szCs w:val="20"/>
        </w:rPr>
        <w:t>Objective</w:t>
      </w:r>
      <w:proofErr w:type="spellEnd"/>
      <w:r w:rsidRPr="00655D0F">
        <w:rPr>
          <w:rFonts w:ascii="Tahoma" w:hAnsi="Tahoma" w:cs="Tahoma"/>
          <w:sz w:val="20"/>
          <w:szCs w:val="20"/>
        </w:rPr>
        <w:t xml:space="preserve"> “Meeting </w:t>
      </w:r>
      <w:proofErr w:type="spellStart"/>
      <w:r w:rsidRPr="00655D0F">
        <w:rPr>
          <w:rFonts w:ascii="Tahoma" w:hAnsi="Tahoma" w:cs="Tahoma"/>
          <w:sz w:val="20"/>
          <w:szCs w:val="20"/>
        </w:rPr>
        <w:t>climate</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change</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and</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energy</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objectives</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Examples</w:t>
      </w:r>
      <w:proofErr w:type="spellEnd"/>
    </w:p>
    <w:p w:rsidR="00011FD3" w:rsidRPr="00655D0F" w:rsidRDefault="00011FD3" w:rsidP="00C6279B">
      <w:pPr>
        <w:pStyle w:val="Odstavecseseznamem"/>
        <w:numPr>
          <w:ilvl w:val="1"/>
          <w:numId w:val="3"/>
        </w:numPr>
        <w:ind w:left="1800"/>
        <w:jc w:val="both"/>
        <w:rPr>
          <w:rFonts w:ascii="Tahoma" w:hAnsi="Tahoma" w:cs="Tahoma"/>
          <w:sz w:val="20"/>
          <w:szCs w:val="20"/>
        </w:rPr>
      </w:pPr>
      <w:proofErr w:type="spellStart"/>
      <w:r w:rsidRPr="00655D0F">
        <w:rPr>
          <w:rFonts w:ascii="Tahoma" w:hAnsi="Tahoma" w:cs="Tahoma"/>
          <w:sz w:val="20"/>
          <w:szCs w:val="20"/>
        </w:rPr>
        <w:t>Good</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practices</w:t>
      </w:r>
      <w:proofErr w:type="spellEnd"/>
      <w:r w:rsidRPr="00655D0F">
        <w:rPr>
          <w:rFonts w:ascii="Tahoma" w:hAnsi="Tahoma" w:cs="Tahoma"/>
          <w:sz w:val="20"/>
          <w:szCs w:val="20"/>
        </w:rPr>
        <w:t xml:space="preserve"> in </w:t>
      </w:r>
      <w:proofErr w:type="spellStart"/>
      <w:r w:rsidRPr="00655D0F">
        <w:rPr>
          <w:rFonts w:ascii="Tahoma" w:hAnsi="Tahoma" w:cs="Tahoma"/>
          <w:sz w:val="20"/>
          <w:szCs w:val="20"/>
        </w:rPr>
        <w:t>the</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selection</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and</w:t>
      </w:r>
      <w:proofErr w:type="spellEnd"/>
      <w:r w:rsidRPr="00655D0F">
        <w:rPr>
          <w:rFonts w:ascii="Tahoma" w:hAnsi="Tahoma" w:cs="Tahoma"/>
          <w:sz w:val="20"/>
          <w:szCs w:val="20"/>
        </w:rPr>
        <w:t xml:space="preserve"> use </w:t>
      </w:r>
      <w:proofErr w:type="spellStart"/>
      <w:r w:rsidRPr="00655D0F">
        <w:rPr>
          <w:rFonts w:ascii="Tahoma" w:hAnsi="Tahoma" w:cs="Tahoma"/>
          <w:sz w:val="20"/>
          <w:szCs w:val="20"/>
        </w:rPr>
        <w:t>of</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outcome</w:t>
      </w:r>
      <w:proofErr w:type="spellEnd"/>
      <w:r w:rsidRPr="00655D0F">
        <w:rPr>
          <w:rFonts w:ascii="Tahoma" w:hAnsi="Tahoma" w:cs="Tahoma"/>
          <w:sz w:val="20"/>
          <w:szCs w:val="20"/>
        </w:rPr>
        <w:t xml:space="preserve"> </w:t>
      </w:r>
      <w:proofErr w:type="spellStart"/>
      <w:r w:rsidRPr="00655D0F">
        <w:rPr>
          <w:rFonts w:ascii="Tahoma" w:hAnsi="Tahoma" w:cs="Tahoma"/>
          <w:sz w:val="20"/>
          <w:szCs w:val="20"/>
        </w:rPr>
        <w:t>indicators</w:t>
      </w:r>
      <w:proofErr w:type="spellEnd"/>
    </w:p>
    <w:p w:rsidR="00011FD3" w:rsidRDefault="00011FD3" w:rsidP="00C6279B">
      <w:pPr>
        <w:pStyle w:val="Odstavecseseznamem"/>
        <w:numPr>
          <w:ilvl w:val="0"/>
          <w:numId w:val="3"/>
        </w:numPr>
        <w:ind w:left="1080"/>
        <w:jc w:val="both"/>
        <w:rPr>
          <w:rFonts w:ascii="Tahoma" w:hAnsi="Tahoma" w:cs="Tahoma"/>
          <w:sz w:val="20"/>
          <w:szCs w:val="20"/>
        </w:rPr>
      </w:pPr>
      <w:proofErr w:type="spellStart"/>
      <w:r>
        <w:rPr>
          <w:rFonts w:ascii="Tahoma" w:hAnsi="Tahoma" w:cs="Tahoma"/>
          <w:sz w:val="20"/>
          <w:szCs w:val="20"/>
        </w:rPr>
        <w:t>The</w:t>
      </w:r>
      <w:proofErr w:type="spellEnd"/>
      <w:r>
        <w:rPr>
          <w:rFonts w:ascii="Tahoma" w:hAnsi="Tahoma" w:cs="Tahoma"/>
          <w:sz w:val="20"/>
          <w:szCs w:val="20"/>
        </w:rPr>
        <w:t xml:space="preserve"> </w:t>
      </w:r>
      <w:proofErr w:type="spellStart"/>
      <w:r>
        <w:rPr>
          <w:rFonts w:ascii="Tahoma" w:hAnsi="Tahoma" w:cs="Tahoma"/>
          <w:sz w:val="20"/>
          <w:szCs w:val="20"/>
        </w:rPr>
        <w:t>Road</w:t>
      </w:r>
      <w:proofErr w:type="spellEnd"/>
      <w:r>
        <w:rPr>
          <w:rFonts w:ascii="Tahoma" w:hAnsi="Tahoma" w:cs="Tahoma"/>
          <w:sz w:val="20"/>
          <w:szCs w:val="20"/>
        </w:rPr>
        <w:t xml:space="preserve"> to </w:t>
      </w:r>
      <w:proofErr w:type="spellStart"/>
      <w:r>
        <w:rPr>
          <w:rFonts w:ascii="Tahoma" w:hAnsi="Tahoma" w:cs="Tahoma"/>
          <w:sz w:val="20"/>
          <w:szCs w:val="20"/>
        </w:rPr>
        <w:t>Results</w:t>
      </w:r>
      <w:proofErr w:type="spellEnd"/>
      <w:r>
        <w:rPr>
          <w:rFonts w:ascii="Tahoma" w:hAnsi="Tahoma" w:cs="Tahoma"/>
          <w:sz w:val="20"/>
          <w:szCs w:val="20"/>
        </w:rPr>
        <w:t xml:space="preserve">: </w:t>
      </w:r>
      <w:proofErr w:type="spellStart"/>
      <w:r>
        <w:rPr>
          <w:rFonts w:ascii="Tahoma" w:hAnsi="Tahoma" w:cs="Tahoma"/>
          <w:sz w:val="20"/>
          <w:szCs w:val="20"/>
        </w:rPr>
        <w:t>Designing</w:t>
      </w:r>
      <w:proofErr w:type="spellEnd"/>
      <w:r>
        <w:rPr>
          <w:rFonts w:ascii="Tahoma" w:hAnsi="Tahoma" w:cs="Tahoma"/>
          <w:sz w:val="20"/>
          <w:szCs w:val="20"/>
        </w:rPr>
        <w:t xml:space="preserve"> </w:t>
      </w:r>
      <w:proofErr w:type="spellStart"/>
      <w:r>
        <w:rPr>
          <w:rFonts w:ascii="Tahoma" w:hAnsi="Tahoma" w:cs="Tahoma"/>
          <w:sz w:val="20"/>
          <w:szCs w:val="20"/>
        </w:rPr>
        <w:t>and</w:t>
      </w:r>
      <w:proofErr w:type="spellEnd"/>
      <w:r>
        <w:rPr>
          <w:rFonts w:ascii="Tahoma" w:hAnsi="Tahoma" w:cs="Tahoma"/>
          <w:sz w:val="20"/>
          <w:szCs w:val="20"/>
        </w:rPr>
        <w:t xml:space="preserve"> </w:t>
      </w:r>
      <w:proofErr w:type="spellStart"/>
      <w:r>
        <w:rPr>
          <w:rFonts w:ascii="Tahoma" w:hAnsi="Tahoma" w:cs="Tahoma"/>
          <w:sz w:val="20"/>
          <w:szCs w:val="20"/>
        </w:rPr>
        <w:t>Conducting</w:t>
      </w:r>
      <w:proofErr w:type="spellEnd"/>
      <w:r>
        <w:rPr>
          <w:rFonts w:ascii="Tahoma" w:hAnsi="Tahoma" w:cs="Tahoma"/>
          <w:sz w:val="20"/>
          <w:szCs w:val="20"/>
        </w:rPr>
        <w:t xml:space="preserve"> </w:t>
      </w:r>
      <w:proofErr w:type="spellStart"/>
      <w:r>
        <w:rPr>
          <w:rFonts w:ascii="Tahoma" w:hAnsi="Tahoma" w:cs="Tahoma"/>
          <w:sz w:val="20"/>
          <w:szCs w:val="20"/>
        </w:rPr>
        <w:t>Effective</w:t>
      </w:r>
      <w:proofErr w:type="spellEnd"/>
      <w:r>
        <w:rPr>
          <w:rFonts w:ascii="Tahoma" w:hAnsi="Tahoma" w:cs="Tahoma"/>
          <w:sz w:val="20"/>
          <w:szCs w:val="20"/>
        </w:rPr>
        <w:t xml:space="preserve"> </w:t>
      </w:r>
      <w:proofErr w:type="spellStart"/>
      <w:r>
        <w:rPr>
          <w:rFonts w:ascii="Tahoma" w:hAnsi="Tahoma" w:cs="Tahoma"/>
          <w:sz w:val="20"/>
          <w:szCs w:val="20"/>
        </w:rPr>
        <w:t>Development</w:t>
      </w:r>
      <w:proofErr w:type="spellEnd"/>
      <w:r>
        <w:rPr>
          <w:rFonts w:ascii="Tahoma" w:hAnsi="Tahoma" w:cs="Tahoma"/>
          <w:sz w:val="20"/>
          <w:szCs w:val="20"/>
        </w:rPr>
        <w:t xml:space="preserve"> </w:t>
      </w:r>
      <w:proofErr w:type="spellStart"/>
      <w:r>
        <w:rPr>
          <w:rFonts w:ascii="Tahoma" w:hAnsi="Tahoma" w:cs="Tahoma"/>
          <w:sz w:val="20"/>
          <w:szCs w:val="20"/>
        </w:rPr>
        <w:t>Evaluations</w:t>
      </w:r>
      <w:proofErr w:type="spellEnd"/>
      <w:r>
        <w:rPr>
          <w:rFonts w:ascii="Tahoma" w:hAnsi="Tahoma" w:cs="Tahoma"/>
          <w:sz w:val="20"/>
          <w:szCs w:val="20"/>
        </w:rPr>
        <w:t xml:space="preserve">, </w:t>
      </w:r>
      <w:proofErr w:type="spellStart"/>
      <w:r>
        <w:rPr>
          <w:rFonts w:ascii="Tahoma" w:hAnsi="Tahoma" w:cs="Tahoma"/>
          <w:sz w:val="20"/>
          <w:szCs w:val="20"/>
        </w:rPr>
        <w:t>The</w:t>
      </w:r>
      <w:proofErr w:type="spellEnd"/>
      <w:r>
        <w:rPr>
          <w:rFonts w:ascii="Tahoma" w:hAnsi="Tahoma" w:cs="Tahoma"/>
          <w:sz w:val="20"/>
          <w:szCs w:val="20"/>
        </w:rPr>
        <w:t xml:space="preserve"> </w:t>
      </w:r>
      <w:proofErr w:type="spellStart"/>
      <w:r>
        <w:rPr>
          <w:rFonts w:ascii="Tahoma" w:hAnsi="Tahoma" w:cs="Tahoma"/>
          <w:sz w:val="20"/>
          <w:szCs w:val="20"/>
        </w:rPr>
        <w:t>World</w:t>
      </w:r>
      <w:proofErr w:type="spellEnd"/>
      <w:r>
        <w:rPr>
          <w:rFonts w:ascii="Tahoma" w:hAnsi="Tahoma" w:cs="Tahoma"/>
          <w:sz w:val="20"/>
          <w:szCs w:val="20"/>
        </w:rPr>
        <w:t xml:space="preserve"> Bank, 2009.</w:t>
      </w:r>
    </w:p>
    <w:p w:rsidR="00011FD3" w:rsidRPr="004A4C0B" w:rsidRDefault="00011FD3" w:rsidP="00C6279B">
      <w:pPr>
        <w:pStyle w:val="Odstavecseseznamem"/>
        <w:numPr>
          <w:ilvl w:val="0"/>
          <w:numId w:val="3"/>
        </w:numPr>
        <w:ind w:left="1080"/>
        <w:jc w:val="both"/>
        <w:rPr>
          <w:rFonts w:ascii="Tahoma" w:hAnsi="Tahoma" w:cs="Tahoma"/>
          <w:sz w:val="20"/>
          <w:szCs w:val="20"/>
        </w:rPr>
      </w:pPr>
      <w:proofErr w:type="spellStart"/>
      <w:r w:rsidRPr="004A4C0B">
        <w:rPr>
          <w:rFonts w:ascii="Tahoma" w:hAnsi="Tahoma" w:cs="Tahoma"/>
          <w:sz w:val="20"/>
          <w:szCs w:val="20"/>
        </w:rPr>
        <w:t>White</w:t>
      </w:r>
      <w:proofErr w:type="spellEnd"/>
      <w:r w:rsidRPr="004A4C0B">
        <w:rPr>
          <w:rFonts w:ascii="Tahoma" w:hAnsi="Tahoma" w:cs="Tahoma"/>
          <w:sz w:val="20"/>
          <w:szCs w:val="20"/>
        </w:rPr>
        <w:t xml:space="preserve">, H: </w:t>
      </w:r>
      <w:proofErr w:type="spellStart"/>
      <w:r w:rsidRPr="004A4C0B">
        <w:rPr>
          <w:rFonts w:ascii="Tahoma" w:hAnsi="Tahoma" w:cs="Tahoma"/>
          <w:sz w:val="20"/>
          <w:szCs w:val="20"/>
        </w:rPr>
        <w:t>Theory</w:t>
      </w:r>
      <w:proofErr w:type="spellEnd"/>
      <w:r w:rsidRPr="004A4C0B">
        <w:rPr>
          <w:rFonts w:ascii="Tahoma" w:hAnsi="Tahoma" w:cs="Tahoma"/>
          <w:sz w:val="20"/>
          <w:szCs w:val="20"/>
        </w:rPr>
        <w:t>-</w:t>
      </w:r>
      <w:proofErr w:type="spellStart"/>
      <w:r w:rsidRPr="004A4C0B">
        <w:rPr>
          <w:rFonts w:ascii="Tahoma" w:hAnsi="Tahoma" w:cs="Tahoma"/>
          <w:sz w:val="20"/>
          <w:szCs w:val="20"/>
        </w:rPr>
        <w:t>Based</w:t>
      </w:r>
      <w:proofErr w:type="spellEnd"/>
      <w:r w:rsidRPr="004A4C0B">
        <w:rPr>
          <w:rFonts w:ascii="Tahoma" w:hAnsi="Tahoma" w:cs="Tahoma"/>
          <w:sz w:val="20"/>
          <w:szCs w:val="20"/>
        </w:rPr>
        <w:t xml:space="preserve"> </w:t>
      </w:r>
      <w:proofErr w:type="spellStart"/>
      <w:r w:rsidRPr="004A4C0B">
        <w:rPr>
          <w:rFonts w:ascii="Tahoma" w:hAnsi="Tahoma" w:cs="Tahoma"/>
          <w:sz w:val="20"/>
          <w:szCs w:val="20"/>
        </w:rPr>
        <w:t>Impact</w:t>
      </w:r>
      <w:proofErr w:type="spellEnd"/>
      <w:r w:rsidRPr="004A4C0B">
        <w:rPr>
          <w:rFonts w:ascii="Tahoma" w:hAnsi="Tahoma" w:cs="Tahoma"/>
          <w:sz w:val="20"/>
          <w:szCs w:val="20"/>
        </w:rPr>
        <w:t xml:space="preserve"> </w:t>
      </w:r>
      <w:proofErr w:type="spellStart"/>
      <w:r w:rsidRPr="004A4C0B">
        <w:rPr>
          <w:rFonts w:ascii="Tahoma" w:hAnsi="Tahoma" w:cs="Tahoma"/>
          <w:sz w:val="20"/>
          <w:szCs w:val="20"/>
        </w:rPr>
        <w:t>Evaluation</w:t>
      </w:r>
      <w:proofErr w:type="spellEnd"/>
      <w:r w:rsidRPr="004A4C0B">
        <w:rPr>
          <w:rFonts w:ascii="Tahoma" w:hAnsi="Tahoma" w:cs="Tahoma"/>
          <w:sz w:val="20"/>
          <w:szCs w:val="20"/>
        </w:rPr>
        <w:t xml:space="preserve">: </w:t>
      </w:r>
      <w:proofErr w:type="spellStart"/>
      <w:r w:rsidRPr="004A4C0B">
        <w:rPr>
          <w:rFonts w:ascii="Tahoma" w:hAnsi="Tahoma" w:cs="Tahoma"/>
          <w:sz w:val="20"/>
          <w:szCs w:val="20"/>
        </w:rPr>
        <w:t>Principles</w:t>
      </w:r>
      <w:proofErr w:type="spellEnd"/>
      <w:r w:rsidRPr="004A4C0B">
        <w:rPr>
          <w:rFonts w:ascii="Tahoma" w:hAnsi="Tahoma" w:cs="Tahoma"/>
          <w:sz w:val="20"/>
          <w:szCs w:val="20"/>
        </w:rPr>
        <w:t xml:space="preserve"> </w:t>
      </w:r>
      <w:proofErr w:type="spellStart"/>
      <w:r w:rsidRPr="004A4C0B">
        <w:rPr>
          <w:rFonts w:ascii="Tahoma" w:hAnsi="Tahoma" w:cs="Tahoma"/>
          <w:sz w:val="20"/>
          <w:szCs w:val="20"/>
        </w:rPr>
        <w:t>and</w:t>
      </w:r>
      <w:proofErr w:type="spellEnd"/>
      <w:r w:rsidRPr="004A4C0B">
        <w:rPr>
          <w:rFonts w:ascii="Tahoma" w:hAnsi="Tahoma" w:cs="Tahoma"/>
          <w:sz w:val="20"/>
          <w:szCs w:val="20"/>
        </w:rPr>
        <w:t xml:space="preserve"> </w:t>
      </w:r>
      <w:proofErr w:type="spellStart"/>
      <w:r w:rsidRPr="004A4C0B">
        <w:rPr>
          <w:rFonts w:ascii="Tahoma" w:hAnsi="Tahoma" w:cs="Tahoma"/>
          <w:sz w:val="20"/>
          <w:szCs w:val="20"/>
        </w:rPr>
        <w:t>Practice</w:t>
      </w:r>
      <w:proofErr w:type="spellEnd"/>
      <w:r w:rsidRPr="004A4C0B">
        <w:rPr>
          <w:rFonts w:ascii="Tahoma" w:hAnsi="Tahoma" w:cs="Tahoma"/>
          <w:sz w:val="20"/>
          <w:szCs w:val="20"/>
        </w:rPr>
        <w:t xml:space="preserve">, 3ie </w:t>
      </w:r>
      <w:proofErr w:type="spellStart"/>
      <w:r w:rsidRPr="004A4C0B">
        <w:rPr>
          <w:rFonts w:ascii="Tahoma" w:hAnsi="Tahoma" w:cs="Tahoma"/>
          <w:sz w:val="20"/>
          <w:szCs w:val="20"/>
        </w:rPr>
        <w:t>Working</w:t>
      </w:r>
      <w:proofErr w:type="spellEnd"/>
      <w:r w:rsidRPr="004A4C0B">
        <w:rPr>
          <w:rFonts w:ascii="Tahoma" w:hAnsi="Tahoma" w:cs="Tahoma"/>
          <w:sz w:val="20"/>
          <w:szCs w:val="20"/>
        </w:rPr>
        <w:t xml:space="preserve"> </w:t>
      </w:r>
      <w:proofErr w:type="spellStart"/>
      <w:r w:rsidRPr="004A4C0B">
        <w:rPr>
          <w:rFonts w:ascii="Tahoma" w:hAnsi="Tahoma" w:cs="Tahoma"/>
          <w:sz w:val="20"/>
          <w:szCs w:val="20"/>
        </w:rPr>
        <w:t>Paper</w:t>
      </w:r>
      <w:proofErr w:type="spellEnd"/>
      <w:r w:rsidRPr="004A4C0B">
        <w:rPr>
          <w:rFonts w:ascii="Tahoma" w:hAnsi="Tahoma" w:cs="Tahoma"/>
          <w:sz w:val="20"/>
          <w:szCs w:val="20"/>
        </w:rPr>
        <w:t xml:space="preserve"> No. </w:t>
      </w:r>
      <w:r>
        <w:rPr>
          <w:rFonts w:ascii="Tahoma" w:hAnsi="Tahoma" w:cs="Tahoma"/>
          <w:sz w:val="20"/>
          <w:szCs w:val="20"/>
        </w:rPr>
        <w:t xml:space="preserve">3, </w:t>
      </w:r>
      <w:proofErr w:type="spellStart"/>
      <w:r w:rsidRPr="004A4C0B">
        <w:rPr>
          <w:rFonts w:ascii="Tahoma" w:hAnsi="Tahoma" w:cs="Tahoma"/>
          <w:sz w:val="20"/>
          <w:szCs w:val="20"/>
        </w:rPr>
        <w:t>International</w:t>
      </w:r>
      <w:proofErr w:type="spellEnd"/>
      <w:r w:rsidRPr="004A4C0B">
        <w:rPr>
          <w:rFonts w:ascii="Tahoma" w:hAnsi="Tahoma" w:cs="Tahoma"/>
          <w:sz w:val="20"/>
          <w:szCs w:val="20"/>
        </w:rPr>
        <w:t xml:space="preserve"> </w:t>
      </w:r>
      <w:proofErr w:type="spellStart"/>
      <w:r w:rsidRPr="004A4C0B">
        <w:rPr>
          <w:rFonts w:ascii="Tahoma" w:hAnsi="Tahoma" w:cs="Tahoma"/>
          <w:sz w:val="20"/>
          <w:szCs w:val="20"/>
        </w:rPr>
        <w:t>Initiative</w:t>
      </w:r>
      <w:proofErr w:type="spellEnd"/>
      <w:r w:rsidRPr="004A4C0B">
        <w:rPr>
          <w:rFonts w:ascii="Tahoma" w:hAnsi="Tahoma" w:cs="Tahoma"/>
          <w:sz w:val="20"/>
          <w:szCs w:val="20"/>
        </w:rPr>
        <w:t xml:space="preserve"> </w:t>
      </w:r>
      <w:proofErr w:type="spellStart"/>
      <w:r w:rsidRPr="004A4C0B">
        <w:rPr>
          <w:rFonts w:ascii="Tahoma" w:hAnsi="Tahoma" w:cs="Tahoma"/>
          <w:sz w:val="20"/>
          <w:szCs w:val="20"/>
        </w:rPr>
        <w:t>for</w:t>
      </w:r>
      <w:proofErr w:type="spellEnd"/>
      <w:r w:rsidRPr="004A4C0B">
        <w:rPr>
          <w:rFonts w:ascii="Tahoma" w:hAnsi="Tahoma" w:cs="Tahoma"/>
          <w:sz w:val="20"/>
          <w:szCs w:val="20"/>
        </w:rPr>
        <w:t xml:space="preserve"> </w:t>
      </w:r>
      <w:proofErr w:type="spellStart"/>
      <w:r w:rsidRPr="004A4C0B">
        <w:rPr>
          <w:rFonts w:ascii="Tahoma" w:hAnsi="Tahoma" w:cs="Tahoma"/>
          <w:sz w:val="20"/>
          <w:szCs w:val="20"/>
        </w:rPr>
        <w:t>Impact</w:t>
      </w:r>
      <w:proofErr w:type="spellEnd"/>
      <w:r w:rsidRPr="004A4C0B">
        <w:rPr>
          <w:rFonts w:ascii="Tahoma" w:hAnsi="Tahoma" w:cs="Tahoma"/>
          <w:sz w:val="20"/>
          <w:szCs w:val="20"/>
        </w:rPr>
        <w:t xml:space="preserve"> </w:t>
      </w:r>
      <w:proofErr w:type="spellStart"/>
      <w:r w:rsidRPr="004A4C0B">
        <w:rPr>
          <w:rFonts w:ascii="Tahoma" w:hAnsi="Tahoma" w:cs="Tahoma"/>
          <w:sz w:val="20"/>
          <w:szCs w:val="20"/>
        </w:rPr>
        <w:t>Evaluation</w:t>
      </w:r>
      <w:proofErr w:type="spellEnd"/>
      <w:r>
        <w:rPr>
          <w:rFonts w:ascii="Tahoma" w:hAnsi="Tahoma" w:cs="Tahoma"/>
          <w:sz w:val="20"/>
          <w:szCs w:val="20"/>
        </w:rPr>
        <w:t>, 2009</w:t>
      </w:r>
      <w:r w:rsidRPr="004A4C0B">
        <w:rPr>
          <w:rFonts w:ascii="Tahoma" w:hAnsi="Tahoma" w:cs="Tahoma"/>
          <w:sz w:val="20"/>
          <w:szCs w:val="20"/>
        </w:rPr>
        <w:t xml:space="preserve">. </w:t>
      </w:r>
    </w:p>
    <w:p w:rsidR="00011FD3" w:rsidRDefault="00011FD3" w:rsidP="00011FD3">
      <w:pPr>
        <w:rPr>
          <w:rFonts w:cs="Tahoma"/>
          <w:szCs w:val="20"/>
        </w:rPr>
      </w:pPr>
    </w:p>
    <w:p w:rsidR="00011FD3" w:rsidRPr="00C765A1" w:rsidRDefault="00011FD3" w:rsidP="00011FD3">
      <w:pPr>
        <w:ind w:left="360"/>
        <w:rPr>
          <w:rFonts w:cs="Tahoma"/>
          <w:szCs w:val="20"/>
          <w:u w:val="single"/>
        </w:rPr>
      </w:pPr>
      <w:r w:rsidRPr="00C765A1">
        <w:rPr>
          <w:rFonts w:cs="Tahoma"/>
          <w:szCs w:val="20"/>
          <w:u w:val="single"/>
        </w:rPr>
        <w:t>Webové stránky a databáze:</w:t>
      </w:r>
    </w:p>
    <w:p w:rsidR="00011FD3" w:rsidRPr="00C944C9" w:rsidRDefault="00011FD3" w:rsidP="00C6279B">
      <w:pPr>
        <w:pStyle w:val="Odstavecseseznamem"/>
        <w:numPr>
          <w:ilvl w:val="0"/>
          <w:numId w:val="3"/>
        </w:numPr>
        <w:ind w:left="1080"/>
        <w:jc w:val="both"/>
        <w:rPr>
          <w:rFonts w:ascii="Tahoma" w:hAnsi="Tahoma" w:cs="Tahoma"/>
          <w:sz w:val="20"/>
          <w:szCs w:val="20"/>
        </w:rPr>
      </w:pPr>
      <w:r>
        <w:rPr>
          <w:rFonts w:ascii="Tahoma" w:hAnsi="Tahoma" w:cs="Tahoma"/>
          <w:sz w:val="20"/>
          <w:szCs w:val="20"/>
        </w:rPr>
        <w:t>webové s</w:t>
      </w:r>
      <w:r w:rsidRPr="00C944C9">
        <w:rPr>
          <w:rFonts w:ascii="Tahoma" w:hAnsi="Tahoma" w:cs="Tahoma"/>
          <w:sz w:val="20"/>
          <w:szCs w:val="20"/>
        </w:rPr>
        <w:t xml:space="preserve">tránky Strukturálních fondů v ČR </w:t>
      </w:r>
    </w:p>
    <w:p w:rsidR="00011FD3" w:rsidRPr="00C944C9" w:rsidRDefault="00011FD3" w:rsidP="00C6279B">
      <w:pPr>
        <w:pStyle w:val="Odstavecseseznamem"/>
        <w:numPr>
          <w:ilvl w:val="0"/>
          <w:numId w:val="3"/>
        </w:numPr>
        <w:ind w:left="1080"/>
        <w:jc w:val="both"/>
        <w:rPr>
          <w:rFonts w:ascii="Tahoma" w:hAnsi="Tahoma" w:cs="Tahoma"/>
          <w:sz w:val="20"/>
          <w:szCs w:val="20"/>
        </w:rPr>
      </w:pPr>
      <w:r>
        <w:rPr>
          <w:rFonts w:ascii="Tahoma" w:hAnsi="Tahoma" w:cs="Tahoma"/>
          <w:sz w:val="20"/>
          <w:szCs w:val="20"/>
        </w:rPr>
        <w:t xml:space="preserve">webové </w:t>
      </w:r>
      <w:r w:rsidRPr="00C944C9">
        <w:rPr>
          <w:rFonts w:ascii="Tahoma" w:hAnsi="Tahoma" w:cs="Tahoma"/>
          <w:sz w:val="20"/>
          <w:szCs w:val="20"/>
        </w:rPr>
        <w:t>stránky</w:t>
      </w:r>
      <w:r w:rsidR="00F94389">
        <w:rPr>
          <w:rFonts w:ascii="Tahoma" w:hAnsi="Tahoma" w:cs="Tahoma"/>
          <w:sz w:val="20"/>
          <w:szCs w:val="20"/>
        </w:rPr>
        <w:t xml:space="preserve"> OPPI,</w:t>
      </w:r>
      <w:r w:rsidRPr="00C944C9">
        <w:rPr>
          <w:rFonts w:ascii="Tahoma" w:hAnsi="Tahoma" w:cs="Tahoma"/>
          <w:sz w:val="20"/>
          <w:szCs w:val="20"/>
        </w:rPr>
        <w:t xml:space="preserve"> MPO ČR</w:t>
      </w:r>
      <w:r>
        <w:rPr>
          <w:rFonts w:ascii="Tahoma" w:hAnsi="Tahoma" w:cs="Tahoma"/>
          <w:sz w:val="20"/>
          <w:szCs w:val="20"/>
        </w:rPr>
        <w:t xml:space="preserve">, </w:t>
      </w:r>
      <w:proofErr w:type="spellStart"/>
      <w:r>
        <w:rPr>
          <w:rFonts w:ascii="Tahoma" w:hAnsi="Tahoma" w:cs="Tahoma"/>
          <w:sz w:val="20"/>
          <w:szCs w:val="20"/>
        </w:rPr>
        <w:t>CzechInvestu</w:t>
      </w:r>
      <w:proofErr w:type="spellEnd"/>
      <w:r>
        <w:rPr>
          <w:rFonts w:ascii="Tahoma" w:hAnsi="Tahoma" w:cs="Tahoma"/>
          <w:sz w:val="20"/>
          <w:szCs w:val="20"/>
        </w:rPr>
        <w:t>, ČMZRB</w:t>
      </w:r>
      <w:r w:rsidRPr="00C944C9">
        <w:rPr>
          <w:rFonts w:ascii="Tahoma" w:hAnsi="Tahoma" w:cs="Tahoma"/>
          <w:sz w:val="20"/>
          <w:szCs w:val="20"/>
        </w:rPr>
        <w:t xml:space="preserve"> </w:t>
      </w:r>
    </w:p>
    <w:p w:rsidR="00011FD3" w:rsidRPr="00C944C9" w:rsidRDefault="00011FD3" w:rsidP="00C6279B">
      <w:pPr>
        <w:pStyle w:val="Odstavecseseznamem"/>
        <w:numPr>
          <w:ilvl w:val="0"/>
          <w:numId w:val="3"/>
        </w:numPr>
        <w:ind w:left="1080"/>
        <w:jc w:val="both"/>
        <w:rPr>
          <w:rFonts w:ascii="Tahoma" w:hAnsi="Tahoma" w:cs="Tahoma"/>
          <w:sz w:val="20"/>
          <w:szCs w:val="20"/>
        </w:rPr>
      </w:pPr>
      <w:r>
        <w:rPr>
          <w:rFonts w:ascii="Tahoma" w:hAnsi="Tahoma" w:cs="Tahoma"/>
          <w:sz w:val="20"/>
          <w:szCs w:val="20"/>
        </w:rPr>
        <w:t xml:space="preserve">webové </w:t>
      </w:r>
      <w:r w:rsidRPr="00C944C9">
        <w:rPr>
          <w:rFonts w:ascii="Tahoma" w:hAnsi="Tahoma" w:cs="Tahoma"/>
          <w:sz w:val="20"/>
          <w:szCs w:val="20"/>
        </w:rPr>
        <w:t xml:space="preserve">stránky </w:t>
      </w:r>
      <w:r>
        <w:rPr>
          <w:rFonts w:ascii="Tahoma" w:hAnsi="Tahoma" w:cs="Tahoma"/>
          <w:sz w:val="20"/>
          <w:szCs w:val="20"/>
        </w:rPr>
        <w:t xml:space="preserve">Evropské komise a jednotlivých DG (zejm. DG </w:t>
      </w:r>
      <w:proofErr w:type="spellStart"/>
      <w:r>
        <w:rPr>
          <w:rFonts w:ascii="Tahoma" w:hAnsi="Tahoma" w:cs="Tahoma"/>
          <w:sz w:val="20"/>
          <w:szCs w:val="20"/>
        </w:rPr>
        <w:t>Regio</w:t>
      </w:r>
      <w:proofErr w:type="spellEnd"/>
      <w:r>
        <w:rPr>
          <w:rFonts w:ascii="Tahoma" w:hAnsi="Tahoma" w:cs="Tahoma"/>
          <w:sz w:val="20"/>
          <w:szCs w:val="20"/>
        </w:rPr>
        <w:t>)</w:t>
      </w:r>
      <w:r w:rsidRPr="00C944C9">
        <w:rPr>
          <w:rFonts w:ascii="Tahoma" w:hAnsi="Tahoma" w:cs="Tahoma"/>
          <w:sz w:val="20"/>
          <w:szCs w:val="20"/>
        </w:rPr>
        <w:t xml:space="preserve">  </w:t>
      </w:r>
    </w:p>
    <w:p w:rsidR="00011FD3" w:rsidRDefault="00011FD3" w:rsidP="00C6279B">
      <w:pPr>
        <w:pStyle w:val="Odstavecseseznamem"/>
        <w:numPr>
          <w:ilvl w:val="0"/>
          <w:numId w:val="3"/>
        </w:numPr>
        <w:ind w:left="1080"/>
        <w:jc w:val="both"/>
        <w:rPr>
          <w:rFonts w:ascii="Tahoma" w:hAnsi="Tahoma" w:cs="Tahoma"/>
          <w:sz w:val="20"/>
          <w:szCs w:val="20"/>
        </w:rPr>
      </w:pPr>
      <w:r>
        <w:rPr>
          <w:rFonts w:ascii="Tahoma" w:hAnsi="Tahoma" w:cs="Tahoma"/>
          <w:sz w:val="20"/>
          <w:szCs w:val="20"/>
        </w:rPr>
        <w:t xml:space="preserve">webové </w:t>
      </w:r>
      <w:r w:rsidRPr="00C944C9">
        <w:rPr>
          <w:rFonts w:ascii="Tahoma" w:hAnsi="Tahoma" w:cs="Tahoma"/>
          <w:sz w:val="20"/>
          <w:szCs w:val="20"/>
        </w:rPr>
        <w:t xml:space="preserve">stránky EVALSED </w:t>
      </w:r>
    </w:p>
    <w:p w:rsidR="00011FD3" w:rsidRDefault="00011FD3" w:rsidP="00C6279B">
      <w:pPr>
        <w:pStyle w:val="Odstavecseseznamem"/>
        <w:numPr>
          <w:ilvl w:val="0"/>
          <w:numId w:val="3"/>
        </w:numPr>
        <w:ind w:left="1080"/>
        <w:jc w:val="both"/>
        <w:rPr>
          <w:rFonts w:ascii="Tahoma" w:hAnsi="Tahoma" w:cs="Tahoma"/>
          <w:sz w:val="20"/>
          <w:szCs w:val="20"/>
        </w:rPr>
      </w:pPr>
      <w:r>
        <w:rPr>
          <w:rFonts w:ascii="Tahoma" w:hAnsi="Tahoma" w:cs="Tahoma"/>
          <w:sz w:val="20"/>
          <w:szCs w:val="20"/>
        </w:rPr>
        <w:t>Sbírka zákonů ČR aj.</w:t>
      </w:r>
    </w:p>
    <w:p w:rsidR="00011FD3" w:rsidRDefault="00011FD3" w:rsidP="007B1E38">
      <w:pPr>
        <w:spacing w:after="120"/>
      </w:pPr>
    </w:p>
    <w:p w:rsidR="007B1E38" w:rsidRPr="007B6FC4" w:rsidRDefault="007B1E38" w:rsidP="007B1E38">
      <w:pPr>
        <w:rPr>
          <w:rFonts w:cs="Tahoma"/>
          <w:szCs w:val="20"/>
        </w:rPr>
      </w:pPr>
    </w:p>
    <w:p w:rsidR="004C617B" w:rsidRDefault="004C617B" w:rsidP="004C617B">
      <w:pPr>
        <w:rPr>
          <w:b/>
        </w:rPr>
      </w:pPr>
    </w:p>
    <w:p w:rsidR="004C617B" w:rsidRDefault="004C617B" w:rsidP="004C617B"/>
    <w:p w:rsidR="004C617B" w:rsidRDefault="004C617B" w:rsidP="004C617B"/>
    <w:p w:rsidR="004C617B" w:rsidRDefault="00BC0C94" w:rsidP="009C5AC9">
      <w:pPr>
        <w:pStyle w:val="Nadpis1"/>
      </w:pPr>
      <w:bookmarkStart w:id="10" w:name="_Toc210708436"/>
      <w:bookmarkStart w:id="11" w:name="_Toc392583658"/>
      <w:r>
        <w:lastRenderedPageBreak/>
        <w:t>Východiska</w:t>
      </w:r>
      <w:bookmarkEnd w:id="10"/>
      <w:bookmarkEnd w:id="11"/>
    </w:p>
    <w:p w:rsidR="00BC0C94" w:rsidRPr="00BC0C94" w:rsidRDefault="00BC0C94" w:rsidP="009C5AC9">
      <w:pPr>
        <w:pStyle w:val="Nadpis2"/>
      </w:pPr>
      <w:bookmarkStart w:id="12" w:name="_Toc392583659"/>
      <w:r w:rsidRPr="00BC0C94">
        <w:t>Cíl</w:t>
      </w:r>
      <w:r w:rsidR="009E441D">
        <w:t>e</w:t>
      </w:r>
      <w:r w:rsidRPr="00BC0C94">
        <w:t xml:space="preserve"> </w:t>
      </w:r>
      <w:r w:rsidR="009E441D">
        <w:t xml:space="preserve">evaluačního </w:t>
      </w:r>
      <w:r w:rsidRPr="00BC0C94">
        <w:t>projektu</w:t>
      </w:r>
      <w:bookmarkEnd w:id="12"/>
    </w:p>
    <w:p w:rsidR="001074F7" w:rsidRPr="001074F7" w:rsidRDefault="001074F7" w:rsidP="001074F7">
      <w:pPr>
        <w:spacing w:after="120"/>
      </w:pPr>
      <w:r>
        <w:t xml:space="preserve">Ex-ante </w:t>
      </w:r>
      <w:r w:rsidR="002B1C03">
        <w:t xml:space="preserve">(předběžné) </w:t>
      </w:r>
      <w:r>
        <w:t xml:space="preserve">hodnocení </w:t>
      </w:r>
      <w:r w:rsidRPr="00432FF2">
        <w:t>O</w:t>
      </w:r>
      <w:r w:rsidR="00AC4780">
        <w:t xml:space="preserve">P PIK </w:t>
      </w:r>
      <w:r w:rsidR="00F94389">
        <w:t>2014 - 2020</w:t>
      </w:r>
      <w:r w:rsidRPr="00432FF2">
        <w:t xml:space="preserve"> </w:t>
      </w:r>
      <w:r w:rsidRPr="001074F7">
        <w:t xml:space="preserve">má za cíl optimalizovat alokace finančních prostředků, zvýšit kvalitu programování a posoudit jeho účinnost a efekty. </w:t>
      </w:r>
    </w:p>
    <w:p w:rsidR="001074F7" w:rsidRPr="001074F7" w:rsidRDefault="001074F7" w:rsidP="001074F7">
      <w:pPr>
        <w:spacing w:after="120"/>
      </w:pPr>
      <w:r w:rsidRPr="001074F7">
        <w:t xml:space="preserve">V rámci předběžného hodnocení </w:t>
      </w:r>
      <w:r>
        <w:t>j</w:t>
      </w:r>
      <w:r w:rsidRPr="001074F7">
        <w:t>e posuz</w:t>
      </w:r>
      <w:r>
        <w:t>ován</w:t>
      </w:r>
      <w:r w:rsidRPr="001074F7">
        <w:t xml:space="preserve"> systém přidělování a využití rozpočtových zdrojů operačního programu za účelem optim</w:t>
      </w:r>
      <w:r>
        <w:t>álního nastavení programu a pos</w:t>
      </w:r>
      <w:r w:rsidRPr="001074F7">
        <w:t>uz</w:t>
      </w:r>
      <w:r>
        <w:t>ována</w:t>
      </w:r>
      <w:r w:rsidRPr="001074F7">
        <w:t xml:space="preserve"> kvalit</w:t>
      </w:r>
      <w:r>
        <w:t>a</w:t>
      </w:r>
      <w:r w:rsidRPr="001074F7">
        <w:t xml:space="preserve"> programování. </w:t>
      </w:r>
      <w:r>
        <w:t>Jsou</w:t>
      </w:r>
      <w:r w:rsidRPr="001074F7">
        <w:t xml:space="preserve"> identifikovány případné disparity a mezery v systému, zhodnocen potenciál pro rozvoj oblastí, na jejichž podporu je o</w:t>
      </w:r>
      <w:r w:rsidR="002C7F74">
        <w:t>perační program zaměřen, a posuzovány</w:t>
      </w:r>
      <w:r w:rsidRPr="001074F7">
        <w:t xml:space="preserve"> střednědobé a dlouhodobé potřeby a cíle, kterých je nutno dosáhnout. </w:t>
      </w:r>
    </w:p>
    <w:p w:rsidR="001074F7" w:rsidRDefault="002C7F74" w:rsidP="001074F7">
      <w:pPr>
        <w:spacing w:after="120"/>
      </w:pPr>
      <w:r>
        <w:t>V souladu se zadáním zhotovitel/hodnotitel průběžně hodnotil</w:t>
      </w:r>
      <w:r w:rsidRPr="001074F7">
        <w:t xml:space="preserve"> dílčí výstupy prací </w:t>
      </w:r>
      <w:r w:rsidR="009E5211">
        <w:t>zpracovatele</w:t>
      </w:r>
      <w:r w:rsidRPr="001074F7">
        <w:t xml:space="preserve"> na operačním programu, vytvář</w:t>
      </w:r>
      <w:r>
        <w:t>el</w:t>
      </w:r>
      <w:r w:rsidRPr="001074F7">
        <w:t xml:space="preserve"> a prezent</w:t>
      </w:r>
      <w:r>
        <w:t>oval</w:t>
      </w:r>
      <w:r w:rsidRPr="001074F7">
        <w:t xml:space="preserve"> doporučení na je</w:t>
      </w:r>
      <w:r>
        <w:t xml:space="preserve">jich úpravy, doplnění a změny. </w:t>
      </w:r>
      <w:r w:rsidR="001074F7">
        <w:t xml:space="preserve">Úkolem hodnotitele </w:t>
      </w:r>
      <w:r w:rsidR="003D05C1">
        <w:t>bylo</w:t>
      </w:r>
      <w:r w:rsidR="001074F7">
        <w:t xml:space="preserve"> </w:t>
      </w:r>
      <w:r w:rsidR="001074F7" w:rsidRPr="001074F7">
        <w:t>posoud</w:t>
      </w:r>
      <w:r w:rsidR="001074F7">
        <w:t>it</w:t>
      </w:r>
      <w:r w:rsidR="002429F3">
        <w:t xml:space="preserve"> především</w:t>
      </w:r>
      <w:r w:rsidR="001074F7">
        <w:t>:</w:t>
      </w:r>
    </w:p>
    <w:p w:rsidR="001074F7" w:rsidRPr="001074F7" w:rsidRDefault="00D32FFD" w:rsidP="00F4713A">
      <w:pPr>
        <w:pStyle w:val="Odstavecseseznamem"/>
        <w:numPr>
          <w:ilvl w:val="0"/>
          <w:numId w:val="1"/>
        </w:numPr>
        <w:jc w:val="both"/>
        <w:rPr>
          <w:rFonts w:ascii="Tahoma" w:hAnsi="Tahoma" w:cs="Tahoma"/>
          <w:sz w:val="20"/>
          <w:szCs w:val="20"/>
        </w:rPr>
      </w:pPr>
      <w:r>
        <w:rPr>
          <w:rFonts w:ascii="Tahoma" w:hAnsi="Tahoma" w:cs="Tahoma"/>
          <w:sz w:val="20"/>
          <w:szCs w:val="20"/>
        </w:rPr>
        <w:t xml:space="preserve">identifikované potřeby, </w:t>
      </w:r>
      <w:r w:rsidR="001074F7" w:rsidRPr="001074F7">
        <w:rPr>
          <w:rFonts w:ascii="Tahoma" w:hAnsi="Tahoma" w:cs="Tahoma"/>
          <w:sz w:val="20"/>
          <w:szCs w:val="20"/>
        </w:rPr>
        <w:t>navrženou strategii</w:t>
      </w:r>
      <w:r>
        <w:rPr>
          <w:rFonts w:ascii="Tahoma" w:hAnsi="Tahoma" w:cs="Tahoma"/>
          <w:sz w:val="20"/>
          <w:szCs w:val="20"/>
        </w:rPr>
        <w:t xml:space="preserve"> a cíle programu</w:t>
      </w:r>
      <w:r w:rsidR="001074F7" w:rsidRPr="001074F7">
        <w:rPr>
          <w:rFonts w:ascii="Tahoma" w:hAnsi="Tahoma" w:cs="Tahoma"/>
          <w:sz w:val="20"/>
          <w:szCs w:val="20"/>
        </w:rPr>
        <w:t xml:space="preserve">, </w:t>
      </w:r>
    </w:p>
    <w:p w:rsidR="001074F7" w:rsidRPr="001074F7" w:rsidRDefault="001074F7" w:rsidP="00F4713A">
      <w:pPr>
        <w:pStyle w:val="Odstavecseseznamem"/>
        <w:numPr>
          <w:ilvl w:val="0"/>
          <w:numId w:val="1"/>
        </w:numPr>
        <w:jc w:val="both"/>
        <w:rPr>
          <w:rFonts w:ascii="Tahoma" w:hAnsi="Tahoma" w:cs="Tahoma"/>
          <w:sz w:val="20"/>
          <w:szCs w:val="20"/>
        </w:rPr>
      </w:pPr>
      <w:r w:rsidRPr="001074F7">
        <w:rPr>
          <w:rFonts w:ascii="Tahoma" w:hAnsi="Tahoma" w:cs="Tahoma"/>
          <w:sz w:val="20"/>
          <w:szCs w:val="20"/>
        </w:rPr>
        <w:t xml:space="preserve">míru zohlednění priorit Evropské unie, </w:t>
      </w:r>
    </w:p>
    <w:p w:rsidR="00D32FFD" w:rsidRDefault="00D32FFD" w:rsidP="00F4713A">
      <w:pPr>
        <w:pStyle w:val="Odstavecseseznamem"/>
        <w:numPr>
          <w:ilvl w:val="0"/>
          <w:numId w:val="1"/>
        </w:numPr>
        <w:jc w:val="both"/>
        <w:rPr>
          <w:rFonts w:ascii="Tahoma" w:hAnsi="Tahoma" w:cs="Tahoma"/>
          <w:sz w:val="20"/>
          <w:szCs w:val="20"/>
        </w:rPr>
      </w:pPr>
      <w:r>
        <w:rPr>
          <w:rFonts w:ascii="Tahoma" w:hAnsi="Tahoma" w:cs="Tahoma"/>
          <w:sz w:val="20"/>
          <w:szCs w:val="20"/>
        </w:rPr>
        <w:t>systém přidělování a využití rozpočtových zdrojů programu,</w:t>
      </w:r>
    </w:p>
    <w:p w:rsidR="001074F7" w:rsidRPr="001074F7" w:rsidRDefault="001074F7" w:rsidP="00F4713A">
      <w:pPr>
        <w:pStyle w:val="Odstavecseseznamem"/>
        <w:numPr>
          <w:ilvl w:val="0"/>
          <w:numId w:val="1"/>
        </w:numPr>
        <w:jc w:val="both"/>
        <w:rPr>
          <w:rFonts w:ascii="Tahoma" w:hAnsi="Tahoma" w:cs="Tahoma"/>
          <w:sz w:val="20"/>
          <w:szCs w:val="20"/>
        </w:rPr>
      </w:pPr>
      <w:r w:rsidRPr="001074F7">
        <w:rPr>
          <w:rFonts w:ascii="Tahoma" w:hAnsi="Tahoma" w:cs="Tahoma"/>
          <w:sz w:val="20"/>
          <w:szCs w:val="20"/>
        </w:rPr>
        <w:t>kvalitu navržených postupů pro implementaci, monitorování, hodnocení a řízení programu</w:t>
      </w:r>
      <w:r>
        <w:rPr>
          <w:rFonts w:ascii="Tahoma" w:hAnsi="Tahoma" w:cs="Tahoma"/>
          <w:sz w:val="20"/>
          <w:szCs w:val="20"/>
        </w:rPr>
        <w:t>, m</w:t>
      </w:r>
      <w:r w:rsidRPr="001074F7">
        <w:rPr>
          <w:rFonts w:ascii="Tahoma" w:hAnsi="Tahoma" w:cs="Tahoma"/>
          <w:sz w:val="20"/>
          <w:szCs w:val="20"/>
        </w:rPr>
        <w:t xml:space="preserve">j. na základě poznatků a zkušeností s implementací </w:t>
      </w:r>
      <w:r>
        <w:rPr>
          <w:rFonts w:ascii="Tahoma" w:hAnsi="Tahoma" w:cs="Tahoma"/>
          <w:sz w:val="20"/>
          <w:szCs w:val="20"/>
        </w:rPr>
        <w:t>předchozích operačních programů,</w:t>
      </w:r>
    </w:p>
    <w:p w:rsidR="001074F7" w:rsidRPr="001074F7" w:rsidRDefault="001074F7" w:rsidP="00F4713A">
      <w:pPr>
        <w:pStyle w:val="Odstavecseseznamem"/>
        <w:numPr>
          <w:ilvl w:val="0"/>
          <w:numId w:val="1"/>
        </w:numPr>
        <w:spacing w:after="120"/>
        <w:ind w:left="714" w:hanging="357"/>
        <w:jc w:val="both"/>
        <w:rPr>
          <w:rFonts w:ascii="Tahoma" w:hAnsi="Tahoma" w:cs="Tahoma"/>
          <w:sz w:val="20"/>
          <w:szCs w:val="20"/>
        </w:rPr>
      </w:pPr>
      <w:r w:rsidRPr="001074F7">
        <w:rPr>
          <w:rFonts w:ascii="Tahoma" w:hAnsi="Tahoma" w:cs="Tahoma"/>
          <w:sz w:val="20"/>
          <w:szCs w:val="20"/>
        </w:rPr>
        <w:t xml:space="preserve">synergické efekty jednotlivých </w:t>
      </w:r>
      <w:r>
        <w:rPr>
          <w:rFonts w:ascii="Tahoma" w:hAnsi="Tahoma" w:cs="Tahoma"/>
          <w:sz w:val="20"/>
          <w:szCs w:val="20"/>
        </w:rPr>
        <w:t>specifických cílů</w:t>
      </w:r>
      <w:r w:rsidRPr="001074F7">
        <w:rPr>
          <w:rFonts w:ascii="Tahoma" w:hAnsi="Tahoma" w:cs="Tahoma"/>
          <w:sz w:val="20"/>
          <w:szCs w:val="20"/>
        </w:rPr>
        <w:t xml:space="preserve"> v rámci OP PIK a synergické efekty s dalšími programy pro programovací období 2014 – 2020 a případné překryvy mezi těmito programy.</w:t>
      </w:r>
    </w:p>
    <w:p w:rsidR="0033668C" w:rsidRPr="0033668C" w:rsidRDefault="0033668C" w:rsidP="0033668C">
      <w:pPr>
        <w:spacing w:after="120"/>
      </w:pPr>
      <w:r w:rsidRPr="0033668C">
        <w:t xml:space="preserve">V návaznosti na témata definovaná čl. </w:t>
      </w:r>
      <w:r w:rsidR="003D05C1">
        <w:t>55</w:t>
      </w:r>
      <w:r w:rsidRPr="0033668C">
        <w:t xml:space="preserve"> </w:t>
      </w:r>
      <w:r w:rsidR="003D05C1">
        <w:t>O</w:t>
      </w:r>
      <w:r w:rsidRPr="0033668C">
        <w:t>becného nařízení a při jejich plném zohlednění během prací na veřejné zakázce se ex-ante hodnocení zaměř</w:t>
      </w:r>
      <w:r w:rsidR="003D05C1">
        <w:t>ilo</w:t>
      </w:r>
      <w:r w:rsidRPr="0033668C">
        <w:t xml:space="preserve"> na následující </w:t>
      </w:r>
      <w:r w:rsidRPr="0033668C">
        <w:rPr>
          <w:u w:val="single"/>
        </w:rPr>
        <w:t>čtyři hlavní okruhy</w:t>
      </w:r>
      <w:r w:rsidRPr="0033668C">
        <w:t>, které vycháze</w:t>
      </w:r>
      <w:r w:rsidR="003D05C1">
        <w:t>ly</w:t>
      </w:r>
      <w:r w:rsidRPr="0033668C">
        <w:t xml:space="preserve"> z doporučení Evropské komise </w:t>
      </w:r>
      <w:proofErr w:type="spellStart"/>
      <w:r w:rsidRPr="002B1C03">
        <w:rPr>
          <w:i/>
        </w:rPr>
        <w:t>Guidance</w:t>
      </w:r>
      <w:proofErr w:type="spellEnd"/>
      <w:r w:rsidRPr="002B1C03">
        <w:rPr>
          <w:i/>
        </w:rPr>
        <w:t xml:space="preserve"> </w:t>
      </w:r>
      <w:proofErr w:type="spellStart"/>
      <w:r w:rsidRPr="002B1C03">
        <w:rPr>
          <w:i/>
        </w:rPr>
        <w:t>document</w:t>
      </w:r>
      <w:proofErr w:type="spellEnd"/>
      <w:r w:rsidRPr="002B1C03">
        <w:rPr>
          <w:i/>
        </w:rPr>
        <w:t xml:space="preserve"> on ex-ante </w:t>
      </w:r>
      <w:proofErr w:type="spellStart"/>
      <w:r w:rsidRPr="002B1C03">
        <w:rPr>
          <w:i/>
        </w:rPr>
        <w:t>evaluation</w:t>
      </w:r>
      <w:proofErr w:type="spellEnd"/>
      <w:r w:rsidRPr="0033668C">
        <w:t xml:space="preserve"> </w:t>
      </w:r>
      <w:r w:rsidR="00F94389">
        <w:t>(</w:t>
      </w:r>
      <w:r w:rsidR="00130EAF">
        <w:t>leden</w:t>
      </w:r>
      <w:r w:rsidRPr="0033668C">
        <w:t xml:space="preserve"> 201</w:t>
      </w:r>
      <w:r w:rsidR="00130EAF">
        <w:t>3</w:t>
      </w:r>
      <w:r w:rsidR="00F94389">
        <w:t>)</w:t>
      </w:r>
      <w:r w:rsidRPr="0033668C">
        <w:t xml:space="preserve"> a dále z metodických pokynů vydaných M</w:t>
      </w:r>
      <w:r>
        <w:t>MR-NOK</w:t>
      </w:r>
      <w:r w:rsidRPr="0033668C">
        <w:t xml:space="preserve"> k přípravě programového období 2014-2020</w:t>
      </w:r>
      <w:r>
        <w:t>:</w:t>
      </w:r>
      <w:r w:rsidRPr="0033668C">
        <w:t xml:space="preserve"> </w:t>
      </w:r>
    </w:p>
    <w:p w:rsidR="0033668C" w:rsidRPr="0033668C" w:rsidRDefault="0033668C" w:rsidP="00C6279B">
      <w:pPr>
        <w:pStyle w:val="Odstavecseseznamem"/>
        <w:numPr>
          <w:ilvl w:val="0"/>
          <w:numId w:val="4"/>
        </w:numPr>
        <w:spacing w:after="120"/>
        <w:rPr>
          <w:rFonts w:ascii="Tahoma" w:hAnsi="Tahoma" w:cs="Tahoma"/>
          <w:sz w:val="20"/>
          <w:szCs w:val="20"/>
        </w:rPr>
      </w:pPr>
      <w:r w:rsidRPr="0033668C">
        <w:rPr>
          <w:rFonts w:ascii="Tahoma" w:eastAsiaTheme="minorHAnsi" w:hAnsi="Tahoma" w:cs="Tahoma"/>
          <w:sz w:val="20"/>
          <w:szCs w:val="20"/>
        </w:rPr>
        <w:t>Strategie programu</w:t>
      </w:r>
    </w:p>
    <w:p w:rsidR="0033668C" w:rsidRPr="0033668C" w:rsidRDefault="0033668C" w:rsidP="00C6279B">
      <w:pPr>
        <w:pStyle w:val="Odstavecseseznamem"/>
        <w:numPr>
          <w:ilvl w:val="0"/>
          <w:numId w:val="4"/>
        </w:numPr>
        <w:spacing w:after="120"/>
        <w:rPr>
          <w:rFonts w:ascii="Tahoma" w:hAnsi="Tahoma" w:cs="Tahoma"/>
          <w:sz w:val="20"/>
          <w:szCs w:val="20"/>
        </w:rPr>
      </w:pPr>
      <w:r w:rsidRPr="0033668C">
        <w:rPr>
          <w:rFonts w:ascii="Tahoma" w:hAnsi="Tahoma" w:cs="Tahoma"/>
          <w:sz w:val="20"/>
          <w:szCs w:val="20"/>
        </w:rPr>
        <w:t>Indikátory, monitoring a evaluace</w:t>
      </w:r>
    </w:p>
    <w:p w:rsidR="0033668C" w:rsidRPr="0033668C" w:rsidRDefault="0033668C" w:rsidP="00C6279B">
      <w:pPr>
        <w:pStyle w:val="Odstavecseseznamem"/>
        <w:numPr>
          <w:ilvl w:val="0"/>
          <w:numId w:val="4"/>
        </w:numPr>
        <w:spacing w:after="120"/>
        <w:rPr>
          <w:rFonts w:ascii="Tahoma" w:hAnsi="Tahoma" w:cs="Tahoma"/>
          <w:sz w:val="20"/>
          <w:szCs w:val="20"/>
        </w:rPr>
      </w:pPr>
      <w:r w:rsidRPr="0033668C">
        <w:rPr>
          <w:rFonts w:ascii="Tahoma" w:hAnsi="Tahoma" w:cs="Tahoma"/>
          <w:sz w:val="20"/>
          <w:szCs w:val="20"/>
        </w:rPr>
        <w:t>Konsistence finančních alokací</w:t>
      </w:r>
    </w:p>
    <w:p w:rsidR="0033668C" w:rsidRPr="0033668C" w:rsidRDefault="0033668C" w:rsidP="00C6279B">
      <w:pPr>
        <w:pStyle w:val="Odstavecseseznamem"/>
        <w:numPr>
          <w:ilvl w:val="0"/>
          <w:numId w:val="4"/>
        </w:numPr>
        <w:spacing w:after="120"/>
        <w:rPr>
          <w:rFonts w:ascii="Tahoma" w:eastAsiaTheme="minorHAnsi" w:hAnsi="Tahoma" w:cs="Tahoma"/>
          <w:sz w:val="20"/>
          <w:szCs w:val="20"/>
        </w:rPr>
      </w:pPr>
      <w:r w:rsidRPr="0033668C">
        <w:rPr>
          <w:rFonts w:ascii="Tahoma" w:eastAsiaTheme="minorHAnsi" w:hAnsi="Tahoma" w:cs="Tahoma"/>
          <w:sz w:val="20"/>
          <w:szCs w:val="20"/>
        </w:rPr>
        <w:t xml:space="preserve">Příspěvek k naplňování cílů Strategie Evropa </w:t>
      </w:r>
      <w:smartTag w:uri="urn:schemas-microsoft-com:office:smarttags" w:element="metricconverter">
        <w:smartTagPr>
          <w:attr w:name="ProductID" w:val="2020 a"/>
        </w:smartTagPr>
        <w:r w:rsidRPr="0033668C">
          <w:rPr>
            <w:rFonts w:ascii="Tahoma" w:eastAsiaTheme="minorHAnsi" w:hAnsi="Tahoma" w:cs="Tahoma"/>
            <w:sz w:val="20"/>
            <w:szCs w:val="20"/>
          </w:rPr>
          <w:t>2020 a</w:t>
        </w:r>
      </w:smartTag>
      <w:r w:rsidRPr="0033668C">
        <w:rPr>
          <w:rFonts w:ascii="Tahoma" w:eastAsiaTheme="minorHAnsi" w:hAnsi="Tahoma" w:cs="Tahoma"/>
          <w:sz w:val="20"/>
          <w:szCs w:val="20"/>
        </w:rPr>
        <w:t xml:space="preserve"> Dohody o partnerství a soulad operačního programu s dalšími strategiemi ČR </w:t>
      </w:r>
    </w:p>
    <w:p w:rsidR="00065FC1" w:rsidRPr="001074F7" w:rsidRDefault="00065FC1" w:rsidP="00432FF2">
      <w:pPr>
        <w:spacing w:after="120"/>
      </w:pPr>
      <w:r w:rsidRPr="001074F7">
        <w:t xml:space="preserve">Dílčí výstupy a zjištění </w:t>
      </w:r>
      <w:r w:rsidR="003D05C1">
        <w:t>byly</w:t>
      </w:r>
      <w:r w:rsidRPr="001074F7">
        <w:t xml:space="preserve"> průběžně konzultovány se zástupci zadavatele a dalšími účastníky evaluace.</w:t>
      </w:r>
    </w:p>
    <w:p w:rsidR="00065FC1" w:rsidRPr="00432FF2" w:rsidRDefault="00065FC1" w:rsidP="00432FF2">
      <w:pPr>
        <w:spacing w:after="120"/>
      </w:pPr>
      <w:r w:rsidRPr="001074F7">
        <w:t xml:space="preserve">Konečným výsledkem práce na zakázce </w:t>
      </w:r>
      <w:r w:rsidR="003D05C1">
        <w:t>j</w:t>
      </w:r>
      <w:r w:rsidRPr="001074F7">
        <w:t xml:space="preserve">e </w:t>
      </w:r>
      <w:r w:rsidR="003D05C1">
        <w:t xml:space="preserve">tato </w:t>
      </w:r>
      <w:r w:rsidRPr="001074F7">
        <w:t>Závěrečná zpráva, která shrn</w:t>
      </w:r>
      <w:r w:rsidR="003D05C1">
        <w:t>uje</w:t>
      </w:r>
      <w:r w:rsidRPr="001074F7">
        <w:t xml:space="preserve"> výsledky a závěry předchozích etap plnění zakázky a obsah</w:t>
      </w:r>
      <w:r w:rsidR="003D05C1">
        <w:t xml:space="preserve">uje </w:t>
      </w:r>
      <w:r w:rsidRPr="001074F7">
        <w:t xml:space="preserve">dílčí závěry, souhrnné závěry a doporučení. Z této závěrečné zprávy </w:t>
      </w:r>
      <w:r w:rsidR="003D05C1">
        <w:t>j</w:t>
      </w:r>
      <w:r w:rsidRPr="001074F7">
        <w:t>e zpracováno také manažerské shrnutí</w:t>
      </w:r>
      <w:r w:rsidR="009E5211">
        <w:t xml:space="preserve">. </w:t>
      </w:r>
      <w:r w:rsidRPr="00432FF2">
        <w:t xml:space="preserve">  </w:t>
      </w:r>
    </w:p>
    <w:p w:rsidR="00BC0C94" w:rsidRPr="001074F7" w:rsidRDefault="00AC4780" w:rsidP="009C5AC9">
      <w:pPr>
        <w:pStyle w:val="Nadpis2"/>
      </w:pPr>
      <w:bookmarkStart w:id="13" w:name="_Toc392583660"/>
      <w:r>
        <w:t>P</w:t>
      </w:r>
      <w:r w:rsidR="00BD16BC" w:rsidRPr="001074F7">
        <w:t>růběh realizace projektu a p</w:t>
      </w:r>
      <w:r w:rsidR="00BC0C94" w:rsidRPr="001074F7">
        <w:t>oužitá metodika</w:t>
      </w:r>
      <w:bookmarkEnd w:id="13"/>
    </w:p>
    <w:p w:rsidR="0072736A" w:rsidRDefault="00262ECD" w:rsidP="00432FF2">
      <w:pPr>
        <w:spacing w:after="120"/>
      </w:pPr>
      <w:r w:rsidRPr="00262ECD">
        <w:t xml:space="preserve">Smlouva </w:t>
      </w:r>
      <w:r>
        <w:t>o dílo</w:t>
      </w:r>
      <w:r w:rsidR="0072736A">
        <w:t xml:space="preserve"> na</w:t>
      </w:r>
      <w:r>
        <w:t xml:space="preserve"> předmět</w:t>
      </w:r>
      <w:r w:rsidR="0072736A">
        <w:t xml:space="preserve">ný evaluační projekt byla uzavřena mezi smluvními stranami 17. dubna 2013 a bezprostředně poté zahájil hodnotitel oficiálně svoji činnost. </w:t>
      </w:r>
    </w:p>
    <w:p w:rsidR="0072736A" w:rsidRDefault="00130EAF" w:rsidP="00432FF2">
      <w:pPr>
        <w:spacing w:after="120"/>
      </w:pPr>
      <w:r>
        <w:t>P</w:t>
      </w:r>
      <w:r w:rsidR="0072736A">
        <w:t>růběh realizace projektu, činnosti a také dílčí výstupy ex-ante hodnocení shrnuje následující tabulka:</w:t>
      </w:r>
    </w:p>
    <w:p w:rsidR="00652D78" w:rsidRDefault="00652D78" w:rsidP="00432FF2">
      <w:pPr>
        <w:spacing w:after="120"/>
      </w:pPr>
    </w:p>
    <w:p w:rsidR="00486697" w:rsidRDefault="00486697">
      <w:pPr>
        <w:rPr>
          <w:b/>
          <w:bCs/>
          <w:color w:val="4F81BD" w:themeColor="accent1"/>
          <w:sz w:val="18"/>
          <w:szCs w:val="18"/>
        </w:rPr>
      </w:pPr>
      <w:r>
        <w:br w:type="page"/>
      </w:r>
    </w:p>
    <w:p w:rsidR="00652D78" w:rsidRDefault="00652D78" w:rsidP="00652D78">
      <w:pPr>
        <w:pStyle w:val="Titulek"/>
        <w:keepNext/>
      </w:pPr>
      <w:r>
        <w:lastRenderedPageBreak/>
        <w:t xml:space="preserve">Tabulka </w:t>
      </w:r>
      <w:r w:rsidR="009E5BE4">
        <w:fldChar w:fldCharType="begin"/>
      </w:r>
      <w:r w:rsidR="00C50645">
        <w:instrText xml:space="preserve"> SEQ Tabulka \* ARABIC </w:instrText>
      </w:r>
      <w:r w:rsidR="009E5BE4">
        <w:fldChar w:fldCharType="separate"/>
      </w:r>
      <w:r w:rsidR="00D8687D">
        <w:rPr>
          <w:noProof/>
        </w:rPr>
        <w:t>1</w:t>
      </w:r>
      <w:r w:rsidR="009E5BE4">
        <w:rPr>
          <w:noProof/>
        </w:rPr>
        <w:fldChar w:fldCharType="end"/>
      </w:r>
      <w:r>
        <w:t xml:space="preserve">: Přehled </w:t>
      </w:r>
      <w:r w:rsidR="00130EAF">
        <w:t>p</w:t>
      </w:r>
      <w:r>
        <w:t>růběhu realizace zakázky</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86"/>
        <w:gridCol w:w="2092"/>
        <w:gridCol w:w="2693"/>
      </w:tblGrid>
      <w:tr w:rsidR="00E44AA4" w:rsidRPr="002A0747" w:rsidTr="00FD1FF6">
        <w:trPr>
          <w:trHeight w:val="499"/>
          <w:tblHeader/>
        </w:trPr>
        <w:tc>
          <w:tcPr>
            <w:tcW w:w="4786" w:type="dxa"/>
            <w:shd w:val="clear" w:color="auto" w:fill="002060"/>
            <w:vAlign w:val="center"/>
          </w:tcPr>
          <w:p w:rsidR="00E44AA4" w:rsidRPr="002A0747" w:rsidRDefault="00E44AA4" w:rsidP="00652D78">
            <w:pPr>
              <w:jc w:val="center"/>
              <w:rPr>
                <w:rFonts w:cs="Tahoma"/>
                <w:b/>
                <w:bCs/>
                <w:sz w:val="16"/>
                <w:szCs w:val="16"/>
              </w:rPr>
            </w:pPr>
            <w:r w:rsidRPr="002A0747">
              <w:rPr>
                <w:rFonts w:cs="Tahoma"/>
                <w:b/>
                <w:bCs/>
                <w:sz w:val="16"/>
                <w:szCs w:val="16"/>
              </w:rPr>
              <w:t>Aktivita</w:t>
            </w:r>
          </w:p>
        </w:tc>
        <w:tc>
          <w:tcPr>
            <w:tcW w:w="2092" w:type="dxa"/>
            <w:shd w:val="clear" w:color="auto" w:fill="002060"/>
            <w:vAlign w:val="center"/>
          </w:tcPr>
          <w:p w:rsidR="00E44AA4" w:rsidRPr="002A0747" w:rsidRDefault="00E44AA4" w:rsidP="00652D78">
            <w:pPr>
              <w:jc w:val="center"/>
              <w:rPr>
                <w:rFonts w:cs="Tahoma"/>
                <w:b/>
                <w:bCs/>
                <w:sz w:val="16"/>
                <w:szCs w:val="16"/>
              </w:rPr>
            </w:pPr>
            <w:r w:rsidRPr="002A0747">
              <w:rPr>
                <w:rFonts w:cs="Tahoma"/>
                <w:b/>
                <w:bCs/>
                <w:sz w:val="16"/>
                <w:szCs w:val="16"/>
              </w:rPr>
              <w:t>Termín/období</w:t>
            </w:r>
          </w:p>
        </w:tc>
        <w:tc>
          <w:tcPr>
            <w:tcW w:w="2693" w:type="dxa"/>
            <w:shd w:val="clear" w:color="auto" w:fill="002060"/>
            <w:vAlign w:val="center"/>
          </w:tcPr>
          <w:p w:rsidR="00E44AA4" w:rsidRPr="002A0747" w:rsidRDefault="00E44AA4" w:rsidP="00652D78">
            <w:pPr>
              <w:jc w:val="center"/>
              <w:rPr>
                <w:rFonts w:cs="Tahoma"/>
                <w:b/>
                <w:bCs/>
                <w:sz w:val="16"/>
                <w:szCs w:val="16"/>
              </w:rPr>
            </w:pPr>
            <w:r w:rsidRPr="002A0747">
              <w:rPr>
                <w:rFonts w:cs="Tahoma"/>
                <w:b/>
                <w:bCs/>
                <w:sz w:val="16"/>
                <w:szCs w:val="16"/>
              </w:rPr>
              <w:t>Výstupy</w:t>
            </w:r>
          </w:p>
        </w:tc>
      </w:tr>
      <w:tr w:rsidR="00E44AA4" w:rsidRPr="002A0747" w:rsidTr="004F4423">
        <w:trPr>
          <w:trHeight w:val="342"/>
        </w:trPr>
        <w:tc>
          <w:tcPr>
            <w:tcW w:w="4786" w:type="dxa"/>
            <w:shd w:val="clear" w:color="auto" w:fill="auto"/>
          </w:tcPr>
          <w:p w:rsidR="00E44AA4" w:rsidRPr="002A0747" w:rsidRDefault="00E44AA4" w:rsidP="00652D78">
            <w:pPr>
              <w:rPr>
                <w:rFonts w:cs="Tahoma"/>
                <w:bCs/>
                <w:sz w:val="16"/>
                <w:szCs w:val="16"/>
              </w:rPr>
            </w:pPr>
            <w:r w:rsidRPr="002A0747">
              <w:rPr>
                <w:rFonts w:cs="Tahoma"/>
                <w:bCs/>
                <w:sz w:val="16"/>
                <w:szCs w:val="16"/>
              </w:rPr>
              <w:t>Uzavření smlouvy o dílo, zahájení realizace evaluačního projektu</w:t>
            </w:r>
          </w:p>
        </w:tc>
        <w:tc>
          <w:tcPr>
            <w:tcW w:w="2092" w:type="dxa"/>
            <w:vAlign w:val="center"/>
          </w:tcPr>
          <w:p w:rsidR="00E44AA4" w:rsidRPr="002A0747" w:rsidRDefault="0008082A" w:rsidP="00652D78">
            <w:pPr>
              <w:jc w:val="center"/>
              <w:rPr>
                <w:rFonts w:cs="Tahoma"/>
                <w:bCs/>
                <w:sz w:val="16"/>
                <w:szCs w:val="16"/>
              </w:rPr>
            </w:pPr>
            <w:r w:rsidRPr="002A0747">
              <w:rPr>
                <w:rFonts w:cs="Tahoma"/>
                <w:bCs/>
                <w:sz w:val="16"/>
                <w:szCs w:val="16"/>
              </w:rPr>
              <w:t xml:space="preserve">17. 4. 2013 </w:t>
            </w:r>
          </w:p>
        </w:tc>
        <w:tc>
          <w:tcPr>
            <w:tcW w:w="2693" w:type="dxa"/>
            <w:shd w:val="clear" w:color="auto" w:fill="auto"/>
          </w:tcPr>
          <w:p w:rsidR="00E44AA4" w:rsidRPr="002A0747" w:rsidRDefault="00E44AA4" w:rsidP="0008082A">
            <w:pPr>
              <w:ind w:left="293"/>
              <w:jc w:val="left"/>
              <w:rPr>
                <w:rFonts w:cs="Tahoma"/>
                <w:bCs/>
                <w:sz w:val="16"/>
                <w:szCs w:val="16"/>
              </w:rPr>
            </w:pPr>
          </w:p>
        </w:tc>
      </w:tr>
      <w:tr w:rsidR="00E44AA4" w:rsidRPr="002A0747" w:rsidTr="004F4423">
        <w:trPr>
          <w:trHeight w:val="342"/>
        </w:trPr>
        <w:tc>
          <w:tcPr>
            <w:tcW w:w="4786" w:type="dxa"/>
            <w:shd w:val="clear" w:color="auto" w:fill="auto"/>
          </w:tcPr>
          <w:p w:rsidR="00E44AA4" w:rsidRPr="002A0747" w:rsidRDefault="0008082A" w:rsidP="00652D78">
            <w:pPr>
              <w:rPr>
                <w:rFonts w:cs="Tahoma"/>
                <w:bCs/>
                <w:sz w:val="16"/>
                <w:szCs w:val="16"/>
              </w:rPr>
            </w:pPr>
            <w:proofErr w:type="spellStart"/>
            <w:r w:rsidRPr="002A0747">
              <w:rPr>
                <w:rFonts w:cs="Tahoma"/>
                <w:bCs/>
                <w:sz w:val="16"/>
                <w:szCs w:val="16"/>
              </w:rPr>
              <w:t>Kick</w:t>
            </w:r>
            <w:proofErr w:type="spellEnd"/>
            <w:r w:rsidRPr="002A0747">
              <w:rPr>
                <w:rFonts w:cs="Tahoma"/>
                <w:bCs/>
                <w:sz w:val="16"/>
                <w:szCs w:val="16"/>
              </w:rPr>
              <w:t>-</w:t>
            </w:r>
            <w:proofErr w:type="spellStart"/>
            <w:r w:rsidRPr="002A0747">
              <w:rPr>
                <w:rFonts w:cs="Tahoma"/>
                <w:bCs/>
                <w:sz w:val="16"/>
                <w:szCs w:val="16"/>
              </w:rPr>
              <w:t>off</w:t>
            </w:r>
            <w:proofErr w:type="spellEnd"/>
            <w:r w:rsidRPr="002A0747">
              <w:rPr>
                <w:rFonts w:cs="Tahoma"/>
                <w:bCs/>
                <w:sz w:val="16"/>
                <w:szCs w:val="16"/>
              </w:rPr>
              <w:t xml:space="preserve"> meeting</w:t>
            </w:r>
          </w:p>
        </w:tc>
        <w:tc>
          <w:tcPr>
            <w:tcW w:w="2092" w:type="dxa"/>
            <w:vAlign w:val="center"/>
          </w:tcPr>
          <w:p w:rsidR="00E44AA4" w:rsidRPr="002A0747" w:rsidRDefault="0008082A" w:rsidP="00652D78">
            <w:pPr>
              <w:jc w:val="center"/>
              <w:rPr>
                <w:rFonts w:cs="Tahoma"/>
                <w:bCs/>
                <w:sz w:val="16"/>
                <w:szCs w:val="16"/>
              </w:rPr>
            </w:pPr>
            <w:r w:rsidRPr="002A0747">
              <w:rPr>
                <w:rFonts w:cs="Tahoma"/>
                <w:bCs/>
                <w:sz w:val="16"/>
                <w:szCs w:val="16"/>
              </w:rPr>
              <w:t>18. 4. 2013</w:t>
            </w:r>
          </w:p>
        </w:tc>
        <w:tc>
          <w:tcPr>
            <w:tcW w:w="2693" w:type="dxa"/>
            <w:shd w:val="clear" w:color="auto" w:fill="auto"/>
          </w:tcPr>
          <w:p w:rsidR="00E44AA4" w:rsidRPr="002A0747" w:rsidRDefault="00E44AA4" w:rsidP="0008082A">
            <w:pPr>
              <w:ind w:left="293"/>
              <w:jc w:val="left"/>
              <w:rPr>
                <w:rFonts w:cs="Tahoma"/>
                <w:bCs/>
                <w:sz w:val="16"/>
                <w:szCs w:val="16"/>
              </w:rPr>
            </w:pPr>
          </w:p>
        </w:tc>
      </w:tr>
      <w:tr w:rsidR="00E44AA4" w:rsidRPr="002A0747" w:rsidTr="004F4423">
        <w:trPr>
          <w:trHeight w:val="342"/>
        </w:trPr>
        <w:tc>
          <w:tcPr>
            <w:tcW w:w="4786" w:type="dxa"/>
            <w:shd w:val="clear" w:color="auto" w:fill="auto"/>
          </w:tcPr>
          <w:p w:rsidR="00E44AA4" w:rsidRPr="002A0747" w:rsidRDefault="0008082A" w:rsidP="00BF7CBB">
            <w:pPr>
              <w:rPr>
                <w:rFonts w:cs="Tahoma"/>
                <w:bCs/>
                <w:sz w:val="16"/>
                <w:szCs w:val="16"/>
              </w:rPr>
            </w:pPr>
            <w:r w:rsidRPr="002A0747">
              <w:rPr>
                <w:rFonts w:cs="Tahoma"/>
                <w:bCs/>
                <w:sz w:val="16"/>
                <w:szCs w:val="16"/>
              </w:rPr>
              <w:t>Posouzení intervenční logiky programu / teorie změny, verze z 5. dubna 2013 (zejm. situační analýzy, příčiny problémů, výběr příčin pro řešení, specifické cíle (změny) a aktivity)</w:t>
            </w:r>
          </w:p>
        </w:tc>
        <w:tc>
          <w:tcPr>
            <w:tcW w:w="2092" w:type="dxa"/>
            <w:vAlign w:val="center"/>
          </w:tcPr>
          <w:p w:rsidR="00E44AA4" w:rsidRPr="002A0747" w:rsidRDefault="0008082A" w:rsidP="00652D78">
            <w:pPr>
              <w:jc w:val="center"/>
              <w:rPr>
                <w:rFonts w:cs="Tahoma"/>
                <w:bCs/>
                <w:sz w:val="16"/>
                <w:szCs w:val="16"/>
              </w:rPr>
            </w:pPr>
            <w:r w:rsidRPr="002A0747">
              <w:rPr>
                <w:rFonts w:cs="Tahoma"/>
                <w:bCs/>
                <w:sz w:val="16"/>
                <w:szCs w:val="16"/>
              </w:rPr>
              <w:t>18. 4. 2013</w:t>
            </w:r>
          </w:p>
        </w:tc>
        <w:tc>
          <w:tcPr>
            <w:tcW w:w="2693" w:type="dxa"/>
            <w:shd w:val="clear" w:color="auto" w:fill="auto"/>
          </w:tcPr>
          <w:p w:rsidR="00E44AA4" w:rsidRPr="002A0747" w:rsidRDefault="0008082A" w:rsidP="00C6279B">
            <w:pPr>
              <w:numPr>
                <w:ilvl w:val="0"/>
                <w:numId w:val="5"/>
              </w:numPr>
              <w:ind w:left="293" w:hanging="284"/>
              <w:jc w:val="left"/>
              <w:rPr>
                <w:rFonts w:cs="Tahoma"/>
                <w:bCs/>
                <w:sz w:val="16"/>
                <w:szCs w:val="16"/>
              </w:rPr>
            </w:pPr>
            <w:r w:rsidRPr="002A0747">
              <w:rPr>
                <w:rFonts w:cs="Tahoma"/>
                <w:bCs/>
                <w:sz w:val="16"/>
                <w:szCs w:val="16"/>
              </w:rPr>
              <w:t>posudek ex-ante</w:t>
            </w:r>
          </w:p>
        </w:tc>
      </w:tr>
      <w:tr w:rsidR="00652D78" w:rsidRPr="002A0747" w:rsidTr="00652D78">
        <w:trPr>
          <w:trHeight w:val="346"/>
        </w:trPr>
        <w:tc>
          <w:tcPr>
            <w:tcW w:w="4786" w:type="dxa"/>
            <w:shd w:val="clear" w:color="auto" w:fill="auto"/>
          </w:tcPr>
          <w:p w:rsidR="00652D78" w:rsidRPr="002A0747" w:rsidRDefault="00652D78" w:rsidP="00652D78">
            <w:pPr>
              <w:rPr>
                <w:rFonts w:cs="Tahoma"/>
                <w:bCs/>
                <w:sz w:val="16"/>
                <w:szCs w:val="16"/>
              </w:rPr>
            </w:pPr>
            <w:r w:rsidRPr="002A0747">
              <w:rPr>
                <w:rFonts w:cs="Tahoma"/>
                <w:bCs/>
                <w:sz w:val="16"/>
                <w:szCs w:val="16"/>
              </w:rPr>
              <w:t>Pracovní schůzka se zadavatelem</w:t>
            </w:r>
          </w:p>
        </w:tc>
        <w:tc>
          <w:tcPr>
            <w:tcW w:w="2092" w:type="dxa"/>
            <w:vAlign w:val="center"/>
          </w:tcPr>
          <w:p w:rsidR="00652D78" w:rsidRPr="002A0747" w:rsidRDefault="00652D78" w:rsidP="00652D78">
            <w:pPr>
              <w:jc w:val="center"/>
              <w:rPr>
                <w:rFonts w:cs="Tahoma"/>
                <w:bCs/>
                <w:sz w:val="16"/>
                <w:szCs w:val="16"/>
              </w:rPr>
            </w:pPr>
            <w:r w:rsidRPr="002A0747">
              <w:rPr>
                <w:rFonts w:cs="Tahoma"/>
                <w:bCs/>
                <w:sz w:val="16"/>
                <w:szCs w:val="16"/>
              </w:rPr>
              <w:t>25. 4. 2013</w:t>
            </w:r>
          </w:p>
        </w:tc>
        <w:tc>
          <w:tcPr>
            <w:tcW w:w="2693" w:type="dxa"/>
            <w:shd w:val="clear" w:color="auto" w:fill="auto"/>
          </w:tcPr>
          <w:p w:rsidR="00652D78" w:rsidRPr="002A0747" w:rsidRDefault="00652D78" w:rsidP="00652D78">
            <w:pPr>
              <w:ind w:left="293"/>
              <w:jc w:val="left"/>
              <w:rPr>
                <w:rFonts w:cs="Tahoma"/>
                <w:bCs/>
                <w:sz w:val="16"/>
                <w:szCs w:val="16"/>
              </w:rPr>
            </w:pPr>
          </w:p>
        </w:tc>
      </w:tr>
      <w:tr w:rsidR="00E44AA4" w:rsidRPr="002A0747" w:rsidTr="004F4423">
        <w:trPr>
          <w:trHeight w:val="342"/>
        </w:trPr>
        <w:tc>
          <w:tcPr>
            <w:tcW w:w="4786" w:type="dxa"/>
            <w:shd w:val="clear" w:color="auto" w:fill="auto"/>
          </w:tcPr>
          <w:p w:rsidR="00E44AA4" w:rsidRPr="002A0747" w:rsidRDefault="00BF7CBB" w:rsidP="00652D78">
            <w:pPr>
              <w:rPr>
                <w:rFonts w:cs="Tahoma"/>
                <w:bCs/>
                <w:sz w:val="16"/>
                <w:szCs w:val="16"/>
              </w:rPr>
            </w:pPr>
            <w:r w:rsidRPr="002A0747">
              <w:rPr>
                <w:rFonts w:cs="Tahoma"/>
                <w:bCs/>
                <w:sz w:val="16"/>
                <w:szCs w:val="16"/>
              </w:rPr>
              <w:t>Posouzení uplatnění územní dimenze v </w:t>
            </w:r>
            <w:proofErr w:type="gramStart"/>
            <w:r w:rsidRPr="002A0747">
              <w:rPr>
                <w:rFonts w:cs="Tahoma"/>
                <w:bCs/>
                <w:sz w:val="16"/>
                <w:szCs w:val="16"/>
              </w:rPr>
              <w:t>OP</w:t>
            </w:r>
            <w:proofErr w:type="gramEnd"/>
            <w:r w:rsidRPr="002A0747">
              <w:rPr>
                <w:rFonts w:cs="Tahoma"/>
                <w:bCs/>
                <w:sz w:val="16"/>
                <w:szCs w:val="16"/>
              </w:rPr>
              <w:t xml:space="preserve"> PIK (rešerše dostupných informačních zdrojů a podkladů a formulace doporučení) </w:t>
            </w:r>
          </w:p>
        </w:tc>
        <w:tc>
          <w:tcPr>
            <w:tcW w:w="2092" w:type="dxa"/>
            <w:vAlign w:val="center"/>
          </w:tcPr>
          <w:p w:rsidR="00E44AA4" w:rsidRPr="002A0747" w:rsidRDefault="00BF7CBB" w:rsidP="00652D78">
            <w:pPr>
              <w:jc w:val="center"/>
              <w:rPr>
                <w:rFonts w:cs="Tahoma"/>
                <w:bCs/>
                <w:sz w:val="16"/>
                <w:szCs w:val="16"/>
              </w:rPr>
            </w:pPr>
            <w:r w:rsidRPr="002A0747">
              <w:rPr>
                <w:rFonts w:cs="Tahoma"/>
                <w:bCs/>
                <w:sz w:val="16"/>
                <w:szCs w:val="16"/>
              </w:rPr>
              <w:t>29. 4. 2013</w:t>
            </w:r>
            <w:r w:rsidR="00D27CC7" w:rsidRPr="002A0747">
              <w:rPr>
                <w:rFonts w:cs="Tahoma"/>
                <w:bCs/>
                <w:sz w:val="16"/>
                <w:szCs w:val="16"/>
              </w:rPr>
              <w:t>,</w:t>
            </w:r>
          </w:p>
          <w:p w:rsidR="00D27CC7" w:rsidRPr="002A0747" w:rsidRDefault="00D27CC7" w:rsidP="00652D78">
            <w:pPr>
              <w:jc w:val="center"/>
              <w:rPr>
                <w:rFonts w:cs="Tahoma"/>
                <w:bCs/>
                <w:sz w:val="16"/>
                <w:szCs w:val="16"/>
              </w:rPr>
            </w:pPr>
            <w:r w:rsidRPr="002A0747">
              <w:rPr>
                <w:rFonts w:cs="Tahoma"/>
                <w:bCs/>
                <w:sz w:val="16"/>
                <w:szCs w:val="16"/>
              </w:rPr>
              <w:t>3. 5. 2013</w:t>
            </w:r>
          </w:p>
        </w:tc>
        <w:tc>
          <w:tcPr>
            <w:tcW w:w="2693" w:type="dxa"/>
            <w:shd w:val="clear" w:color="auto" w:fill="auto"/>
          </w:tcPr>
          <w:p w:rsidR="00E44AA4" w:rsidRPr="002A0747" w:rsidRDefault="00BF7CBB" w:rsidP="00C6279B">
            <w:pPr>
              <w:numPr>
                <w:ilvl w:val="0"/>
                <w:numId w:val="5"/>
              </w:numPr>
              <w:ind w:left="293" w:hanging="284"/>
              <w:jc w:val="left"/>
              <w:rPr>
                <w:rFonts w:cs="Tahoma"/>
                <w:bCs/>
                <w:sz w:val="16"/>
                <w:szCs w:val="16"/>
              </w:rPr>
            </w:pPr>
            <w:r w:rsidRPr="002A0747">
              <w:rPr>
                <w:rFonts w:cs="Tahoma"/>
                <w:bCs/>
                <w:sz w:val="16"/>
                <w:szCs w:val="16"/>
              </w:rPr>
              <w:t>posudek ex-ante</w:t>
            </w:r>
          </w:p>
        </w:tc>
      </w:tr>
      <w:tr w:rsidR="00652D78" w:rsidRPr="002A0747" w:rsidTr="00652D78">
        <w:trPr>
          <w:trHeight w:val="346"/>
        </w:trPr>
        <w:tc>
          <w:tcPr>
            <w:tcW w:w="4786" w:type="dxa"/>
            <w:shd w:val="clear" w:color="auto" w:fill="auto"/>
          </w:tcPr>
          <w:p w:rsidR="00652D78" w:rsidRPr="002A0747" w:rsidRDefault="00652D78" w:rsidP="00652D78">
            <w:pPr>
              <w:rPr>
                <w:rFonts w:cs="Tahoma"/>
                <w:bCs/>
                <w:sz w:val="16"/>
                <w:szCs w:val="16"/>
              </w:rPr>
            </w:pPr>
            <w:r w:rsidRPr="002A0747">
              <w:rPr>
                <w:rFonts w:cs="Tahoma"/>
                <w:bCs/>
                <w:sz w:val="16"/>
                <w:szCs w:val="16"/>
              </w:rPr>
              <w:t>Pracovní schůzka se zadavatelem</w:t>
            </w:r>
          </w:p>
        </w:tc>
        <w:tc>
          <w:tcPr>
            <w:tcW w:w="2092" w:type="dxa"/>
            <w:vAlign w:val="center"/>
          </w:tcPr>
          <w:p w:rsidR="00652D78" w:rsidRPr="002A0747" w:rsidRDefault="00652D78" w:rsidP="00652D78">
            <w:pPr>
              <w:jc w:val="center"/>
              <w:rPr>
                <w:rFonts w:cs="Tahoma"/>
                <w:bCs/>
                <w:sz w:val="16"/>
                <w:szCs w:val="16"/>
              </w:rPr>
            </w:pPr>
            <w:r w:rsidRPr="002A0747">
              <w:rPr>
                <w:rFonts w:cs="Tahoma"/>
                <w:bCs/>
                <w:sz w:val="16"/>
                <w:szCs w:val="16"/>
              </w:rPr>
              <w:t>9. 5. 2013</w:t>
            </w:r>
          </w:p>
        </w:tc>
        <w:tc>
          <w:tcPr>
            <w:tcW w:w="2693" w:type="dxa"/>
            <w:shd w:val="clear" w:color="auto" w:fill="auto"/>
          </w:tcPr>
          <w:p w:rsidR="00652D78" w:rsidRPr="002A0747" w:rsidRDefault="00652D78" w:rsidP="00652D78">
            <w:pPr>
              <w:ind w:left="293"/>
              <w:jc w:val="left"/>
              <w:rPr>
                <w:rFonts w:cs="Tahoma"/>
                <w:bCs/>
                <w:sz w:val="16"/>
                <w:szCs w:val="16"/>
              </w:rPr>
            </w:pPr>
          </w:p>
        </w:tc>
      </w:tr>
      <w:tr w:rsidR="00E44AA4" w:rsidRPr="002A0747" w:rsidTr="004F4423">
        <w:trPr>
          <w:trHeight w:val="740"/>
        </w:trPr>
        <w:tc>
          <w:tcPr>
            <w:tcW w:w="4786" w:type="dxa"/>
            <w:shd w:val="clear" w:color="auto" w:fill="auto"/>
          </w:tcPr>
          <w:p w:rsidR="00E44AA4" w:rsidRPr="002A0747" w:rsidRDefault="00D27CC7" w:rsidP="00D27CC7">
            <w:pPr>
              <w:rPr>
                <w:rFonts w:cs="Tahoma"/>
                <w:bCs/>
                <w:sz w:val="16"/>
                <w:szCs w:val="16"/>
              </w:rPr>
            </w:pPr>
            <w:r w:rsidRPr="002A0747">
              <w:rPr>
                <w:rFonts w:cs="Tahoma"/>
                <w:bCs/>
                <w:sz w:val="16"/>
                <w:szCs w:val="16"/>
              </w:rPr>
              <w:t xml:space="preserve">Zpracování stanoviska ex-ante hodnotitele k připomínkám k první pracovní verzi OP PIK (v. 1-2) a </w:t>
            </w:r>
            <w:r w:rsidR="00AC02CC" w:rsidRPr="002A0747">
              <w:rPr>
                <w:rFonts w:cs="Tahoma"/>
                <w:bCs/>
                <w:sz w:val="16"/>
                <w:szCs w:val="16"/>
              </w:rPr>
              <w:t xml:space="preserve">ke </w:t>
            </w:r>
            <w:r w:rsidRPr="002A0747">
              <w:rPr>
                <w:rFonts w:cs="Tahoma"/>
                <w:bCs/>
                <w:sz w:val="16"/>
                <w:szCs w:val="16"/>
              </w:rPr>
              <w:t>způsobu jejich vypořádání ze strany MPO</w:t>
            </w:r>
          </w:p>
        </w:tc>
        <w:tc>
          <w:tcPr>
            <w:tcW w:w="2092" w:type="dxa"/>
            <w:vAlign w:val="center"/>
          </w:tcPr>
          <w:p w:rsidR="00E44AA4" w:rsidRPr="002A0747" w:rsidRDefault="00D27CC7" w:rsidP="00652D78">
            <w:pPr>
              <w:jc w:val="center"/>
              <w:rPr>
                <w:rFonts w:cs="Tahoma"/>
                <w:bCs/>
                <w:sz w:val="16"/>
                <w:szCs w:val="16"/>
              </w:rPr>
            </w:pPr>
            <w:r w:rsidRPr="002A0747">
              <w:rPr>
                <w:rFonts w:cs="Tahoma"/>
                <w:bCs/>
                <w:sz w:val="16"/>
                <w:szCs w:val="16"/>
              </w:rPr>
              <w:t>13. 5. 2013</w:t>
            </w:r>
          </w:p>
        </w:tc>
        <w:tc>
          <w:tcPr>
            <w:tcW w:w="2693" w:type="dxa"/>
            <w:shd w:val="clear" w:color="auto" w:fill="auto"/>
          </w:tcPr>
          <w:p w:rsidR="00E44AA4" w:rsidRPr="002A0747" w:rsidRDefault="00D27CC7" w:rsidP="00C6279B">
            <w:pPr>
              <w:numPr>
                <w:ilvl w:val="0"/>
                <w:numId w:val="5"/>
              </w:numPr>
              <w:ind w:left="293" w:hanging="284"/>
              <w:jc w:val="left"/>
              <w:rPr>
                <w:rFonts w:cs="Tahoma"/>
                <w:bCs/>
                <w:sz w:val="16"/>
                <w:szCs w:val="16"/>
              </w:rPr>
            </w:pPr>
            <w:r w:rsidRPr="002A0747">
              <w:rPr>
                <w:rFonts w:cs="Tahoma"/>
                <w:bCs/>
                <w:sz w:val="16"/>
                <w:szCs w:val="16"/>
              </w:rPr>
              <w:t>stanovisko ex-ante</w:t>
            </w:r>
          </w:p>
        </w:tc>
      </w:tr>
      <w:tr w:rsidR="00AC02CC" w:rsidRPr="002A0747" w:rsidTr="004F4423">
        <w:trPr>
          <w:trHeight w:val="411"/>
        </w:trPr>
        <w:tc>
          <w:tcPr>
            <w:tcW w:w="4786" w:type="dxa"/>
            <w:shd w:val="clear" w:color="auto" w:fill="auto"/>
          </w:tcPr>
          <w:p w:rsidR="00AC02CC" w:rsidRPr="002A0747" w:rsidRDefault="00AC02CC" w:rsidP="00AC02CC">
            <w:pPr>
              <w:rPr>
                <w:rFonts w:cs="Tahoma"/>
                <w:bCs/>
                <w:sz w:val="16"/>
                <w:szCs w:val="16"/>
              </w:rPr>
            </w:pPr>
            <w:r w:rsidRPr="002A0747">
              <w:rPr>
                <w:rFonts w:cs="Tahoma"/>
                <w:bCs/>
                <w:sz w:val="16"/>
                <w:szCs w:val="16"/>
              </w:rPr>
              <w:t>Účast na 3. jednání Platformy MPO pro přípravu OP PIK</w:t>
            </w:r>
          </w:p>
        </w:tc>
        <w:tc>
          <w:tcPr>
            <w:tcW w:w="2092" w:type="dxa"/>
            <w:vAlign w:val="center"/>
          </w:tcPr>
          <w:p w:rsidR="00AC02CC" w:rsidRPr="002A0747" w:rsidRDefault="00AC02CC" w:rsidP="00AC02CC">
            <w:pPr>
              <w:jc w:val="center"/>
              <w:rPr>
                <w:rFonts w:cs="Tahoma"/>
                <w:bCs/>
                <w:sz w:val="16"/>
                <w:szCs w:val="16"/>
              </w:rPr>
            </w:pPr>
            <w:r w:rsidRPr="002A0747">
              <w:rPr>
                <w:rFonts w:cs="Tahoma"/>
                <w:bCs/>
                <w:sz w:val="16"/>
                <w:szCs w:val="16"/>
              </w:rPr>
              <w:t>15. 5. 2013</w:t>
            </w:r>
          </w:p>
        </w:tc>
        <w:tc>
          <w:tcPr>
            <w:tcW w:w="2693" w:type="dxa"/>
            <w:shd w:val="clear" w:color="auto" w:fill="auto"/>
          </w:tcPr>
          <w:p w:rsidR="00AC02CC" w:rsidRPr="002A0747" w:rsidRDefault="00AC02CC" w:rsidP="00D27CC7">
            <w:pPr>
              <w:rPr>
                <w:rFonts w:cs="Tahoma"/>
                <w:bCs/>
                <w:sz w:val="16"/>
                <w:szCs w:val="16"/>
              </w:rPr>
            </w:pPr>
          </w:p>
        </w:tc>
      </w:tr>
      <w:tr w:rsidR="00E44AA4" w:rsidRPr="002A0747" w:rsidTr="004F4423">
        <w:trPr>
          <w:trHeight w:val="411"/>
        </w:trPr>
        <w:tc>
          <w:tcPr>
            <w:tcW w:w="4786" w:type="dxa"/>
            <w:shd w:val="clear" w:color="auto" w:fill="auto"/>
          </w:tcPr>
          <w:p w:rsidR="00E44AA4" w:rsidRPr="002A0747" w:rsidRDefault="00D27CC7" w:rsidP="00D27CC7">
            <w:pPr>
              <w:rPr>
                <w:rFonts w:cs="Tahoma"/>
                <w:bCs/>
                <w:sz w:val="16"/>
                <w:szCs w:val="16"/>
              </w:rPr>
            </w:pPr>
            <w:r w:rsidRPr="002A0747">
              <w:rPr>
                <w:rFonts w:cs="Tahoma"/>
                <w:bCs/>
                <w:sz w:val="16"/>
                <w:szCs w:val="16"/>
              </w:rPr>
              <w:t>Účast na jednání PS06 – Horizontální</w:t>
            </w:r>
          </w:p>
        </w:tc>
        <w:tc>
          <w:tcPr>
            <w:tcW w:w="2092" w:type="dxa"/>
            <w:vAlign w:val="center"/>
          </w:tcPr>
          <w:p w:rsidR="00E44AA4" w:rsidRPr="002A0747" w:rsidRDefault="00D27CC7" w:rsidP="00D27CC7">
            <w:pPr>
              <w:jc w:val="center"/>
              <w:rPr>
                <w:rFonts w:cs="Tahoma"/>
                <w:bCs/>
                <w:sz w:val="16"/>
                <w:szCs w:val="16"/>
              </w:rPr>
            </w:pPr>
            <w:r w:rsidRPr="002A0747">
              <w:rPr>
                <w:rFonts w:cs="Tahoma"/>
                <w:bCs/>
                <w:sz w:val="16"/>
                <w:szCs w:val="16"/>
              </w:rPr>
              <w:t>16. 5. 2013</w:t>
            </w:r>
          </w:p>
        </w:tc>
        <w:tc>
          <w:tcPr>
            <w:tcW w:w="2693" w:type="dxa"/>
            <w:shd w:val="clear" w:color="auto" w:fill="auto"/>
          </w:tcPr>
          <w:p w:rsidR="00E44AA4" w:rsidRPr="002A0747" w:rsidRDefault="00E44AA4" w:rsidP="00D27CC7">
            <w:pPr>
              <w:rPr>
                <w:rFonts w:cs="Tahoma"/>
                <w:bCs/>
                <w:sz w:val="16"/>
                <w:szCs w:val="16"/>
              </w:rPr>
            </w:pPr>
          </w:p>
        </w:tc>
      </w:tr>
      <w:tr w:rsidR="00AC02CC" w:rsidRPr="002A0747" w:rsidTr="004F4423">
        <w:trPr>
          <w:trHeight w:val="346"/>
        </w:trPr>
        <w:tc>
          <w:tcPr>
            <w:tcW w:w="4786" w:type="dxa"/>
            <w:shd w:val="clear" w:color="auto" w:fill="auto"/>
          </w:tcPr>
          <w:p w:rsidR="00AC02CC" w:rsidRPr="002A0747" w:rsidRDefault="00AC02CC" w:rsidP="00F97BF3">
            <w:pPr>
              <w:rPr>
                <w:rFonts w:cs="Tahoma"/>
                <w:bCs/>
                <w:sz w:val="16"/>
                <w:szCs w:val="16"/>
              </w:rPr>
            </w:pPr>
            <w:r w:rsidRPr="002A0747">
              <w:rPr>
                <w:rFonts w:cs="Tahoma"/>
                <w:bCs/>
                <w:sz w:val="16"/>
                <w:szCs w:val="16"/>
              </w:rPr>
              <w:t xml:space="preserve">Zpracování </w:t>
            </w:r>
            <w:r w:rsidR="00F97BF3" w:rsidRPr="002A0747">
              <w:rPr>
                <w:rFonts w:cs="Tahoma"/>
                <w:bCs/>
                <w:sz w:val="16"/>
                <w:szCs w:val="16"/>
              </w:rPr>
              <w:t>podkladů k </w:t>
            </w:r>
            <w:r w:rsidRPr="002A0747">
              <w:rPr>
                <w:rFonts w:cs="Tahoma"/>
                <w:bCs/>
                <w:sz w:val="16"/>
                <w:szCs w:val="16"/>
              </w:rPr>
              <w:t>připomínk</w:t>
            </w:r>
            <w:r w:rsidR="00F97BF3" w:rsidRPr="002A0747">
              <w:rPr>
                <w:rFonts w:cs="Tahoma"/>
                <w:bCs/>
                <w:sz w:val="16"/>
                <w:szCs w:val="16"/>
              </w:rPr>
              <w:t>ám MPO</w:t>
            </w:r>
            <w:r w:rsidRPr="002A0747">
              <w:rPr>
                <w:rFonts w:cs="Tahoma"/>
                <w:bCs/>
                <w:sz w:val="16"/>
                <w:szCs w:val="16"/>
              </w:rPr>
              <w:t xml:space="preserve"> k návrhu Metodického pokynu MMR pro využití integrovaných přístupů v programech ESIF 2014 – 2020 (v. 3, květen 2013)</w:t>
            </w:r>
          </w:p>
        </w:tc>
        <w:tc>
          <w:tcPr>
            <w:tcW w:w="2092" w:type="dxa"/>
            <w:vAlign w:val="center"/>
          </w:tcPr>
          <w:p w:rsidR="00AC02CC" w:rsidRPr="002A0747" w:rsidRDefault="00AC02CC" w:rsidP="00652D78">
            <w:pPr>
              <w:jc w:val="center"/>
              <w:rPr>
                <w:rFonts w:cs="Tahoma"/>
                <w:bCs/>
                <w:sz w:val="16"/>
                <w:szCs w:val="16"/>
              </w:rPr>
            </w:pPr>
            <w:r w:rsidRPr="002A0747">
              <w:rPr>
                <w:rFonts w:cs="Tahoma"/>
                <w:bCs/>
                <w:sz w:val="16"/>
                <w:szCs w:val="16"/>
              </w:rPr>
              <w:t>16. 5. 2013</w:t>
            </w:r>
          </w:p>
        </w:tc>
        <w:tc>
          <w:tcPr>
            <w:tcW w:w="2693" w:type="dxa"/>
            <w:shd w:val="clear" w:color="auto" w:fill="auto"/>
          </w:tcPr>
          <w:p w:rsidR="00AC02CC" w:rsidRPr="002A0747" w:rsidRDefault="00F97BF3" w:rsidP="00C6279B">
            <w:pPr>
              <w:numPr>
                <w:ilvl w:val="0"/>
                <w:numId w:val="5"/>
              </w:numPr>
              <w:ind w:left="293" w:hanging="284"/>
              <w:jc w:val="left"/>
              <w:rPr>
                <w:rFonts w:cs="Tahoma"/>
                <w:bCs/>
                <w:sz w:val="16"/>
                <w:szCs w:val="16"/>
              </w:rPr>
            </w:pPr>
            <w:r w:rsidRPr="002A0747">
              <w:rPr>
                <w:rFonts w:cs="Tahoma"/>
                <w:bCs/>
                <w:sz w:val="16"/>
                <w:szCs w:val="16"/>
              </w:rPr>
              <w:t>podklady/vstupy</w:t>
            </w:r>
            <w:r w:rsidR="00AC02CC" w:rsidRPr="002A0747">
              <w:rPr>
                <w:rFonts w:cs="Tahoma"/>
                <w:bCs/>
                <w:sz w:val="16"/>
                <w:szCs w:val="16"/>
              </w:rPr>
              <w:t xml:space="preserve"> ex-ante</w:t>
            </w:r>
          </w:p>
        </w:tc>
      </w:tr>
      <w:tr w:rsidR="00AC02CC" w:rsidRPr="002A0747" w:rsidTr="004F4423">
        <w:trPr>
          <w:trHeight w:val="346"/>
        </w:trPr>
        <w:tc>
          <w:tcPr>
            <w:tcW w:w="4786" w:type="dxa"/>
            <w:shd w:val="clear" w:color="auto" w:fill="auto"/>
          </w:tcPr>
          <w:p w:rsidR="00AC02CC" w:rsidRPr="002A0747" w:rsidRDefault="00AC02CC" w:rsidP="00652D78">
            <w:pPr>
              <w:rPr>
                <w:rFonts w:cs="Tahoma"/>
                <w:bCs/>
                <w:sz w:val="16"/>
                <w:szCs w:val="16"/>
              </w:rPr>
            </w:pPr>
            <w:r w:rsidRPr="002A0747">
              <w:rPr>
                <w:rFonts w:cs="Tahoma"/>
                <w:bCs/>
                <w:sz w:val="16"/>
                <w:szCs w:val="16"/>
              </w:rPr>
              <w:t>Zpracování podkladů pro prezentaci OP PIK na jednání s EK dne 24. 5. 2013</w:t>
            </w:r>
          </w:p>
        </w:tc>
        <w:tc>
          <w:tcPr>
            <w:tcW w:w="2092" w:type="dxa"/>
            <w:vAlign w:val="center"/>
          </w:tcPr>
          <w:p w:rsidR="00AC02CC" w:rsidRPr="002A0747" w:rsidRDefault="00AC02CC" w:rsidP="00652D78">
            <w:pPr>
              <w:jc w:val="center"/>
              <w:rPr>
                <w:rFonts w:cs="Tahoma"/>
                <w:bCs/>
                <w:sz w:val="16"/>
                <w:szCs w:val="16"/>
              </w:rPr>
            </w:pPr>
            <w:r w:rsidRPr="002A0747">
              <w:rPr>
                <w:rFonts w:cs="Tahoma"/>
                <w:bCs/>
                <w:sz w:val="16"/>
                <w:szCs w:val="16"/>
              </w:rPr>
              <w:t>18. 5. 2013</w:t>
            </w:r>
          </w:p>
        </w:tc>
        <w:tc>
          <w:tcPr>
            <w:tcW w:w="2693" w:type="dxa"/>
            <w:shd w:val="clear" w:color="auto" w:fill="auto"/>
          </w:tcPr>
          <w:p w:rsidR="00AC02CC" w:rsidRPr="002A0747" w:rsidRDefault="00AC02CC" w:rsidP="00C6279B">
            <w:pPr>
              <w:numPr>
                <w:ilvl w:val="0"/>
                <w:numId w:val="5"/>
              </w:numPr>
              <w:ind w:left="293" w:hanging="284"/>
              <w:jc w:val="left"/>
              <w:rPr>
                <w:rFonts w:cs="Tahoma"/>
                <w:bCs/>
                <w:sz w:val="16"/>
                <w:szCs w:val="16"/>
              </w:rPr>
            </w:pPr>
            <w:r w:rsidRPr="002A0747">
              <w:rPr>
                <w:rFonts w:cs="Tahoma"/>
                <w:bCs/>
                <w:sz w:val="16"/>
                <w:szCs w:val="16"/>
              </w:rPr>
              <w:t>podklady pro prezentaci</w:t>
            </w:r>
          </w:p>
        </w:tc>
      </w:tr>
      <w:tr w:rsidR="00652D78" w:rsidRPr="002A0747" w:rsidTr="004F4423">
        <w:trPr>
          <w:trHeight w:val="346"/>
        </w:trPr>
        <w:tc>
          <w:tcPr>
            <w:tcW w:w="4786" w:type="dxa"/>
            <w:shd w:val="clear" w:color="auto" w:fill="auto"/>
          </w:tcPr>
          <w:p w:rsidR="00652D78" w:rsidRPr="002A0747" w:rsidRDefault="00652D78" w:rsidP="00AC02CC">
            <w:pPr>
              <w:rPr>
                <w:rFonts w:cs="Tahoma"/>
                <w:bCs/>
                <w:sz w:val="16"/>
                <w:szCs w:val="16"/>
              </w:rPr>
            </w:pPr>
            <w:r w:rsidRPr="002A0747">
              <w:rPr>
                <w:rFonts w:cs="Tahoma"/>
                <w:bCs/>
                <w:sz w:val="16"/>
                <w:szCs w:val="16"/>
              </w:rPr>
              <w:t>Pracovní schůzka se zadavatelem</w:t>
            </w:r>
          </w:p>
        </w:tc>
        <w:tc>
          <w:tcPr>
            <w:tcW w:w="2092" w:type="dxa"/>
            <w:vAlign w:val="center"/>
          </w:tcPr>
          <w:p w:rsidR="00652D78" w:rsidRPr="002A0747" w:rsidRDefault="00652D78" w:rsidP="00652D78">
            <w:pPr>
              <w:jc w:val="center"/>
              <w:rPr>
                <w:rFonts w:cs="Tahoma"/>
                <w:bCs/>
                <w:sz w:val="16"/>
                <w:szCs w:val="16"/>
              </w:rPr>
            </w:pPr>
            <w:r w:rsidRPr="002A0747">
              <w:rPr>
                <w:rFonts w:cs="Tahoma"/>
                <w:bCs/>
                <w:sz w:val="16"/>
                <w:szCs w:val="16"/>
              </w:rPr>
              <w:t>24. 5. 2013</w:t>
            </w:r>
          </w:p>
        </w:tc>
        <w:tc>
          <w:tcPr>
            <w:tcW w:w="2693" w:type="dxa"/>
            <w:shd w:val="clear" w:color="auto" w:fill="auto"/>
          </w:tcPr>
          <w:p w:rsidR="00652D78" w:rsidRPr="002A0747" w:rsidRDefault="00652D78" w:rsidP="00652D78">
            <w:pPr>
              <w:ind w:left="293"/>
              <w:jc w:val="left"/>
              <w:rPr>
                <w:rFonts w:cs="Tahoma"/>
                <w:bCs/>
                <w:sz w:val="16"/>
                <w:szCs w:val="16"/>
              </w:rPr>
            </w:pPr>
          </w:p>
        </w:tc>
      </w:tr>
      <w:tr w:rsidR="00AC02CC" w:rsidRPr="002A0747" w:rsidTr="004F4423">
        <w:trPr>
          <w:trHeight w:val="346"/>
        </w:trPr>
        <w:tc>
          <w:tcPr>
            <w:tcW w:w="4786" w:type="dxa"/>
            <w:shd w:val="clear" w:color="auto" w:fill="auto"/>
          </w:tcPr>
          <w:p w:rsidR="00AC02CC" w:rsidRPr="002A0747" w:rsidRDefault="00AC02CC" w:rsidP="00AC02CC">
            <w:pPr>
              <w:rPr>
                <w:rFonts w:cs="Tahoma"/>
                <w:bCs/>
                <w:sz w:val="16"/>
                <w:szCs w:val="16"/>
              </w:rPr>
            </w:pPr>
            <w:r w:rsidRPr="002A0747">
              <w:rPr>
                <w:rFonts w:cs="Tahoma"/>
                <w:bCs/>
                <w:sz w:val="16"/>
                <w:szCs w:val="16"/>
              </w:rPr>
              <w:t xml:space="preserve">Zpracování připomínek a doplnění k návrhu indikátorů do </w:t>
            </w:r>
            <w:proofErr w:type="gramStart"/>
            <w:r w:rsidRPr="002A0747">
              <w:rPr>
                <w:rFonts w:cs="Tahoma"/>
                <w:bCs/>
                <w:sz w:val="16"/>
                <w:szCs w:val="16"/>
              </w:rPr>
              <w:t>OP</w:t>
            </w:r>
            <w:proofErr w:type="gramEnd"/>
            <w:r w:rsidRPr="002A0747">
              <w:rPr>
                <w:rFonts w:cs="Tahoma"/>
                <w:bCs/>
                <w:sz w:val="16"/>
                <w:szCs w:val="16"/>
              </w:rPr>
              <w:t xml:space="preserve"> PIK </w:t>
            </w:r>
          </w:p>
        </w:tc>
        <w:tc>
          <w:tcPr>
            <w:tcW w:w="2092" w:type="dxa"/>
            <w:vAlign w:val="center"/>
          </w:tcPr>
          <w:p w:rsidR="00AC02CC" w:rsidRPr="002A0747" w:rsidRDefault="00AC02CC" w:rsidP="00652D78">
            <w:pPr>
              <w:jc w:val="center"/>
              <w:rPr>
                <w:rFonts w:cs="Tahoma"/>
                <w:bCs/>
                <w:sz w:val="16"/>
                <w:szCs w:val="16"/>
              </w:rPr>
            </w:pPr>
            <w:r w:rsidRPr="002A0747">
              <w:rPr>
                <w:rFonts w:cs="Tahoma"/>
                <w:bCs/>
                <w:sz w:val="16"/>
                <w:szCs w:val="16"/>
              </w:rPr>
              <w:t>5. 6. 2013</w:t>
            </w:r>
          </w:p>
        </w:tc>
        <w:tc>
          <w:tcPr>
            <w:tcW w:w="2693" w:type="dxa"/>
            <w:shd w:val="clear" w:color="auto" w:fill="auto"/>
          </w:tcPr>
          <w:p w:rsidR="00AC02CC" w:rsidRPr="002A0747" w:rsidRDefault="00AC02CC" w:rsidP="00C6279B">
            <w:pPr>
              <w:numPr>
                <w:ilvl w:val="0"/>
                <w:numId w:val="5"/>
              </w:numPr>
              <w:ind w:left="293" w:hanging="284"/>
              <w:jc w:val="left"/>
              <w:rPr>
                <w:rFonts w:cs="Tahoma"/>
                <w:bCs/>
                <w:sz w:val="16"/>
                <w:szCs w:val="16"/>
              </w:rPr>
            </w:pPr>
            <w:r w:rsidRPr="002A0747">
              <w:rPr>
                <w:rFonts w:cs="Tahoma"/>
                <w:bCs/>
                <w:sz w:val="16"/>
                <w:szCs w:val="16"/>
              </w:rPr>
              <w:t>formou revizí a komentářů v textu návrhu MPO</w:t>
            </w:r>
          </w:p>
        </w:tc>
      </w:tr>
      <w:tr w:rsidR="00652D78" w:rsidRPr="002A0747" w:rsidTr="00652D78">
        <w:trPr>
          <w:trHeight w:val="346"/>
        </w:trPr>
        <w:tc>
          <w:tcPr>
            <w:tcW w:w="4786" w:type="dxa"/>
            <w:shd w:val="clear" w:color="auto" w:fill="auto"/>
          </w:tcPr>
          <w:p w:rsidR="00652D78" w:rsidRPr="002A0747" w:rsidRDefault="00652D78" w:rsidP="00652D78">
            <w:pPr>
              <w:rPr>
                <w:rFonts w:cs="Tahoma"/>
                <w:bCs/>
                <w:sz w:val="16"/>
                <w:szCs w:val="16"/>
              </w:rPr>
            </w:pPr>
            <w:r w:rsidRPr="002A0747">
              <w:rPr>
                <w:rFonts w:cs="Tahoma"/>
                <w:bCs/>
                <w:sz w:val="16"/>
                <w:szCs w:val="16"/>
              </w:rPr>
              <w:t>Pracovní schůzka se zadavatelem (indikátory)</w:t>
            </w:r>
          </w:p>
        </w:tc>
        <w:tc>
          <w:tcPr>
            <w:tcW w:w="2092" w:type="dxa"/>
            <w:vAlign w:val="center"/>
          </w:tcPr>
          <w:p w:rsidR="00652D78" w:rsidRPr="002A0747" w:rsidRDefault="00652D78" w:rsidP="00652D78">
            <w:pPr>
              <w:jc w:val="center"/>
              <w:rPr>
                <w:rFonts w:cs="Tahoma"/>
                <w:bCs/>
                <w:sz w:val="16"/>
                <w:szCs w:val="16"/>
              </w:rPr>
            </w:pPr>
            <w:r w:rsidRPr="002A0747">
              <w:rPr>
                <w:rFonts w:cs="Tahoma"/>
                <w:bCs/>
                <w:sz w:val="16"/>
                <w:szCs w:val="16"/>
              </w:rPr>
              <w:t>10. 6. 2013</w:t>
            </w:r>
          </w:p>
        </w:tc>
        <w:tc>
          <w:tcPr>
            <w:tcW w:w="2693" w:type="dxa"/>
            <w:shd w:val="clear" w:color="auto" w:fill="auto"/>
          </w:tcPr>
          <w:p w:rsidR="00652D78" w:rsidRPr="002A0747" w:rsidRDefault="00652D78" w:rsidP="00652D78">
            <w:pPr>
              <w:ind w:left="293"/>
              <w:jc w:val="left"/>
              <w:rPr>
                <w:rFonts w:cs="Tahoma"/>
                <w:bCs/>
                <w:sz w:val="16"/>
                <w:szCs w:val="16"/>
              </w:rPr>
            </w:pPr>
          </w:p>
        </w:tc>
      </w:tr>
      <w:tr w:rsidR="00AC02CC" w:rsidRPr="002A0747" w:rsidTr="004F4423">
        <w:trPr>
          <w:trHeight w:val="346"/>
        </w:trPr>
        <w:tc>
          <w:tcPr>
            <w:tcW w:w="4786" w:type="dxa"/>
            <w:shd w:val="clear" w:color="auto" w:fill="auto"/>
          </w:tcPr>
          <w:p w:rsidR="00AC02CC" w:rsidRPr="002A0747" w:rsidRDefault="004F4423" w:rsidP="004F4423">
            <w:pPr>
              <w:rPr>
                <w:rFonts w:cs="Tahoma"/>
                <w:bCs/>
                <w:sz w:val="16"/>
                <w:szCs w:val="16"/>
              </w:rPr>
            </w:pPr>
            <w:r w:rsidRPr="002A0747">
              <w:rPr>
                <w:rFonts w:cs="Tahoma"/>
                <w:bCs/>
                <w:sz w:val="16"/>
                <w:szCs w:val="16"/>
              </w:rPr>
              <w:t>Zpracování komentářů a připomínek k teoriím změn specifických cílů OP PIK (v. 5. 4. 2013)</w:t>
            </w:r>
          </w:p>
        </w:tc>
        <w:tc>
          <w:tcPr>
            <w:tcW w:w="2092" w:type="dxa"/>
            <w:vAlign w:val="center"/>
          </w:tcPr>
          <w:p w:rsidR="00AC02CC" w:rsidRPr="002A0747" w:rsidRDefault="004F4423" w:rsidP="00652D78">
            <w:pPr>
              <w:jc w:val="center"/>
              <w:rPr>
                <w:rFonts w:cs="Tahoma"/>
                <w:bCs/>
                <w:sz w:val="16"/>
                <w:szCs w:val="16"/>
              </w:rPr>
            </w:pPr>
            <w:r w:rsidRPr="002A0747">
              <w:rPr>
                <w:rFonts w:cs="Tahoma"/>
                <w:bCs/>
                <w:sz w:val="16"/>
                <w:szCs w:val="16"/>
              </w:rPr>
              <w:t>11. 6. 2013</w:t>
            </w:r>
          </w:p>
        </w:tc>
        <w:tc>
          <w:tcPr>
            <w:tcW w:w="2693" w:type="dxa"/>
            <w:shd w:val="clear" w:color="auto" w:fill="auto"/>
          </w:tcPr>
          <w:p w:rsidR="00AC02CC" w:rsidRPr="002A0747" w:rsidRDefault="004F4423" w:rsidP="00C6279B">
            <w:pPr>
              <w:numPr>
                <w:ilvl w:val="0"/>
                <w:numId w:val="5"/>
              </w:numPr>
              <w:ind w:left="293" w:hanging="284"/>
              <w:jc w:val="left"/>
              <w:rPr>
                <w:rFonts w:cs="Tahoma"/>
                <w:bCs/>
                <w:sz w:val="16"/>
                <w:szCs w:val="16"/>
              </w:rPr>
            </w:pPr>
            <w:r w:rsidRPr="002A0747">
              <w:rPr>
                <w:rFonts w:cs="Tahoma"/>
                <w:bCs/>
                <w:sz w:val="16"/>
                <w:szCs w:val="16"/>
              </w:rPr>
              <w:t>formou revizí a komentářů v tabulkách TZ + průvodní text</w:t>
            </w:r>
          </w:p>
        </w:tc>
      </w:tr>
      <w:tr w:rsidR="00AC02CC" w:rsidRPr="002A0747" w:rsidTr="004F4423">
        <w:trPr>
          <w:trHeight w:val="346"/>
        </w:trPr>
        <w:tc>
          <w:tcPr>
            <w:tcW w:w="4786" w:type="dxa"/>
            <w:shd w:val="clear" w:color="auto" w:fill="auto"/>
          </w:tcPr>
          <w:p w:rsidR="00AC02CC" w:rsidRPr="002A0747" w:rsidRDefault="004F4423" w:rsidP="004F4423">
            <w:pPr>
              <w:rPr>
                <w:rFonts w:cs="Tahoma"/>
                <w:bCs/>
                <w:sz w:val="16"/>
                <w:szCs w:val="16"/>
              </w:rPr>
            </w:pPr>
            <w:r w:rsidRPr="002A0747">
              <w:rPr>
                <w:rFonts w:cs="Tahoma"/>
                <w:bCs/>
                <w:sz w:val="16"/>
                <w:szCs w:val="16"/>
              </w:rPr>
              <w:t xml:space="preserve">Zpracování komentářů a připomínek k návrhu milníků </w:t>
            </w:r>
            <w:r w:rsidR="00652D78" w:rsidRPr="002A0747">
              <w:rPr>
                <w:rFonts w:cs="Tahoma"/>
                <w:bCs/>
                <w:sz w:val="16"/>
                <w:szCs w:val="16"/>
              </w:rPr>
              <w:t xml:space="preserve">do </w:t>
            </w:r>
            <w:proofErr w:type="gramStart"/>
            <w:r w:rsidRPr="002A0747">
              <w:rPr>
                <w:rFonts w:cs="Tahoma"/>
                <w:bCs/>
                <w:sz w:val="16"/>
                <w:szCs w:val="16"/>
              </w:rPr>
              <w:t>OP</w:t>
            </w:r>
            <w:proofErr w:type="gramEnd"/>
            <w:r w:rsidRPr="002A0747">
              <w:rPr>
                <w:rFonts w:cs="Tahoma"/>
                <w:bCs/>
                <w:sz w:val="16"/>
                <w:szCs w:val="16"/>
              </w:rPr>
              <w:t xml:space="preserve"> PIK</w:t>
            </w:r>
          </w:p>
        </w:tc>
        <w:tc>
          <w:tcPr>
            <w:tcW w:w="2092" w:type="dxa"/>
            <w:vAlign w:val="center"/>
          </w:tcPr>
          <w:p w:rsidR="00AC02CC" w:rsidRPr="002A0747" w:rsidRDefault="004F4423" w:rsidP="00652D78">
            <w:pPr>
              <w:jc w:val="center"/>
              <w:rPr>
                <w:rFonts w:cs="Tahoma"/>
                <w:bCs/>
                <w:sz w:val="16"/>
                <w:szCs w:val="16"/>
              </w:rPr>
            </w:pPr>
            <w:r w:rsidRPr="002A0747">
              <w:rPr>
                <w:rFonts w:cs="Tahoma"/>
                <w:bCs/>
                <w:sz w:val="16"/>
                <w:szCs w:val="16"/>
              </w:rPr>
              <w:t>18. 6. 2013</w:t>
            </w:r>
          </w:p>
        </w:tc>
        <w:tc>
          <w:tcPr>
            <w:tcW w:w="2693" w:type="dxa"/>
            <w:shd w:val="clear" w:color="auto" w:fill="auto"/>
          </w:tcPr>
          <w:p w:rsidR="00AC02CC" w:rsidRPr="002A0747" w:rsidRDefault="004F4423" w:rsidP="00C6279B">
            <w:pPr>
              <w:numPr>
                <w:ilvl w:val="0"/>
                <w:numId w:val="5"/>
              </w:numPr>
              <w:ind w:left="293" w:hanging="284"/>
              <w:jc w:val="left"/>
              <w:rPr>
                <w:rFonts w:cs="Tahoma"/>
                <w:bCs/>
                <w:sz w:val="16"/>
                <w:szCs w:val="16"/>
              </w:rPr>
            </w:pPr>
            <w:r w:rsidRPr="002A0747">
              <w:rPr>
                <w:rFonts w:cs="Tahoma"/>
                <w:bCs/>
                <w:sz w:val="16"/>
                <w:szCs w:val="16"/>
              </w:rPr>
              <w:t>připomínky ex-ante (e-mail)</w:t>
            </w:r>
          </w:p>
        </w:tc>
      </w:tr>
      <w:tr w:rsidR="007847A4" w:rsidRPr="002A0747" w:rsidTr="007847A4">
        <w:trPr>
          <w:trHeight w:val="411"/>
        </w:trPr>
        <w:tc>
          <w:tcPr>
            <w:tcW w:w="4786" w:type="dxa"/>
            <w:shd w:val="clear" w:color="auto" w:fill="auto"/>
          </w:tcPr>
          <w:p w:rsidR="007847A4" w:rsidRPr="002A0747" w:rsidRDefault="007847A4" w:rsidP="007847A4">
            <w:pPr>
              <w:rPr>
                <w:rFonts w:cs="Tahoma"/>
                <w:bCs/>
                <w:sz w:val="16"/>
                <w:szCs w:val="16"/>
              </w:rPr>
            </w:pPr>
            <w:r w:rsidRPr="002A0747">
              <w:rPr>
                <w:rFonts w:cs="Tahoma"/>
                <w:bCs/>
                <w:sz w:val="16"/>
                <w:szCs w:val="16"/>
              </w:rPr>
              <w:t>Účast a prezentace na 4. jednání Platformy MPO pro přípravu OP PIK</w:t>
            </w:r>
          </w:p>
        </w:tc>
        <w:tc>
          <w:tcPr>
            <w:tcW w:w="2092" w:type="dxa"/>
            <w:vAlign w:val="center"/>
          </w:tcPr>
          <w:p w:rsidR="007847A4" w:rsidRPr="002A0747" w:rsidRDefault="007847A4" w:rsidP="007847A4">
            <w:pPr>
              <w:jc w:val="center"/>
              <w:rPr>
                <w:rFonts w:cs="Tahoma"/>
                <w:bCs/>
                <w:sz w:val="16"/>
                <w:szCs w:val="16"/>
              </w:rPr>
            </w:pPr>
            <w:r w:rsidRPr="002A0747">
              <w:rPr>
                <w:rFonts w:cs="Tahoma"/>
                <w:bCs/>
                <w:sz w:val="16"/>
                <w:szCs w:val="16"/>
              </w:rPr>
              <w:t>26. 6. 2013</w:t>
            </w:r>
          </w:p>
        </w:tc>
        <w:tc>
          <w:tcPr>
            <w:tcW w:w="2693" w:type="dxa"/>
            <w:shd w:val="clear" w:color="auto" w:fill="auto"/>
          </w:tcPr>
          <w:p w:rsidR="007847A4" w:rsidRPr="002A0747" w:rsidRDefault="00F94389" w:rsidP="00C6279B">
            <w:pPr>
              <w:numPr>
                <w:ilvl w:val="0"/>
                <w:numId w:val="5"/>
              </w:numPr>
              <w:ind w:left="293" w:hanging="284"/>
              <w:jc w:val="left"/>
              <w:rPr>
                <w:rFonts w:cs="Tahoma"/>
                <w:bCs/>
                <w:sz w:val="16"/>
                <w:szCs w:val="16"/>
              </w:rPr>
            </w:pPr>
            <w:r w:rsidRPr="002A0747">
              <w:rPr>
                <w:rFonts w:cs="Tahoma"/>
                <w:bCs/>
                <w:sz w:val="16"/>
                <w:szCs w:val="16"/>
              </w:rPr>
              <w:t>prezentace</w:t>
            </w:r>
          </w:p>
        </w:tc>
      </w:tr>
      <w:tr w:rsidR="00AC02CC" w:rsidRPr="002A0747" w:rsidTr="004F4423">
        <w:trPr>
          <w:trHeight w:val="346"/>
        </w:trPr>
        <w:tc>
          <w:tcPr>
            <w:tcW w:w="4786" w:type="dxa"/>
            <w:shd w:val="clear" w:color="auto" w:fill="auto"/>
          </w:tcPr>
          <w:p w:rsidR="00AC02CC" w:rsidRPr="002A0747" w:rsidRDefault="00B20E05" w:rsidP="00A623FA">
            <w:pPr>
              <w:rPr>
                <w:rFonts w:cs="Tahoma"/>
                <w:bCs/>
                <w:sz w:val="16"/>
                <w:szCs w:val="16"/>
              </w:rPr>
            </w:pPr>
            <w:r w:rsidRPr="002A0747">
              <w:rPr>
                <w:rFonts w:cs="Tahoma"/>
                <w:bCs/>
                <w:sz w:val="16"/>
                <w:szCs w:val="16"/>
              </w:rPr>
              <w:t>Zp</w:t>
            </w:r>
            <w:r w:rsidR="00486697" w:rsidRPr="002A0747">
              <w:rPr>
                <w:rFonts w:cs="Tahoma"/>
                <w:bCs/>
                <w:sz w:val="16"/>
                <w:szCs w:val="16"/>
              </w:rPr>
              <w:t>racování průběžné zprávy ex-</w:t>
            </w:r>
            <w:r w:rsidRPr="002A0747">
              <w:rPr>
                <w:rFonts w:cs="Tahoma"/>
                <w:bCs/>
                <w:sz w:val="16"/>
                <w:szCs w:val="16"/>
              </w:rPr>
              <w:t>a</w:t>
            </w:r>
            <w:r w:rsidR="00486697" w:rsidRPr="002A0747">
              <w:rPr>
                <w:rFonts w:cs="Tahoma"/>
                <w:bCs/>
                <w:sz w:val="16"/>
                <w:szCs w:val="16"/>
              </w:rPr>
              <w:t>n</w:t>
            </w:r>
            <w:r w:rsidRPr="002A0747">
              <w:rPr>
                <w:rFonts w:cs="Tahoma"/>
                <w:bCs/>
                <w:sz w:val="16"/>
                <w:szCs w:val="16"/>
              </w:rPr>
              <w:t>te hodnocení OP PIK</w:t>
            </w:r>
          </w:p>
        </w:tc>
        <w:tc>
          <w:tcPr>
            <w:tcW w:w="2092" w:type="dxa"/>
            <w:vAlign w:val="center"/>
          </w:tcPr>
          <w:p w:rsidR="00AC02CC" w:rsidRPr="002A0747" w:rsidRDefault="00B20E05" w:rsidP="00652D78">
            <w:pPr>
              <w:jc w:val="center"/>
              <w:rPr>
                <w:rFonts w:cs="Tahoma"/>
                <w:bCs/>
                <w:sz w:val="16"/>
                <w:szCs w:val="16"/>
              </w:rPr>
            </w:pPr>
            <w:r w:rsidRPr="002A0747">
              <w:rPr>
                <w:rFonts w:cs="Tahoma"/>
                <w:bCs/>
                <w:sz w:val="16"/>
                <w:szCs w:val="16"/>
              </w:rPr>
              <w:t>28. 6. 2013</w:t>
            </w:r>
          </w:p>
        </w:tc>
        <w:tc>
          <w:tcPr>
            <w:tcW w:w="2693" w:type="dxa"/>
            <w:shd w:val="clear" w:color="auto" w:fill="auto"/>
          </w:tcPr>
          <w:p w:rsidR="00AC02CC" w:rsidRPr="002A0747" w:rsidRDefault="008439DC" w:rsidP="00C6279B">
            <w:pPr>
              <w:numPr>
                <w:ilvl w:val="0"/>
                <w:numId w:val="5"/>
              </w:numPr>
              <w:ind w:left="293" w:hanging="284"/>
              <w:jc w:val="left"/>
              <w:rPr>
                <w:rFonts w:cs="Tahoma"/>
                <w:bCs/>
                <w:sz w:val="16"/>
                <w:szCs w:val="16"/>
              </w:rPr>
            </w:pPr>
            <w:r w:rsidRPr="002A0747">
              <w:rPr>
                <w:rFonts w:cs="Tahoma"/>
                <w:bCs/>
                <w:sz w:val="16"/>
                <w:szCs w:val="16"/>
              </w:rPr>
              <w:t xml:space="preserve">2. </w:t>
            </w:r>
            <w:r w:rsidR="00B20E05" w:rsidRPr="002A0747">
              <w:rPr>
                <w:rFonts w:cs="Tahoma"/>
                <w:bCs/>
                <w:sz w:val="16"/>
                <w:szCs w:val="16"/>
              </w:rPr>
              <w:t>průběžná zpráva</w:t>
            </w:r>
          </w:p>
        </w:tc>
      </w:tr>
      <w:tr w:rsidR="008439DC" w:rsidRPr="002A0747" w:rsidTr="008439DC">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8439DC" w:rsidRPr="002A0747" w:rsidRDefault="00E139C2" w:rsidP="00E139C2">
            <w:pPr>
              <w:rPr>
                <w:rFonts w:cs="Tahoma"/>
                <w:bCs/>
                <w:sz w:val="16"/>
                <w:szCs w:val="16"/>
              </w:rPr>
            </w:pPr>
            <w:r w:rsidRPr="002A0747">
              <w:rPr>
                <w:rFonts w:cs="Tahoma"/>
                <w:bCs/>
                <w:sz w:val="16"/>
                <w:szCs w:val="16"/>
              </w:rPr>
              <w:t>Pracovní jednání k prioritní ose 4</w:t>
            </w:r>
          </w:p>
        </w:tc>
        <w:tc>
          <w:tcPr>
            <w:tcW w:w="2092" w:type="dxa"/>
            <w:tcBorders>
              <w:top w:val="single" w:sz="4" w:space="0" w:color="auto"/>
              <w:left w:val="single" w:sz="4" w:space="0" w:color="auto"/>
              <w:bottom w:val="single" w:sz="4" w:space="0" w:color="auto"/>
              <w:right w:val="single" w:sz="4" w:space="0" w:color="auto"/>
            </w:tcBorders>
            <w:vAlign w:val="center"/>
          </w:tcPr>
          <w:p w:rsidR="008439DC" w:rsidRPr="002A0747" w:rsidRDefault="00E139C2" w:rsidP="00E139C2">
            <w:pPr>
              <w:jc w:val="center"/>
              <w:rPr>
                <w:rFonts w:cs="Tahoma"/>
                <w:bCs/>
                <w:sz w:val="16"/>
                <w:szCs w:val="16"/>
              </w:rPr>
            </w:pPr>
            <w:r w:rsidRPr="002A0747">
              <w:rPr>
                <w:rFonts w:cs="Tahoma"/>
                <w:bCs/>
                <w:sz w:val="16"/>
                <w:szCs w:val="16"/>
              </w:rPr>
              <w:t xml:space="preserve">1. 7. 2013 </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8439DC" w:rsidRPr="002A0747" w:rsidRDefault="008439DC" w:rsidP="008439DC">
            <w:pPr>
              <w:jc w:val="left"/>
              <w:rPr>
                <w:rFonts w:cs="Tahoma"/>
                <w:bCs/>
                <w:sz w:val="16"/>
                <w:szCs w:val="16"/>
              </w:rPr>
            </w:pPr>
          </w:p>
        </w:tc>
      </w:tr>
      <w:tr w:rsidR="00E139C2" w:rsidRPr="002A0747" w:rsidTr="008439DC">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E139C2" w:rsidRPr="002A0747" w:rsidRDefault="00E139C2" w:rsidP="00FD69E6">
            <w:pPr>
              <w:rPr>
                <w:rFonts w:cs="Tahoma"/>
                <w:bCs/>
                <w:sz w:val="16"/>
                <w:szCs w:val="16"/>
              </w:rPr>
            </w:pPr>
            <w:r w:rsidRPr="002A0747">
              <w:rPr>
                <w:rFonts w:cs="Tahoma"/>
                <w:bCs/>
                <w:sz w:val="16"/>
                <w:szCs w:val="16"/>
              </w:rPr>
              <w:t>Pracovní schůzka se zadavatelem</w:t>
            </w:r>
          </w:p>
        </w:tc>
        <w:tc>
          <w:tcPr>
            <w:tcW w:w="2092" w:type="dxa"/>
            <w:tcBorders>
              <w:top w:val="single" w:sz="4" w:space="0" w:color="auto"/>
              <w:left w:val="single" w:sz="4" w:space="0" w:color="auto"/>
              <w:bottom w:val="single" w:sz="4" w:space="0" w:color="auto"/>
              <w:right w:val="single" w:sz="4" w:space="0" w:color="auto"/>
            </w:tcBorders>
            <w:vAlign w:val="center"/>
          </w:tcPr>
          <w:p w:rsidR="00E139C2" w:rsidRPr="002A0747" w:rsidRDefault="00E139C2" w:rsidP="00E139C2">
            <w:pPr>
              <w:jc w:val="center"/>
              <w:rPr>
                <w:rFonts w:cs="Tahoma"/>
                <w:bCs/>
                <w:sz w:val="16"/>
                <w:szCs w:val="16"/>
              </w:rPr>
            </w:pPr>
            <w:r w:rsidRPr="002A0747">
              <w:rPr>
                <w:rFonts w:cs="Tahoma"/>
                <w:bCs/>
                <w:sz w:val="16"/>
                <w:szCs w:val="16"/>
              </w:rPr>
              <w:t>22. 7. 2013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139C2" w:rsidRPr="002A0747" w:rsidRDefault="00E139C2" w:rsidP="008439DC">
            <w:pPr>
              <w:jc w:val="left"/>
              <w:rPr>
                <w:rFonts w:cs="Tahoma"/>
                <w:bCs/>
                <w:sz w:val="16"/>
                <w:szCs w:val="16"/>
              </w:rPr>
            </w:pPr>
          </w:p>
        </w:tc>
      </w:tr>
      <w:tr w:rsidR="00E139C2" w:rsidRPr="002A0747" w:rsidTr="008439DC">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E139C2" w:rsidRPr="002A0747" w:rsidRDefault="00E139C2" w:rsidP="00FD69E6">
            <w:pPr>
              <w:rPr>
                <w:rFonts w:cs="Tahoma"/>
                <w:bCs/>
                <w:sz w:val="16"/>
                <w:szCs w:val="16"/>
              </w:rPr>
            </w:pPr>
            <w:r w:rsidRPr="002A0747">
              <w:rPr>
                <w:rFonts w:cs="Tahoma"/>
                <w:bCs/>
                <w:sz w:val="16"/>
                <w:szCs w:val="16"/>
              </w:rPr>
              <w:t>Pracovní schůzka se zadavatelem</w:t>
            </w:r>
          </w:p>
        </w:tc>
        <w:tc>
          <w:tcPr>
            <w:tcW w:w="2092" w:type="dxa"/>
            <w:tcBorders>
              <w:top w:val="single" w:sz="4" w:space="0" w:color="auto"/>
              <w:left w:val="single" w:sz="4" w:space="0" w:color="auto"/>
              <w:bottom w:val="single" w:sz="4" w:space="0" w:color="auto"/>
              <w:right w:val="single" w:sz="4" w:space="0" w:color="auto"/>
            </w:tcBorders>
            <w:vAlign w:val="center"/>
          </w:tcPr>
          <w:p w:rsidR="00E139C2" w:rsidRPr="002A0747" w:rsidRDefault="00E139C2" w:rsidP="00E139C2">
            <w:pPr>
              <w:jc w:val="center"/>
              <w:rPr>
                <w:rFonts w:cs="Tahoma"/>
                <w:bCs/>
                <w:sz w:val="16"/>
                <w:szCs w:val="16"/>
              </w:rPr>
            </w:pPr>
            <w:r w:rsidRPr="002A0747">
              <w:rPr>
                <w:rFonts w:cs="Tahoma"/>
                <w:bCs/>
                <w:sz w:val="16"/>
                <w:szCs w:val="16"/>
              </w:rPr>
              <w:t>12. 8. 2013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139C2" w:rsidRPr="002A0747" w:rsidRDefault="00E139C2" w:rsidP="008439DC">
            <w:pPr>
              <w:jc w:val="left"/>
              <w:rPr>
                <w:rFonts w:cs="Tahoma"/>
                <w:bCs/>
                <w:sz w:val="16"/>
                <w:szCs w:val="16"/>
              </w:rPr>
            </w:pPr>
          </w:p>
        </w:tc>
      </w:tr>
      <w:tr w:rsidR="004866E8" w:rsidRPr="002A0747" w:rsidTr="008439DC">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4866E8" w:rsidRPr="002A0747" w:rsidRDefault="004866E8" w:rsidP="004866E8">
            <w:pPr>
              <w:rPr>
                <w:rFonts w:cs="Tahoma"/>
                <w:bCs/>
                <w:sz w:val="16"/>
                <w:szCs w:val="16"/>
              </w:rPr>
            </w:pPr>
            <w:r w:rsidRPr="002A0747">
              <w:rPr>
                <w:rFonts w:cs="Tahoma"/>
                <w:bCs/>
                <w:sz w:val="16"/>
                <w:szCs w:val="16"/>
              </w:rPr>
              <w:t>Zpracování stanoviska k aktuálnímu stavu příprav OP PIK 2014-2020 z pohledu ex-ante hodnocení a doplňujících připomínek ke 2. pracovní verzi programu</w:t>
            </w:r>
          </w:p>
        </w:tc>
        <w:tc>
          <w:tcPr>
            <w:tcW w:w="2092" w:type="dxa"/>
            <w:tcBorders>
              <w:top w:val="single" w:sz="4" w:space="0" w:color="auto"/>
              <w:left w:val="single" w:sz="4" w:space="0" w:color="auto"/>
              <w:bottom w:val="single" w:sz="4" w:space="0" w:color="auto"/>
              <w:right w:val="single" w:sz="4" w:space="0" w:color="auto"/>
            </w:tcBorders>
            <w:vAlign w:val="center"/>
          </w:tcPr>
          <w:p w:rsidR="004866E8" w:rsidRPr="002A0747" w:rsidRDefault="004866E8" w:rsidP="008439DC">
            <w:pPr>
              <w:jc w:val="center"/>
              <w:rPr>
                <w:rFonts w:cs="Tahoma"/>
                <w:bCs/>
                <w:sz w:val="16"/>
                <w:szCs w:val="16"/>
              </w:rPr>
            </w:pPr>
            <w:r w:rsidRPr="002A0747">
              <w:rPr>
                <w:rFonts w:cs="Tahoma"/>
                <w:bCs/>
                <w:sz w:val="16"/>
                <w:szCs w:val="16"/>
              </w:rPr>
              <w:t>16. 8. 2013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866E8" w:rsidRPr="002A0747" w:rsidRDefault="004866E8" w:rsidP="008439DC">
            <w:pPr>
              <w:jc w:val="left"/>
              <w:rPr>
                <w:rFonts w:cs="Tahoma"/>
                <w:bCs/>
                <w:sz w:val="16"/>
                <w:szCs w:val="16"/>
              </w:rPr>
            </w:pPr>
          </w:p>
        </w:tc>
      </w:tr>
      <w:tr w:rsidR="008439DC" w:rsidRPr="002A0747" w:rsidTr="008439DC">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8439DC" w:rsidRPr="002A0747" w:rsidRDefault="00A96BC1" w:rsidP="00A96BC1">
            <w:pPr>
              <w:rPr>
                <w:rFonts w:cs="Tahoma"/>
                <w:bCs/>
                <w:sz w:val="16"/>
                <w:szCs w:val="16"/>
              </w:rPr>
            </w:pPr>
            <w:r w:rsidRPr="002A0747">
              <w:rPr>
                <w:rFonts w:cs="Tahoma"/>
                <w:bCs/>
                <w:sz w:val="16"/>
                <w:szCs w:val="16"/>
              </w:rPr>
              <w:t>Účast na pracovním jednání na MMR-NOK</w:t>
            </w:r>
          </w:p>
        </w:tc>
        <w:tc>
          <w:tcPr>
            <w:tcW w:w="2092" w:type="dxa"/>
            <w:tcBorders>
              <w:top w:val="single" w:sz="4" w:space="0" w:color="auto"/>
              <w:left w:val="single" w:sz="4" w:space="0" w:color="auto"/>
              <w:bottom w:val="single" w:sz="4" w:space="0" w:color="auto"/>
              <w:right w:val="single" w:sz="4" w:space="0" w:color="auto"/>
            </w:tcBorders>
            <w:vAlign w:val="center"/>
          </w:tcPr>
          <w:p w:rsidR="008439DC" w:rsidRPr="002A0747" w:rsidRDefault="00A96BC1" w:rsidP="008439DC">
            <w:pPr>
              <w:jc w:val="center"/>
              <w:rPr>
                <w:rFonts w:cs="Tahoma"/>
                <w:bCs/>
                <w:sz w:val="16"/>
                <w:szCs w:val="16"/>
              </w:rPr>
            </w:pPr>
            <w:r w:rsidRPr="002A0747">
              <w:rPr>
                <w:rFonts w:cs="Tahoma"/>
                <w:bCs/>
                <w:sz w:val="16"/>
                <w:szCs w:val="16"/>
              </w:rPr>
              <w:t>22. 8. 2013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8439DC" w:rsidRPr="002A0747" w:rsidRDefault="008439DC" w:rsidP="008439DC">
            <w:pPr>
              <w:jc w:val="left"/>
              <w:rPr>
                <w:rFonts w:cs="Tahoma"/>
                <w:bCs/>
                <w:sz w:val="16"/>
                <w:szCs w:val="16"/>
              </w:rPr>
            </w:pPr>
          </w:p>
        </w:tc>
      </w:tr>
      <w:tr w:rsidR="00A96BC1" w:rsidRPr="002A0747" w:rsidTr="008439DC">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A96BC1" w:rsidRPr="002A0747" w:rsidRDefault="00A96BC1" w:rsidP="00A96BC1">
            <w:pPr>
              <w:rPr>
                <w:rFonts w:cs="Tahoma"/>
                <w:bCs/>
                <w:sz w:val="16"/>
                <w:szCs w:val="16"/>
              </w:rPr>
            </w:pPr>
            <w:r w:rsidRPr="002A0747">
              <w:rPr>
                <w:rFonts w:cs="Tahoma"/>
                <w:bCs/>
                <w:sz w:val="16"/>
                <w:szCs w:val="16"/>
              </w:rPr>
              <w:t>Pracovní jednání k indikátorům OP PIK</w:t>
            </w:r>
          </w:p>
        </w:tc>
        <w:tc>
          <w:tcPr>
            <w:tcW w:w="2092" w:type="dxa"/>
            <w:tcBorders>
              <w:top w:val="single" w:sz="4" w:space="0" w:color="auto"/>
              <w:left w:val="single" w:sz="4" w:space="0" w:color="auto"/>
              <w:bottom w:val="single" w:sz="4" w:space="0" w:color="auto"/>
              <w:right w:val="single" w:sz="4" w:space="0" w:color="auto"/>
            </w:tcBorders>
            <w:vAlign w:val="center"/>
          </w:tcPr>
          <w:p w:rsidR="00A96BC1" w:rsidRPr="002A0747" w:rsidRDefault="00A96BC1" w:rsidP="00A96BC1">
            <w:pPr>
              <w:jc w:val="center"/>
              <w:rPr>
                <w:rFonts w:cs="Tahoma"/>
                <w:bCs/>
                <w:sz w:val="16"/>
                <w:szCs w:val="16"/>
              </w:rPr>
            </w:pPr>
            <w:r w:rsidRPr="002A0747">
              <w:rPr>
                <w:rFonts w:cs="Tahoma"/>
                <w:bCs/>
                <w:sz w:val="16"/>
                <w:szCs w:val="16"/>
              </w:rPr>
              <w:t>29. 8. 2013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A96BC1" w:rsidRPr="002A0747" w:rsidRDefault="00A96BC1" w:rsidP="008439DC">
            <w:pPr>
              <w:jc w:val="left"/>
              <w:rPr>
                <w:rFonts w:cs="Tahoma"/>
                <w:bCs/>
                <w:sz w:val="16"/>
                <w:szCs w:val="16"/>
              </w:rPr>
            </w:pPr>
          </w:p>
        </w:tc>
      </w:tr>
      <w:tr w:rsidR="00A96BC1" w:rsidRPr="002A0747" w:rsidTr="008439DC">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A96BC1" w:rsidRPr="002A0747" w:rsidRDefault="004866E8" w:rsidP="004866E8">
            <w:pPr>
              <w:rPr>
                <w:rFonts w:cs="Tahoma"/>
                <w:bCs/>
                <w:sz w:val="16"/>
                <w:szCs w:val="16"/>
              </w:rPr>
            </w:pPr>
            <w:r w:rsidRPr="002A0747">
              <w:rPr>
                <w:rFonts w:cs="Tahoma"/>
                <w:bCs/>
                <w:sz w:val="16"/>
                <w:szCs w:val="16"/>
              </w:rPr>
              <w:t>Zpracování i</w:t>
            </w:r>
            <w:r w:rsidR="00A96BC1" w:rsidRPr="002A0747">
              <w:rPr>
                <w:rFonts w:eastAsia="Calibri" w:cs="Tahoma"/>
                <w:bCs/>
                <w:sz w:val="16"/>
                <w:szCs w:val="16"/>
              </w:rPr>
              <w:t>nformace o dosavadním průběhu a aktuálním stavu ex-ante hodnocení OP PIK 2014-2020 pro potřeby MMR</w:t>
            </w:r>
            <w:r w:rsidR="00A96BC1" w:rsidRPr="002A0747">
              <w:rPr>
                <w:rFonts w:cs="Tahoma"/>
                <w:bCs/>
                <w:sz w:val="16"/>
                <w:szCs w:val="16"/>
              </w:rPr>
              <w:t>-NOK</w:t>
            </w:r>
          </w:p>
        </w:tc>
        <w:tc>
          <w:tcPr>
            <w:tcW w:w="2092" w:type="dxa"/>
            <w:tcBorders>
              <w:top w:val="single" w:sz="4" w:space="0" w:color="auto"/>
              <w:left w:val="single" w:sz="4" w:space="0" w:color="auto"/>
              <w:bottom w:val="single" w:sz="4" w:space="0" w:color="auto"/>
              <w:right w:val="single" w:sz="4" w:space="0" w:color="auto"/>
            </w:tcBorders>
            <w:vAlign w:val="center"/>
          </w:tcPr>
          <w:p w:rsidR="00A96BC1" w:rsidRPr="002A0747" w:rsidRDefault="004866E8" w:rsidP="008439DC">
            <w:pPr>
              <w:jc w:val="center"/>
              <w:rPr>
                <w:rFonts w:cs="Tahoma"/>
                <w:bCs/>
                <w:sz w:val="16"/>
                <w:szCs w:val="16"/>
              </w:rPr>
            </w:pPr>
            <w:r w:rsidRPr="002A0747">
              <w:rPr>
                <w:rFonts w:cs="Tahoma"/>
                <w:bCs/>
                <w:sz w:val="16"/>
                <w:szCs w:val="16"/>
              </w:rPr>
              <w:t>29. 8. 2013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A96BC1" w:rsidRPr="002A0747" w:rsidRDefault="00A96BC1" w:rsidP="008439DC">
            <w:pPr>
              <w:jc w:val="left"/>
              <w:rPr>
                <w:rFonts w:cs="Tahoma"/>
                <w:bCs/>
                <w:sz w:val="16"/>
                <w:szCs w:val="16"/>
              </w:rPr>
            </w:pPr>
          </w:p>
        </w:tc>
      </w:tr>
      <w:tr w:rsidR="00A96BC1" w:rsidRPr="002A0747" w:rsidTr="008439DC">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A96BC1" w:rsidRPr="002A0747" w:rsidRDefault="00A96BC1" w:rsidP="00A96BC1">
            <w:pPr>
              <w:rPr>
                <w:rFonts w:cs="Tahoma"/>
                <w:bCs/>
                <w:sz w:val="16"/>
                <w:szCs w:val="16"/>
              </w:rPr>
            </w:pPr>
            <w:r w:rsidRPr="002A0747">
              <w:rPr>
                <w:rFonts w:cs="Tahoma"/>
                <w:bCs/>
                <w:sz w:val="16"/>
                <w:szCs w:val="16"/>
              </w:rPr>
              <w:t>Účast na jednání PS pro PO 3</w:t>
            </w:r>
          </w:p>
        </w:tc>
        <w:tc>
          <w:tcPr>
            <w:tcW w:w="2092" w:type="dxa"/>
            <w:tcBorders>
              <w:top w:val="single" w:sz="4" w:space="0" w:color="auto"/>
              <w:left w:val="single" w:sz="4" w:space="0" w:color="auto"/>
              <w:bottom w:val="single" w:sz="4" w:space="0" w:color="auto"/>
              <w:right w:val="single" w:sz="4" w:space="0" w:color="auto"/>
            </w:tcBorders>
            <w:vAlign w:val="center"/>
          </w:tcPr>
          <w:p w:rsidR="00A96BC1" w:rsidRPr="002A0747" w:rsidRDefault="00A96BC1" w:rsidP="008439DC">
            <w:pPr>
              <w:jc w:val="center"/>
              <w:rPr>
                <w:rFonts w:cs="Tahoma"/>
                <w:bCs/>
                <w:sz w:val="16"/>
                <w:szCs w:val="16"/>
              </w:rPr>
            </w:pPr>
            <w:r w:rsidRPr="002A0747">
              <w:rPr>
                <w:rFonts w:cs="Tahoma"/>
                <w:bCs/>
                <w:sz w:val="16"/>
                <w:szCs w:val="16"/>
              </w:rPr>
              <w:t>17. 9. 2013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A96BC1" w:rsidRPr="002A0747" w:rsidRDefault="00A96BC1" w:rsidP="008439DC">
            <w:pPr>
              <w:jc w:val="left"/>
              <w:rPr>
                <w:rFonts w:cs="Tahoma"/>
                <w:bCs/>
                <w:sz w:val="16"/>
                <w:szCs w:val="16"/>
              </w:rPr>
            </w:pPr>
          </w:p>
        </w:tc>
      </w:tr>
      <w:tr w:rsidR="00A96BC1" w:rsidRPr="002A0747" w:rsidTr="008439DC">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A96BC1" w:rsidRPr="002A0747" w:rsidRDefault="00A96BC1" w:rsidP="008439DC">
            <w:pPr>
              <w:rPr>
                <w:rFonts w:cs="Tahoma"/>
                <w:bCs/>
                <w:sz w:val="16"/>
                <w:szCs w:val="16"/>
              </w:rPr>
            </w:pPr>
            <w:r w:rsidRPr="002A0747">
              <w:rPr>
                <w:rFonts w:cs="Tahoma"/>
                <w:bCs/>
                <w:sz w:val="16"/>
                <w:szCs w:val="16"/>
              </w:rPr>
              <w:t>Účast na 5. jednání Platformy MPO pro přípravu OP PIK</w:t>
            </w:r>
          </w:p>
        </w:tc>
        <w:tc>
          <w:tcPr>
            <w:tcW w:w="2092" w:type="dxa"/>
            <w:tcBorders>
              <w:top w:val="single" w:sz="4" w:space="0" w:color="auto"/>
              <w:left w:val="single" w:sz="4" w:space="0" w:color="auto"/>
              <w:bottom w:val="single" w:sz="4" w:space="0" w:color="auto"/>
              <w:right w:val="single" w:sz="4" w:space="0" w:color="auto"/>
            </w:tcBorders>
            <w:vAlign w:val="center"/>
          </w:tcPr>
          <w:p w:rsidR="00A96BC1" w:rsidRPr="002A0747" w:rsidRDefault="00A96BC1" w:rsidP="008439DC">
            <w:pPr>
              <w:jc w:val="center"/>
              <w:rPr>
                <w:rFonts w:cs="Tahoma"/>
                <w:bCs/>
                <w:sz w:val="16"/>
                <w:szCs w:val="16"/>
              </w:rPr>
            </w:pPr>
            <w:r w:rsidRPr="002A0747">
              <w:rPr>
                <w:rFonts w:cs="Tahoma"/>
                <w:bCs/>
                <w:sz w:val="16"/>
                <w:szCs w:val="16"/>
              </w:rPr>
              <w:t>19. 9. 2013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A96BC1" w:rsidRPr="002A0747" w:rsidRDefault="00A96BC1" w:rsidP="008439DC">
            <w:pPr>
              <w:jc w:val="left"/>
              <w:rPr>
                <w:rFonts w:cs="Tahoma"/>
                <w:bCs/>
                <w:sz w:val="16"/>
                <w:szCs w:val="16"/>
              </w:rPr>
            </w:pPr>
          </w:p>
        </w:tc>
      </w:tr>
      <w:tr w:rsidR="00A96BC1" w:rsidRPr="002A0747" w:rsidTr="008439DC">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A96BC1" w:rsidRPr="002A0747" w:rsidRDefault="00A96BC1" w:rsidP="00A96BC1">
            <w:pPr>
              <w:rPr>
                <w:rFonts w:cs="Tahoma"/>
                <w:bCs/>
                <w:sz w:val="16"/>
                <w:szCs w:val="16"/>
              </w:rPr>
            </w:pPr>
            <w:r w:rsidRPr="002A0747">
              <w:rPr>
                <w:rFonts w:cs="Tahoma"/>
                <w:bCs/>
                <w:sz w:val="16"/>
                <w:szCs w:val="16"/>
              </w:rPr>
              <w:t>Pracovní jednání k absorpční kapacitě OP PIK</w:t>
            </w:r>
          </w:p>
        </w:tc>
        <w:tc>
          <w:tcPr>
            <w:tcW w:w="2092" w:type="dxa"/>
            <w:tcBorders>
              <w:top w:val="single" w:sz="4" w:space="0" w:color="auto"/>
              <w:left w:val="single" w:sz="4" w:space="0" w:color="auto"/>
              <w:bottom w:val="single" w:sz="4" w:space="0" w:color="auto"/>
              <w:right w:val="single" w:sz="4" w:space="0" w:color="auto"/>
            </w:tcBorders>
            <w:vAlign w:val="center"/>
          </w:tcPr>
          <w:p w:rsidR="00A96BC1" w:rsidRPr="002A0747" w:rsidRDefault="00A96BC1" w:rsidP="008439DC">
            <w:pPr>
              <w:jc w:val="center"/>
              <w:rPr>
                <w:rFonts w:cs="Tahoma"/>
                <w:bCs/>
                <w:sz w:val="16"/>
                <w:szCs w:val="16"/>
              </w:rPr>
            </w:pPr>
            <w:r w:rsidRPr="002A0747">
              <w:rPr>
                <w:rFonts w:cs="Tahoma"/>
                <w:bCs/>
                <w:sz w:val="16"/>
                <w:szCs w:val="16"/>
              </w:rPr>
              <w:t>25. 9. 2013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A96BC1" w:rsidRPr="002A0747" w:rsidRDefault="00A96BC1" w:rsidP="00A96BC1">
            <w:pPr>
              <w:ind w:left="9"/>
              <w:jc w:val="left"/>
              <w:rPr>
                <w:rFonts w:cs="Tahoma"/>
                <w:bCs/>
                <w:sz w:val="16"/>
                <w:szCs w:val="16"/>
              </w:rPr>
            </w:pPr>
          </w:p>
        </w:tc>
      </w:tr>
      <w:tr w:rsidR="00A96BC1" w:rsidRPr="002A0747" w:rsidTr="008439DC">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A96BC1" w:rsidRPr="002A0747" w:rsidRDefault="00A96BC1" w:rsidP="00A96BC1">
            <w:pPr>
              <w:rPr>
                <w:rFonts w:cs="Tahoma"/>
                <w:bCs/>
                <w:sz w:val="16"/>
                <w:szCs w:val="16"/>
              </w:rPr>
            </w:pPr>
            <w:r w:rsidRPr="002A0747">
              <w:rPr>
                <w:rFonts w:cs="Tahoma"/>
                <w:bCs/>
                <w:sz w:val="16"/>
                <w:szCs w:val="16"/>
              </w:rPr>
              <w:t>Pracovní jednání k absorpční kapacitě a indikátorům PO 4</w:t>
            </w:r>
          </w:p>
        </w:tc>
        <w:tc>
          <w:tcPr>
            <w:tcW w:w="2092" w:type="dxa"/>
            <w:tcBorders>
              <w:top w:val="single" w:sz="4" w:space="0" w:color="auto"/>
              <w:left w:val="single" w:sz="4" w:space="0" w:color="auto"/>
              <w:bottom w:val="single" w:sz="4" w:space="0" w:color="auto"/>
              <w:right w:val="single" w:sz="4" w:space="0" w:color="auto"/>
            </w:tcBorders>
            <w:vAlign w:val="center"/>
          </w:tcPr>
          <w:p w:rsidR="00A96BC1" w:rsidRPr="002A0747" w:rsidRDefault="00A96BC1" w:rsidP="008439DC">
            <w:pPr>
              <w:jc w:val="center"/>
              <w:rPr>
                <w:rFonts w:cs="Tahoma"/>
                <w:bCs/>
                <w:sz w:val="16"/>
                <w:szCs w:val="16"/>
              </w:rPr>
            </w:pPr>
            <w:r w:rsidRPr="002A0747">
              <w:rPr>
                <w:rFonts w:cs="Tahoma"/>
                <w:bCs/>
                <w:sz w:val="16"/>
                <w:szCs w:val="16"/>
              </w:rPr>
              <w:t>27. 9. 2013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A96BC1" w:rsidRPr="002A0747" w:rsidRDefault="00A96BC1" w:rsidP="00A96BC1">
            <w:pPr>
              <w:ind w:left="9"/>
              <w:jc w:val="left"/>
              <w:rPr>
                <w:rFonts w:cs="Tahoma"/>
                <w:bCs/>
                <w:sz w:val="16"/>
                <w:szCs w:val="16"/>
              </w:rPr>
            </w:pPr>
          </w:p>
        </w:tc>
      </w:tr>
      <w:tr w:rsidR="00A96BC1" w:rsidRPr="002A0747" w:rsidTr="008439DC">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A96BC1" w:rsidRPr="002A0747" w:rsidRDefault="00A96BC1" w:rsidP="008439DC">
            <w:pPr>
              <w:rPr>
                <w:rFonts w:cs="Tahoma"/>
                <w:bCs/>
                <w:sz w:val="16"/>
                <w:szCs w:val="16"/>
              </w:rPr>
            </w:pPr>
            <w:r w:rsidRPr="002A0747">
              <w:rPr>
                <w:rFonts w:cs="Tahoma"/>
                <w:bCs/>
                <w:sz w:val="16"/>
                <w:szCs w:val="16"/>
              </w:rPr>
              <w:t>Zpracování průběžné zprávy ex-ante hodnocení OP PIK</w:t>
            </w:r>
          </w:p>
        </w:tc>
        <w:tc>
          <w:tcPr>
            <w:tcW w:w="2092" w:type="dxa"/>
            <w:tcBorders>
              <w:top w:val="single" w:sz="4" w:space="0" w:color="auto"/>
              <w:left w:val="single" w:sz="4" w:space="0" w:color="auto"/>
              <w:bottom w:val="single" w:sz="4" w:space="0" w:color="auto"/>
              <w:right w:val="single" w:sz="4" w:space="0" w:color="auto"/>
            </w:tcBorders>
            <w:vAlign w:val="center"/>
          </w:tcPr>
          <w:p w:rsidR="00A96BC1" w:rsidRPr="002A0747" w:rsidRDefault="00302F88" w:rsidP="008439DC">
            <w:pPr>
              <w:jc w:val="center"/>
              <w:rPr>
                <w:rFonts w:cs="Tahoma"/>
                <w:bCs/>
                <w:sz w:val="16"/>
                <w:szCs w:val="16"/>
              </w:rPr>
            </w:pPr>
            <w:r w:rsidRPr="002A0747">
              <w:rPr>
                <w:rFonts w:cs="Tahoma"/>
                <w:bCs/>
                <w:sz w:val="16"/>
                <w:szCs w:val="16"/>
              </w:rPr>
              <w:t>říjen</w:t>
            </w:r>
            <w:r w:rsidR="00A96BC1" w:rsidRPr="002A0747">
              <w:rPr>
                <w:rFonts w:cs="Tahoma"/>
                <w:bCs/>
                <w:sz w:val="16"/>
                <w:szCs w:val="16"/>
              </w:rPr>
              <w:t xml:space="preserve"> 2013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A96BC1" w:rsidRPr="002A0747" w:rsidRDefault="00A96BC1" w:rsidP="00C6279B">
            <w:pPr>
              <w:numPr>
                <w:ilvl w:val="0"/>
                <w:numId w:val="5"/>
              </w:numPr>
              <w:ind w:left="293" w:hanging="284"/>
              <w:jc w:val="left"/>
              <w:rPr>
                <w:rFonts w:cs="Tahoma"/>
                <w:bCs/>
                <w:sz w:val="16"/>
                <w:szCs w:val="16"/>
              </w:rPr>
            </w:pPr>
            <w:r w:rsidRPr="002A0747">
              <w:rPr>
                <w:rFonts w:cs="Tahoma"/>
                <w:bCs/>
                <w:sz w:val="16"/>
                <w:szCs w:val="16"/>
              </w:rPr>
              <w:t>3. průběžná zpráva</w:t>
            </w:r>
          </w:p>
        </w:tc>
      </w:tr>
      <w:tr w:rsidR="006779E1" w:rsidRPr="002A0747" w:rsidTr="00B74EBF">
        <w:trPr>
          <w:trHeight w:val="38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6779E1" w:rsidRPr="002A0747" w:rsidRDefault="00B74EBF" w:rsidP="008439DC">
            <w:pPr>
              <w:rPr>
                <w:rFonts w:cs="Tahoma"/>
                <w:bCs/>
                <w:sz w:val="16"/>
                <w:szCs w:val="16"/>
              </w:rPr>
            </w:pPr>
            <w:r w:rsidRPr="002A0747">
              <w:rPr>
                <w:rFonts w:cs="Tahoma"/>
                <w:bCs/>
                <w:sz w:val="16"/>
                <w:szCs w:val="16"/>
              </w:rPr>
              <w:t xml:space="preserve">Účast na koordinačním setkání ex-ante hodnotitelů </w:t>
            </w:r>
          </w:p>
        </w:tc>
        <w:tc>
          <w:tcPr>
            <w:tcW w:w="2092" w:type="dxa"/>
            <w:tcBorders>
              <w:top w:val="single" w:sz="4" w:space="0" w:color="auto"/>
              <w:left w:val="single" w:sz="4" w:space="0" w:color="auto"/>
              <w:bottom w:val="single" w:sz="4" w:space="0" w:color="auto"/>
              <w:right w:val="single" w:sz="4" w:space="0" w:color="auto"/>
            </w:tcBorders>
            <w:vAlign w:val="center"/>
          </w:tcPr>
          <w:p w:rsidR="006779E1" w:rsidRPr="002A0747" w:rsidRDefault="00B74EBF" w:rsidP="008439DC">
            <w:pPr>
              <w:jc w:val="center"/>
              <w:rPr>
                <w:rFonts w:cs="Tahoma"/>
                <w:bCs/>
                <w:sz w:val="16"/>
                <w:szCs w:val="16"/>
              </w:rPr>
            </w:pPr>
            <w:r w:rsidRPr="002A0747">
              <w:rPr>
                <w:rFonts w:cs="Tahoma"/>
                <w:bCs/>
                <w:sz w:val="16"/>
                <w:szCs w:val="16"/>
              </w:rPr>
              <w:t>1. 10. 2013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779E1" w:rsidRPr="002A0747" w:rsidRDefault="006779E1" w:rsidP="00B74EBF">
            <w:pPr>
              <w:ind w:left="293"/>
              <w:jc w:val="left"/>
              <w:rPr>
                <w:rFonts w:cs="Tahoma"/>
                <w:bCs/>
                <w:sz w:val="16"/>
                <w:szCs w:val="16"/>
              </w:rPr>
            </w:pPr>
          </w:p>
        </w:tc>
      </w:tr>
      <w:tr w:rsidR="006779E1" w:rsidRPr="002A0747" w:rsidTr="008439DC">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6779E1" w:rsidRPr="002A0747" w:rsidRDefault="00B74EBF" w:rsidP="00B74EBF">
            <w:pPr>
              <w:rPr>
                <w:rFonts w:cs="Tahoma"/>
                <w:bCs/>
                <w:sz w:val="16"/>
                <w:szCs w:val="16"/>
              </w:rPr>
            </w:pPr>
            <w:r w:rsidRPr="002A0747">
              <w:rPr>
                <w:rFonts w:cs="Tahoma"/>
                <w:bCs/>
                <w:sz w:val="16"/>
                <w:szCs w:val="16"/>
              </w:rPr>
              <w:lastRenderedPageBreak/>
              <w:t xml:space="preserve">Zpracování komentářů k připomínkám EK k návrhu </w:t>
            </w:r>
            <w:proofErr w:type="spellStart"/>
            <w:r w:rsidRPr="002A0747">
              <w:rPr>
                <w:rFonts w:cs="Tahoma"/>
                <w:bCs/>
                <w:sz w:val="16"/>
                <w:szCs w:val="16"/>
              </w:rPr>
              <w:t>DoP</w:t>
            </w:r>
            <w:proofErr w:type="spellEnd"/>
            <w:r w:rsidRPr="002A0747">
              <w:rPr>
                <w:rFonts w:cs="Tahoma"/>
                <w:bCs/>
                <w:sz w:val="16"/>
                <w:szCs w:val="16"/>
              </w:rPr>
              <w:t xml:space="preserve"> s vazbou na </w:t>
            </w:r>
            <w:proofErr w:type="gramStart"/>
            <w:r w:rsidRPr="002A0747">
              <w:rPr>
                <w:rFonts w:cs="Tahoma"/>
                <w:bCs/>
                <w:sz w:val="16"/>
                <w:szCs w:val="16"/>
              </w:rPr>
              <w:t>OP</w:t>
            </w:r>
            <w:proofErr w:type="gramEnd"/>
            <w:r w:rsidRPr="002A0747">
              <w:rPr>
                <w:rFonts w:cs="Tahoma"/>
                <w:bCs/>
                <w:sz w:val="16"/>
                <w:szCs w:val="16"/>
              </w:rPr>
              <w:t xml:space="preserve"> PIK</w:t>
            </w:r>
          </w:p>
        </w:tc>
        <w:tc>
          <w:tcPr>
            <w:tcW w:w="2092" w:type="dxa"/>
            <w:tcBorders>
              <w:top w:val="single" w:sz="4" w:space="0" w:color="auto"/>
              <w:left w:val="single" w:sz="4" w:space="0" w:color="auto"/>
              <w:bottom w:val="single" w:sz="4" w:space="0" w:color="auto"/>
              <w:right w:val="single" w:sz="4" w:space="0" w:color="auto"/>
            </w:tcBorders>
            <w:vAlign w:val="center"/>
          </w:tcPr>
          <w:p w:rsidR="006779E1" w:rsidRPr="002A0747" w:rsidRDefault="00B74EBF" w:rsidP="008439DC">
            <w:pPr>
              <w:jc w:val="center"/>
              <w:rPr>
                <w:rFonts w:cs="Tahoma"/>
                <w:bCs/>
                <w:sz w:val="16"/>
                <w:szCs w:val="16"/>
              </w:rPr>
            </w:pPr>
            <w:r w:rsidRPr="002A0747">
              <w:rPr>
                <w:rFonts w:cs="Tahoma"/>
                <w:bCs/>
                <w:sz w:val="16"/>
                <w:szCs w:val="16"/>
              </w:rPr>
              <w:t>18. 10. 2013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779E1" w:rsidRPr="002A0747" w:rsidRDefault="006779E1" w:rsidP="00B74EBF">
            <w:pPr>
              <w:jc w:val="left"/>
              <w:rPr>
                <w:rFonts w:cs="Tahoma"/>
                <w:bCs/>
                <w:sz w:val="16"/>
                <w:szCs w:val="16"/>
              </w:rPr>
            </w:pPr>
          </w:p>
        </w:tc>
      </w:tr>
      <w:tr w:rsidR="00B74EBF" w:rsidRPr="002A0747" w:rsidTr="008439DC">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B74EBF" w:rsidRPr="002A0747" w:rsidRDefault="00B74EBF" w:rsidP="00B74EBF">
            <w:pPr>
              <w:rPr>
                <w:rFonts w:cs="Tahoma"/>
                <w:bCs/>
                <w:sz w:val="16"/>
                <w:szCs w:val="16"/>
              </w:rPr>
            </w:pPr>
            <w:r w:rsidRPr="002A0747">
              <w:rPr>
                <w:rFonts w:cs="Tahoma"/>
                <w:bCs/>
                <w:sz w:val="16"/>
                <w:szCs w:val="16"/>
              </w:rPr>
              <w:t>Účast na jednání PS pro PO 2</w:t>
            </w:r>
          </w:p>
        </w:tc>
        <w:tc>
          <w:tcPr>
            <w:tcW w:w="2092" w:type="dxa"/>
            <w:tcBorders>
              <w:top w:val="single" w:sz="4" w:space="0" w:color="auto"/>
              <w:left w:val="single" w:sz="4" w:space="0" w:color="auto"/>
              <w:bottom w:val="single" w:sz="4" w:space="0" w:color="auto"/>
              <w:right w:val="single" w:sz="4" w:space="0" w:color="auto"/>
            </w:tcBorders>
            <w:vAlign w:val="center"/>
          </w:tcPr>
          <w:p w:rsidR="00B74EBF" w:rsidRPr="002A0747" w:rsidRDefault="00B74EBF" w:rsidP="00B74EBF">
            <w:pPr>
              <w:jc w:val="center"/>
              <w:rPr>
                <w:rFonts w:cs="Tahoma"/>
                <w:bCs/>
                <w:sz w:val="16"/>
                <w:szCs w:val="16"/>
              </w:rPr>
            </w:pPr>
            <w:r w:rsidRPr="002A0747">
              <w:rPr>
                <w:rFonts w:cs="Tahoma"/>
                <w:bCs/>
                <w:sz w:val="16"/>
                <w:szCs w:val="16"/>
              </w:rPr>
              <w:t>13. 11. 2013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74EBF" w:rsidRPr="002A0747" w:rsidRDefault="00B74EBF" w:rsidP="00B74EBF">
            <w:pPr>
              <w:ind w:left="293"/>
              <w:jc w:val="left"/>
              <w:rPr>
                <w:rFonts w:cs="Tahoma"/>
                <w:bCs/>
                <w:sz w:val="16"/>
                <w:szCs w:val="16"/>
              </w:rPr>
            </w:pPr>
          </w:p>
        </w:tc>
      </w:tr>
      <w:tr w:rsidR="00B74EBF" w:rsidRPr="002A0747" w:rsidTr="008439DC">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B74EBF" w:rsidRPr="002A0747" w:rsidRDefault="00B74EBF" w:rsidP="00B74EBF">
            <w:pPr>
              <w:rPr>
                <w:rFonts w:cs="Tahoma"/>
                <w:bCs/>
                <w:sz w:val="16"/>
                <w:szCs w:val="16"/>
              </w:rPr>
            </w:pPr>
            <w:r w:rsidRPr="002A0747">
              <w:rPr>
                <w:rFonts w:cs="Tahoma"/>
                <w:bCs/>
                <w:sz w:val="16"/>
                <w:szCs w:val="16"/>
              </w:rPr>
              <w:t>Účast na jednání PS 05 – Finanční nástroje</w:t>
            </w:r>
          </w:p>
        </w:tc>
        <w:tc>
          <w:tcPr>
            <w:tcW w:w="2092" w:type="dxa"/>
            <w:tcBorders>
              <w:top w:val="single" w:sz="4" w:space="0" w:color="auto"/>
              <w:left w:val="single" w:sz="4" w:space="0" w:color="auto"/>
              <w:bottom w:val="single" w:sz="4" w:space="0" w:color="auto"/>
              <w:right w:val="single" w:sz="4" w:space="0" w:color="auto"/>
            </w:tcBorders>
            <w:vAlign w:val="center"/>
          </w:tcPr>
          <w:p w:rsidR="00B74EBF" w:rsidRPr="002A0747" w:rsidRDefault="00B74EBF" w:rsidP="00B74EBF">
            <w:pPr>
              <w:jc w:val="center"/>
              <w:rPr>
                <w:rFonts w:cs="Tahoma"/>
                <w:bCs/>
                <w:sz w:val="16"/>
                <w:szCs w:val="16"/>
              </w:rPr>
            </w:pPr>
            <w:r w:rsidRPr="002A0747">
              <w:rPr>
                <w:rFonts w:cs="Tahoma"/>
                <w:bCs/>
                <w:sz w:val="16"/>
                <w:szCs w:val="16"/>
              </w:rPr>
              <w:t>20. 11. 2013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74EBF" w:rsidRPr="002A0747" w:rsidRDefault="00B74EBF" w:rsidP="00B74EBF">
            <w:pPr>
              <w:ind w:left="293"/>
              <w:jc w:val="left"/>
              <w:rPr>
                <w:rFonts w:cs="Tahoma"/>
                <w:bCs/>
                <w:sz w:val="16"/>
                <w:szCs w:val="16"/>
              </w:rPr>
            </w:pPr>
          </w:p>
        </w:tc>
      </w:tr>
      <w:tr w:rsidR="00B74EBF" w:rsidRPr="002A0747" w:rsidTr="008439DC">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B74EBF" w:rsidRPr="002A0747" w:rsidRDefault="00B74EBF" w:rsidP="00B74EBF">
            <w:pPr>
              <w:rPr>
                <w:rFonts w:cs="Tahoma"/>
                <w:bCs/>
                <w:sz w:val="16"/>
                <w:szCs w:val="16"/>
              </w:rPr>
            </w:pPr>
            <w:r w:rsidRPr="002A0747">
              <w:rPr>
                <w:rFonts w:cs="Tahoma"/>
                <w:bCs/>
                <w:sz w:val="16"/>
                <w:szCs w:val="16"/>
              </w:rPr>
              <w:t>Prezentace 3. průběžné zprávy ex-ante hodnocení</w:t>
            </w:r>
          </w:p>
        </w:tc>
        <w:tc>
          <w:tcPr>
            <w:tcW w:w="2092" w:type="dxa"/>
            <w:tcBorders>
              <w:top w:val="single" w:sz="4" w:space="0" w:color="auto"/>
              <w:left w:val="single" w:sz="4" w:space="0" w:color="auto"/>
              <w:bottom w:val="single" w:sz="4" w:space="0" w:color="auto"/>
              <w:right w:val="single" w:sz="4" w:space="0" w:color="auto"/>
            </w:tcBorders>
            <w:vAlign w:val="center"/>
          </w:tcPr>
          <w:p w:rsidR="00B74EBF" w:rsidRPr="002A0747" w:rsidRDefault="00B74EBF" w:rsidP="008439DC">
            <w:pPr>
              <w:jc w:val="center"/>
              <w:rPr>
                <w:rFonts w:cs="Tahoma"/>
                <w:bCs/>
                <w:sz w:val="16"/>
                <w:szCs w:val="16"/>
              </w:rPr>
            </w:pPr>
            <w:r w:rsidRPr="002A0747">
              <w:rPr>
                <w:rFonts w:cs="Tahoma"/>
                <w:bCs/>
                <w:sz w:val="16"/>
                <w:szCs w:val="16"/>
              </w:rPr>
              <w:t>20. 11. 2013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74EBF" w:rsidRPr="002A0747" w:rsidRDefault="00B74EBF" w:rsidP="00B74EBF">
            <w:pPr>
              <w:ind w:left="293"/>
              <w:jc w:val="left"/>
              <w:rPr>
                <w:rFonts w:cs="Tahoma"/>
                <w:bCs/>
                <w:sz w:val="16"/>
                <w:szCs w:val="16"/>
              </w:rPr>
            </w:pPr>
          </w:p>
        </w:tc>
      </w:tr>
      <w:tr w:rsidR="00B74EBF" w:rsidRPr="002A0747" w:rsidTr="008439DC">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B74EBF" w:rsidRPr="002A0747" w:rsidRDefault="00B74EBF" w:rsidP="00B74EBF">
            <w:pPr>
              <w:rPr>
                <w:rFonts w:cs="Tahoma"/>
                <w:bCs/>
                <w:sz w:val="16"/>
                <w:szCs w:val="16"/>
              </w:rPr>
            </w:pPr>
            <w:r w:rsidRPr="002A0747">
              <w:rPr>
                <w:rFonts w:cs="Tahoma"/>
                <w:bCs/>
                <w:sz w:val="16"/>
                <w:szCs w:val="16"/>
              </w:rPr>
              <w:t>Účast na úvodním semináři „Příprava Operačního programu Podnikání a inovace pro konkurenceschopnost 2014 – 2020 a proces posouzení vlivů tohoto dokumentu na životní prostředí (SEA)“</w:t>
            </w:r>
          </w:p>
        </w:tc>
        <w:tc>
          <w:tcPr>
            <w:tcW w:w="2092" w:type="dxa"/>
            <w:tcBorders>
              <w:top w:val="single" w:sz="4" w:space="0" w:color="auto"/>
              <w:left w:val="single" w:sz="4" w:space="0" w:color="auto"/>
              <w:bottom w:val="single" w:sz="4" w:space="0" w:color="auto"/>
              <w:right w:val="single" w:sz="4" w:space="0" w:color="auto"/>
            </w:tcBorders>
            <w:vAlign w:val="center"/>
          </w:tcPr>
          <w:p w:rsidR="00B74EBF" w:rsidRPr="002A0747" w:rsidRDefault="00B74EBF" w:rsidP="008439DC">
            <w:pPr>
              <w:jc w:val="center"/>
              <w:rPr>
                <w:rFonts w:cs="Tahoma"/>
                <w:bCs/>
                <w:sz w:val="16"/>
                <w:szCs w:val="16"/>
              </w:rPr>
            </w:pPr>
            <w:r w:rsidRPr="002A0747">
              <w:rPr>
                <w:rFonts w:cs="Tahoma"/>
                <w:bCs/>
                <w:sz w:val="16"/>
                <w:szCs w:val="16"/>
              </w:rPr>
              <w:t>25. 11. 2013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74EBF" w:rsidRPr="002A0747" w:rsidRDefault="00B74EBF" w:rsidP="00B74EBF">
            <w:pPr>
              <w:ind w:left="293"/>
              <w:jc w:val="left"/>
              <w:rPr>
                <w:rFonts w:cs="Tahoma"/>
                <w:bCs/>
                <w:sz w:val="16"/>
                <w:szCs w:val="16"/>
              </w:rPr>
            </w:pPr>
          </w:p>
        </w:tc>
      </w:tr>
      <w:tr w:rsidR="002916A7" w:rsidRPr="002A0747" w:rsidTr="008439DC">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2916A7" w:rsidRPr="002A0747" w:rsidRDefault="002916A7" w:rsidP="002916A7">
            <w:pPr>
              <w:rPr>
                <w:rFonts w:cs="Tahoma"/>
                <w:bCs/>
                <w:sz w:val="16"/>
                <w:szCs w:val="16"/>
              </w:rPr>
            </w:pPr>
            <w:r w:rsidRPr="002A0747">
              <w:rPr>
                <w:rFonts w:cs="Tahoma"/>
                <w:bCs/>
                <w:sz w:val="16"/>
                <w:szCs w:val="16"/>
              </w:rPr>
              <w:t>Zpracování Návrhu závěrečné zprávy ex-ante hodnocení OP PIK</w:t>
            </w:r>
          </w:p>
        </w:tc>
        <w:tc>
          <w:tcPr>
            <w:tcW w:w="2092" w:type="dxa"/>
            <w:tcBorders>
              <w:top w:val="single" w:sz="4" w:space="0" w:color="auto"/>
              <w:left w:val="single" w:sz="4" w:space="0" w:color="auto"/>
              <w:bottom w:val="single" w:sz="4" w:space="0" w:color="auto"/>
              <w:right w:val="single" w:sz="4" w:space="0" w:color="auto"/>
            </w:tcBorders>
            <w:vAlign w:val="center"/>
          </w:tcPr>
          <w:p w:rsidR="002916A7" w:rsidRPr="002A0747" w:rsidRDefault="002916A7" w:rsidP="002916A7">
            <w:pPr>
              <w:jc w:val="center"/>
              <w:rPr>
                <w:rFonts w:cs="Tahoma"/>
                <w:bCs/>
                <w:sz w:val="16"/>
                <w:szCs w:val="16"/>
              </w:rPr>
            </w:pPr>
            <w:r w:rsidRPr="002A0747">
              <w:rPr>
                <w:rFonts w:cs="Tahoma"/>
                <w:bCs/>
                <w:sz w:val="16"/>
                <w:szCs w:val="16"/>
              </w:rPr>
              <w:t>prosinec 2013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2916A7" w:rsidRPr="002A0747" w:rsidRDefault="002916A7" w:rsidP="00C6279B">
            <w:pPr>
              <w:numPr>
                <w:ilvl w:val="0"/>
                <w:numId w:val="5"/>
              </w:numPr>
              <w:ind w:left="293" w:hanging="284"/>
              <w:jc w:val="left"/>
              <w:rPr>
                <w:rFonts w:cs="Tahoma"/>
                <w:bCs/>
                <w:sz w:val="16"/>
                <w:szCs w:val="16"/>
              </w:rPr>
            </w:pPr>
            <w:r w:rsidRPr="002A0747">
              <w:rPr>
                <w:rFonts w:cs="Tahoma"/>
                <w:bCs/>
                <w:sz w:val="16"/>
                <w:szCs w:val="16"/>
              </w:rPr>
              <w:t>Návrh závěrečné zprávy</w:t>
            </w:r>
          </w:p>
        </w:tc>
      </w:tr>
      <w:tr w:rsidR="003D05C1" w:rsidRPr="002A0747" w:rsidTr="008439DC">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3D05C1" w:rsidRPr="002A0747" w:rsidRDefault="003D05C1" w:rsidP="003D05C1">
            <w:pPr>
              <w:rPr>
                <w:rFonts w:cs="Tahoma"/>
                <w:bCs/>
                <w:sz w:val="16"/>
                <w:szCs w:val="16"/>
              </w:rPr>
            </w:pPr>
            <w:r w:rsidRPr="002A0747">
              <w:rPr>
                <w:rFonts w:cs="Tahoma"/>
                <w:bCs/>
                <w:sz w:val="16"/>
                <w:szCs w:val="16"/>
              </w:rPr>
              <w:t>Účast na pracovním setkání před jednáním MPO se zástupci EK</w:t>
            </w:r>
          </w:p>
        </w:tc>
        <w:tc>
          <w:tcPr>
            <w:tcW w:w="2092" w:type="dxa"/>
            <w:tcBorders>
              <w:top w:val="single" w:sz="4" w:space="0" w:color="auto"/>
              <w:left w:val="single" w:sz="4" w:space="0" w:color="auto"/>
              <w:bottom w:val="single" w:sz="4" w:space="0" w:color="auto"/>
              <w:right w:val="single" w:sz="4" w:space="0" w:color="auto"/>
            </w:tcBorders>
            <w:vAlign w:val="center"/>
          </w:tcPr>
          <w:p w:rsidR="003D05C1" w:rsidRPr="002A0747" w:rsidRDefault="003D05C1" w:rsidP="002916A7">
            <w:pPr>
              <w:jc w:val="center"/>
              <w:rPr>
                <w:rFonts w:cs="Tahoma"/>
                <w:bCs/>
                <w:sz w:val="16"/>
                <w:szCs w:val="16"/>
              </w:rPr>
            </w:pPr>
            <w:r w:rsidRPr="002A0747">
              <w:rPr>
                <w:rFonts w:cs="Tahoma"/>
                <w:bCs/>
                <w:sz w:val="16"/>
                <w:szCs w:val="16"/>
              </w:rPr>
              <w:t>27. 1. 2014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3D05C1" w:rsidRPr="002A0747" w:rsidRDefault="003D05C1" w:rsidP="003D05C1">
            <w:pPr>
              <w:ind w:left="293"/>
              <w:jc w:val="left"/>
              <w:rPr>
                <w:rFonts w:cs="Tahoma"/>
                <w:bCs/>
                <w:sz w:val="16"/>
                <w:szCs w:val="16"/>
              </w:rPr>
            </w:pPr>
          </w:p>
        </w:tc>
      </w:tr>
      <w:tr w:rsidR="003D05C1" w:rsidRPr="002A0747" w:rsidTr="008439DC">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3D05C1" w:rsidRPr="002A0747" w:rsidRDefault="003D05C1" w:rsidP="003D05C1">
            <w:pPr>
              <w:rPr>
                <w:rFonts w:cs="Tahoma"/>
                <w:bCs/>
                <w:sz w:val="16"/>
                <w:szCs w:val="16"/>
              </w:rPr>
            </w:pPr>
            <w:r w:rsidRPr="002A0747">
              <w:rPr>
                <w:rFonts w:cs="Tahoma"/>
                <w:bCs/>
                <w:sz w:val="16"/>
                <w:szCs w:val="16"/>
              </w:rPr>
              <w:t>Koordinační schůzka se zadavatelem a se zpracovatelem analýzy absorpční kapacity</w:t>
            </w:r>
          </w:p>
        </w:tc>
        <w:tc>
          <w:tcPr>
            <w:tcW w:w="2092" w:type="dxa"/>
            <w:tcBorders>
              <w:top w:val="single" w:sz="4" w:space="0" w:color="auto"/>
              <w:left w:val="single" w:sz="4" w:space="0" w:color="auto"/>
              <w:bottom w:val="single" w:sz="4" w:space="0" w:color="auto"/>
              <w:right w:val="single" w:sz="4" w:space="0" w:color="auto"/>
            </w:tcBorders>
            <w:vAlign w:val="center"/>
          </w:tcPr>
          <w:p w:rsidR="003D05C1" w:rsidRPr="002A0747" w:rsidRDefault="003D05C1" w:rsidP="002916A7">
            <w:pPr>
              <w:jc w:val="center"/>
              <w:rPr>
                <w:rFonts w:cs="Tahoma"/>
                <w:bCs/>
                <w:sz w:val="16"/>
                <w:szCs w:val="16"/>
              </w:rPr>
            </w:pPr>
            <w:r w:rsidRPr="002A0747">
              <w:rPr>
                <w:rFonts w:cs="Tahoma"/>
                <w:bCs/>
                <w:sz w:val="16"/>
                <w:szCs w:val="16"/>
              </w:rPr>
              <w:t>11. 2. 2014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3D05C1" w:rsidRPr="002A0747" w:rsidRDefault="003D05C1" w:rsidP="003D05C1">
            <w:pPr>
              <w:ind w:left="293"/>
              <w:jc w:val="left"/>
              <w:rPr>
                <w:rFonts w:cs="Tahoma"/>
                <w:bCs/>
                <w:sz w:val="16"/>
                <w:szCs w:val="16"/>
              </w:rPr>
            </w:pPr>
          </w:p>
        </w:tc>
      </w:tr>
      <w:tr w:rsidR="00B76365" w:rsidRPr="002A0747" w:rsidTr="00D55BE7">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B76365" w:rsidRPr="002A0747" w:rsidRDefault="00B76365" w:rsidP="00D55BE7">
            <w:pPr>
              <w:rPr>
                <w:rFonts w:cs="Tahoma"/>
                <w:bCs/>
                <w:sz w:val="16"/>
                <w:szCs w:val="16"/>
              </w:rPr>
            </w:pPr>
            <w:r w:rsidRPr="002A0747">
              <w:rPr>
                <w:rFonts w:cs="Tahoma"/>
                <w:bCs/>
                <w:sz w:val="16"/>
                <w:szCs w:val="16"/>
              </w:rPr>
              <w:t>Účast na jednání PS pro PO 3</w:t>
            </w:r>
          </w:p>
        </w:tc>
        <w:tc>
          <w:tcPr>
            <w:tcW w:w="2092" w:type="dxa"/>
            <w:tcBorders>
              <w:top w:val="single" w:sz="4" w:space="0" w:color="auto"/>
              <w:left w:val="single" w:sz="4" w:space="0" w:color="auto"/>
              <w:bottom w:val="single" w:sz="4" w:space="0" w:color="auto"/>
              <w:right w:val="single" w:sz="4" w:space="0" w:color="auto"/>
            </w:tcBorders>
            <w:vAlign w:val="center"/>
          </w:tcPr>
          <w:p w:rsidR="00B76365" w:rsidRPr="002A0747" w:rsidRDefault="00B76365" w:rsidP="00D55BE7">
            <w:pPr>
              <w:jc w:val="center"/>
              <w:rPr>
                <w:rFonts w:cs="Tahoma"/>
                <w:bCs/>
                <w:sz w:val="16"/>
                <w:szCs w:val="16"/>
              </w:rPr>
            </w:pPr>
            <w:r w:rsidRPr="002A0747">
              <w:rPr>
                <w:rFonts w:cs="Tahoma"/>
                <w:bCs/>
                <w:sz w:val="16"/>
                <w:szCs w:val="16"/>
              </w:rPr>
              <w:t>19. 2. 2014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76365" w:rsidRPr="002A0747" w:rsidRDefault="00B76365" w:rsidP="00571C3A">
            <w:pPr>
              <w:ind w:left="293"/>
              <w:jc w:val="left"/>
              <w:rPr>
                <w:rFonts w:cs="Tahoma"/>
                <w:bCs/>
                <w:sz w:val="16"/>
                <w:szCs w:val="16"/>
              </w:rPr>
            </w:pPr>
          </w:p>
        </w:tc>
      </w:tr>
      <w:tr w:rsidR="00B76365" w:rsidRPr="002A0747" w:rsidTr="008439DC">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B76365" w:rsidRPr="002A0747" w:rsidRDefault="00B76365" w:rsidP="00D55BE7">
            <w:pPr>
              <w:rPr>
                <w:rFonts w:cs="Tahoma"/>
                <w:bCs/>
                <w:sz w:val="16"/>
                <w:szCs w:val="16"/>
              </w:rPr>
            </w:pPr>
            <w:r w:rsidRPr="002A0747">
              <w:rPr>
                <w:rFonts w:cs="Tahoma"/>
                <w:bCs/>
                <w:sz w:val="16"/>
                <w:szCs w:val="16"/>
              </w:rPr>
              <w:t>Účast na 6. jednání Platformy MPO pro přípravu OP PIK</w:t>
            </w:r>
          </w:p>
        </w:tc>
        <w:tc>
          <w:tcPr>
            <w:tcW w:w="2092" w:type="dxa"/>
            <w:tcBorders>
              <w:top w:val="single" w:sz="4" w:space="0" w:color="auto"/>
              <w:left w:val="single" w:sz="4" w:space="0" w:color="auto"/>
              <w:bottom w:val="single" w:sz="4" w:space="0" w:color="auto"/>
              <w:right w:val="single" w:sz="4" w:space="0" w:color="auto"/>
            </w:tcBorders>
            <w:vAlign w:val="center"/>
          </w:tcPr>
          <w:p w:rsidR="00B76365" w:rsidRPr="002A0747" w:rsidRDefault="00B76365" w:rsidP="00B76365">
            <w:pPr>
              <w:jc w:val="center"/>
              <w:rPr>
                <w:rFonts w:cs="Tahoma"/>
                <w:bCs/>
                <w:sz w:val="16"/>
                <w:szCs w:val="16"/>
              </w:rPr>
            </w:pPr>
            <w:r w:rsidRPr="002A0747">
              <w:rPr>
                <w:rFonts w:cs="Tahoma"/>
                <w:bCs/>
                <w:sz w:val="16"/>
                <w:szCs w:val="16"/>
              </w:rPr>
              <w:t>25. 2. 2013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76365" w:rsidRPr="002A0747" w:rsidRDefault="00B76365" w:rsidP="00571C3A">
            <w:pPr>
              <w:ind w:left="293"/>
              <w:jc w:val="left"/>
              <w:rPr>
                <w:rFonts w:cs="Tahoma"/>
                <w:bCs/>
                <w:sz w:val="16"/>
                <w:szCs w:val="16"/>
              </w:rPr>
            </w:pPr>
          </w:p>
        </w:tc>
      </w:tr>
      <w:tr w:rsidR="003D05C1" w:rsidRPr="002A0747" w:rsidTr="008439DC">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3D05C1" w:rsidRPr="002A0747" w:rsidRDefault="00B76365" w:rsidP="00B76365">
            <w:pPr>
              <w:rPr>
                <w:rFonts w:cs="Tahoma"/>
                <w:bCs/>
                <w:sz w:val="16"/>
                <w:szCs w:val="16"/>
              </w:rPr>
            </w:pPr>
            <w:r w:rsidRPr="002A0747">
              <w:rPr>
                <w:rFonts w:cs="Tahoma"/>
                <w:bCs/>
                <w:sz w:val="16"/>
                <w:szCs w:val="16"/>
              </w:rPr>
              <w:t>Pracovní jednání k indikátorům OP PIK</w:t>
            </w:r>
          </w:p>
        </w:tc>
        <w:tc>
          <w:tcPr>
            <w:tcW w:w="2092" w:type="dxa"/>
            <w:tcBorders>
              <w:top w:val="single" w:sz="4" w:space="0" w:color="auto"/>
              <w:left w:val="single" w:sz="4" w:space="0" w:color="auto"/>
              <w:bottom w:val="single" w:sz="4" w:space="0" w:color="auto"/>
              <w:right w:val="single" w:sz="4" w:space="0" w:color="auto"/>
            </w:tcBorders>
            <w:vAlign w:val="center"/>
          </w:tcPr>
          <w:p w:rsidR="003D05C1" w:rsidRPr="002A0747" w:rsidRDefault="00B76365" w:rsidP="002916A7">
            <w:pPr>
              <w:jc w:val="center"/>
              <w:rPr>
                <w:rFonts w:cs="Tahoma"/>
                <w:bCs/>
                <w:sz w:val="16"/>
                <w:szCs w:val="16"/>
              </w:rPr>
            </w:pPr>
            <w:r w:rsidRPr="002A0747">
              <w:rPr>
                <w:rFonts w:cs="Tahoma"/>
                <w:bCs/>
                <w:sz w:val="16"/>
                <w:szCs w:val="16"/>
              </w:rPr>
              <w:t>26. 2. 2014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3D05C1" w:rsidRPr="002A0747" w:rsidRDefault="003D05C1" w:rsidP="00571C3A">
            <w:pPr>
              <w:ind w:left="293"/>
              <w:jc w:val="left"/>
              <w:rPr>
                <w:rFonts w:cs="Tahoma"/>
                <w:bCs/>
                <w:sz w:val="16"/>
                <w:szCs w:val="16"/>
              </w:rPr>
            </w:pPr>
          </w:p>
        </w:tc>
      </w:tr>
      <w:tr w:rsidR="003D05C1" w:rsidRPr="002A0747" w:rsidTr="008439DC">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B76365" w:rsidRPr="002A0747" w:rsidRDefault="00B76365" w:rsidP="00B76365">
            <w:pPr>
              <w:rPr>
                <w:rFonts w:cs="Tahoma"/>
                <w:bCs/>
                <w:sz w:val="16"/>
                <w:szCs w:val="16"/>
              </w:rPr>
            </w:pPr>
            <w:r w:rsidRPr="002A0747">
              <w:rPr>
                <w:rFonts w:cs="Tahoma"/>
                <w:bCs/>
                <w:sz w:val="16"/>
                <w:szCs w:val="16"/>
              </w:rPr>
              <w:t xml:space="preserve">Zpracování Předběžných hlavních závěrů a zjištění k 5. verzi OP PIK </w:t>
            </w:r>
          </w:p>
          <w:p w:rsidR="003D05C1" w:rsidRPr="002A0747" w:rsidRDefault="003D05C1" w:rsidP="00B76365">
            <w:pPr>
              <w:rPr>
                <w:rFonts w:cs="Tahoma"/>
                <w:bCs/>
                <w:sz w:val="16"/>
                <w:szCs w:val="16"/>
              </w:rPr>
            </w:pPr>
          </w:p>
        </w:tc>
        <w:tc>
          <w:tcPr>
            <w:tcW w:w="2092" w:type="dxa"/>
            <w:tcBorders>
              <w:top w:val="single" w:sz="4" w:space="0" w:color="auto"/>
              <w:left w:val="single" w:sz="4" w:space="0" w:color="auto"/>
              <w:bottom w:val="single" w:sz="4" w:space="0" w:color="auto"/>
              <w:right w:val="single" w:sz="4" w:space="0" w:color="auto"/>
            </w:tcBorders>
            <w:vAlign w:val="center"/>
          </w:tcPr>
          <w:p w:rsidR="003D05C1" w:rsidRPr="002A0747" w:rsidRDefault="00B76365" w:rsidP="002916A7">
            <w:pPr>
              <w:jc w:val="center"/>
              <w:rPr>
                <w:rFonts w:cs="Tahoma"/>
                <w:bCs/>
                <w:sz w:val="16"/>
                <w:szCs w:val="16"/>
              </w:rPr>
            </w:pPr>
            <w:r w:rsidRPr="002A0747">
              <w:rPr>
                <w:rFonts w:cs="Tahoma"/>
                <w:bCs/>
                <w:sz w:val="16"/>
                <w:szCs w:val="16"/>
              </w:rPr>
              <w:t>27. 2. 2014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3D05C1" w:rsidRPr="002A0747" w:rsidRDefault="00B76365" w:rsidP="00C6279B">
            <w:pPr>
              <w:numPr>
                <w:ilvl w:val="0"/>
                <w:numId w:val="5"/>
              </w:numPr>
              <w:ind w:left="293" w:hanging="284"/>
              <w:jc w:val="left"/>
              <w:rPr>
                <w:rFonts w:cs="Tahoma"/>
                <w:bCs/>
                <w:sz w:val="16"/>
                <w:szCs w:val="16"/>
              </w:rPr>
            </w:pPr>
            <w:r w:rsidRPr="002A0747">
              <w:rPr>
                <w:rFonts w:cs="Tahoma"/>
                <w:bCs/>
                <w:sz w:val="16"/>
                <w:szCs w:val="16"/>
              </w:rPr>
              <w:t>Předběžné hlavní závěry a zjištění k 5. verzi OP PIK</w:t>
            </w:r>
          </w:p>
        </w:tc>
      </w:tr>
      <w:tr w:rsidR="00AA267D" w:rsidRPr="002A0747" w:rsidTr="00D55BE7">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AA267D" w:rsidRPr="002A0747" w:rsidRDefault="00AA267D" w:rsidP="00571C3A">
            <w:pPr>
              <w:rPr>
                <w:rFonts w:cs="Tahoma"/>
                <w:bCs/>
                <w:sz w:val="16"/>
                <w:szCs w:val="16"/>
              </w:rPr>
            </w:pPr>
            <w:r w:rsidRPr="002A0747">
              <w:rPr>
                <w:rFonts w:cs="Tahoma"/>
                <w:bCs/>
                <w:sz w:val="16"/>
                <w:szCs w:val="16"/>
              </w:rPr>
              <w:t>Pracovní jednání k</w:t>
            </w:r>
            <w:r w:rsidR="00571C3A" w:rsidRPr="002A0747">
              <w:rPr>
                <w:rFonts w:cs="Tahoma"/>
                <w:bCs/>
                <w:sz w:val="16"/>
                <w:szCs w:val="16"/>
              </w:rPr>
              <w:t xml:space="preserve"> monitorovacímu systému </w:t>
            </w:r>
            <w:r w:rsidRPr="002A0747">
              <w:rPr>
                <w:rFonts w:cs="Tahoma"/>
                <w:bCs/>
                <w:sz w:val="16"/>
                <w:szCs w:val="16"/>
              </w:rPr>
              <w:t>OP PIK</w:t>
            </w:r>
          </w:p>
        </w:tc>
        <w:tc>
          <w:tcPr>
            <w:tcW w:w="2092" w:type="dxa"/>
            <w:tcBorders>
              <w:top w:val="single" w:sz="4" w:space="0" w:color="auto"/>
              <w:left w:val="single" w:sz="4" w:space="0" w:color="auto"/>
              <w:bottom w:val="single" w:sz="4" w:space="0" w:color="auto"/>
              <w:right w:val="single" w:sz="4" w:space="0" w:color="auto"/>
            </w:tcBorders>
            <w:vAlign w:val="center"/>
          </w:tcPr>
          <w:p w:rsidR="00AA267D" w:rsidRPr="002A0747" w:rsidRDefault="00571C3A" w:rsidP="00B76365">
            <w:pPr>
              <w:jc w:val="center"/>
              <w:rPr>
                <w:rFonts w:cs="Tahoma"/>
                <w:bCs/>
                <w:sz w:val="16"/>
                <w:szCs w:val="16"/>
              </w:rPr>
            </w:pPr>
            <w:r w:rsidRPr="002A0747">
              <w:rPr>
                <w:rFonts w:cs="Tahoma"/>
                <w:bCs/>
                <w:sz w:val="16"/>
                <w:szCs w:val="16"/>
              </w:rPr>
              <w:t>10. 3. 2014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AA267D" w:rsidRPr="002A0747" w:rsidRDefault="00AA267D" w:rsidP="00571C3A">
            <w:pPr>
              <w:ind w:left="293"/>
              <w:jc w:val="left"/>
              <w:rPr>
                <w:rFonts w:cs="Tahoma"/>
                <w:bCs/>
                <w:sz w:val="16"/>
                <w:szCs w:val="16"/>
              </w:rPr>
            </w:pPr>
          </w:p>
        </w:tc>
      </w:tr>
      <w:tr w:rsidR="00B76365" w:rsidRPr="002A0747" w:rsidTr="00D55BE7">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B76365" w:rsidRPr="002A0747" w:rsidRDefault="00B76365" w:rsidP="00B76365">
            <w:pPr>
              <w:rPr>
                <w:rFonts w:cs="Tahoma"/>
                <w:bCs/>
                <w:sz w:val="16"/>
                <w:szCs w:val="16"/>
              </w:rPr>
            </w:pPr>
            <w:r w:rsidRPr="002A0747">
              <w:rPr>
                <w:rFonts w:cs="Tahoma"/>
                <w:bCs/>
                <w:sz w:val="16"/>
                <w:szCs w:val="16"/>
              </w:rPr>
              <w:t>Zpracování Závěrečné zprávy ex-ante hodnocení OP PIK</w:t>
            </w:r>
          </w:p>
        </w:tc>
        <w:tc>
          <w:tcPr>
            <w:tcW w:w="2092" w:type="dxa"/>
            <w:tcBorders>
              <w:top w:val="single" w:sz="4" w:space="0" w:color="auto"/>
              <w:left w:val="single" w:sz="4" w:space="0" w:color="auto"/>
              <w:bottom w:val="single" w:sz="4" w:space="0" w:color="auto"/>
              <w:right w:val="single" w:sz="4" w:space="0" w:color="auto"/>
            </w:tcBorders>
            <w:vAlign w:val="center"/>
          </w:tcPr>
          <w:p w:rsidR="00B76365" w:rsidRPr="002A0747" w:rsidRDefault="00B76365" w:rsidP="00B76365">
            <w:pPr>
              <w:jc w:val="center"/>
              <w:rPr>
                <w:rFonts w:cs="Tahoma"/>
                <w:bCs/>
                <w:sz w:val="16"/>
                <w:szCs w:val="16"/>
              </w:rPr>
            </w:pPr>
            <w:r w:rsidRPr="002A0747">
              <w:rPr>
                <w:rFonts w:cs="Tahoma"/>
                <w:bCs/>
                <w:sz w:val="16"/>
                <w:szCs w:val="16"/>
              </w:rPr>
              <w:t>březen 2014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76365" w:rsidRPr="002A0747" w:rsidRDefault="00B76365" w:rsidP="00C6279B">
            <w:pPr>
              <w:numPr>
                <w:ilvl w:val="0"/>
                <w:numId w:val="5"/>
              </w:numPr>
              <w:ind w:left="293" w:hanging="284"/>
              <w:jc w:val="left"/>
              <w:rPr>
                <w:rFonts w:cs="Tahoma"/>
                <w:bCs/>
                <w:sz w:val="16"/>
                <w:szCs w:val="16"/>
              </w:rPr>
            </w:pPr>
            <w:r w:rsidRPr="002A0747">
              <w:rPr>
                <w:rFonts w:cs="Tahoma"/>
                <w:bCs/>
                <w:sz w:val="16"/>
                <w:szCs w:val="16"/>
              </w:rPr>
              <w:t>Závěrečná zpráva</w:t>
            </w:r>
          </w:p>
          <w:p w:rsidR="00B76365" w:rsidRPr="002A0747" w:rsidRDefault="00B76365" w:rsidP="00C6279B">
            <w:pPr>
              <w:numPr>
                <w:ilvl w:val="0"/>
                <w:numId w:val="5"/>
              </w:numPr>
              <w:ind w:left="293" w:hanging="284"/>
              <w:jc w:val="left"/>
              <w:rPr>
                <w:rFonts w:cs="Tahoma"/>
                <w:bCs/>
                <w:sz w:val="16"/>
                <w:szCs w:val="16"/>
              </w:rPr>
            </w:pPr>
            <w:r w:rsidRPr="002A0747">
              <w:rPr>
                <w:rFonts w:cs="Tahoma"/>
                <w:bCs/>
                <w:sz w:val="16"/>
                <w:szCs w:val="16"/>
              </w:rPr>
              <w:t>Manažerské shrnutí</w:t>
            </w:r>
          </w:p>
        </w:tc>
      </w:tr>
      <w:tr w:rsidR="00825A7F" w:rsidRPr="002A0747" w:rsidTr="00D55BE7">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825A7F" w:rsidRPr="002A0747" w:rsidRDefault="00825A7F" w:rsidP="00B76365">
            <w:pPr>
              <w:rPr>
                <w:rFonts w:cs="Tahoma"/>
                <w:bCs/>
                <w:sz w:val="16"/>
                <w:szCs w:val="16"/>
              </w:rPr>
            </w:pPr>
            <w:r w:rsidRPr="002A0747">
              <w:rPr>
                <w:rFonts w:cs="Tahoma"/>
                <w:bCs/>
                <w:sz w:val="16"/>
                <w:szCs w:val="16"/>
              </w:rPr>
              <w:t>Účast na Prezenčním vypořádání připomínek k </w:t>
            </w:r>
            <w:proofErr w:type="gramStart"/>
            <w:r w:rsidRPr="002A0747">
              <w:rPr>
                <w:rFonts w:cs="Tahoma"/>
                <w:bCs/>
                <w:sz w:val="16"/>
                <w:szCs w:val="16"/>
              </w:rPr>
              <w:t>OP</w:t>
            </w:r>
            <w:proofErr w:type="gramEnd"/>
            <w:r w:rsidRPr="002A0747">
              <w:rPr>
                <w:rFonts w:cs="Tahoma"/>
                <w:bCs/>
                <w:sz w:val="16"/>
                <w:szCs w:val="16"/>
              </w:rPr>
              <w:t xml:space="preserve"> PIK z meziresortního připomínkového řízení</w:t>
            </w:r>
          </w:p>
        </w:tc>
        <w:tc>
          <w:tcPr>
            <w:tcW w:w="2092" w:type="dxa"/>
            <w:tcBorders>
              <w:top w:val="single" w:sz="4" w:space="0" w:color="auto"/>
              <w:left w:val="single" w:sz="4" w:space="0" w:color="auto"/>
              <w:bottom w:val="single" w:sz="4" w:space="0" w:color="auto"/>
              <w:right w:val="single" w:sz="4" w:space="0" w:color="auto"/>
            </w:tcBorders>
            <w:vAlign w:val="center"/>
          </w:tcPr>
          <w:p w:rsidR="00825A7F" w:rsidRPr="002A0747" w:rsidRDefault="00825A7F" w:rsidP="00B76365">
            <w:pPr>
              <w:jc w:val="center"/>
              <w:rPr>
                <w:rFonts w:cs="Tahoma"/>
                <w:bCs/>
                <w:sz w:val="16"/>
                <w:szCs w:val="16"/>
              </w:rPr>
            </w:pPr>
            <w:r w:rsidRPr="002A0747">
              <w:rPr>
                <w:rFonts w:cs="Tahoma"/>
                <w:bCs/>
                <w:sz w:val="16"/>
                <w:szCs w:val="16"/>
              </w:rPr>
              <w:t>6. 6. 2014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825A7F" w:rsidRPr="002A0747" w:rsidRDefault="00825A7F" w:rsidP="00825A7F">
            <w:pPr>
              <w:jc w:val="left"/>
              <w:rPr>
                <w:rFonts w:cs="Tahoma"/>
                <w:bCs/>
                <w:sz w:val="16"/>
                <w:szCs w:val="16"/>
              </w:rPr>
            </w:pPr>
          </w:p>
        </w:tc>
      </w:tr>
      <w:tr w:rsidR="009C1CC3" w:rsidRPr="002A0747" w:rsidTr="00D55BE7">
        <w:trPr>
          <w:trHeight w:val="346"/>
        </w:trPr>
        <w:tc>
          <w:tcPr>
            <w:tcW w:w="4786" w:type="dxa"/>
            <w:tcBorders>
              <w:top w:val="single" w:sz="4" w:space="0" w:color="auto"/>
              <w:left w:val="single" w:sz="4" w:space="0" w:color="auto"/>
              <w:bottom w:val="single" w:sz="4" w:space="0" w:color="auto"/>
              <w:right w:val="single" w:sz="4" w:space="0" w:color="auto"/>
            </w:tcBorders>
            <w:shd w:val="clear" w:color="auto" w:fill="auto"/>
          </w:tcPr>
          <w:p w:rsidR="009C1CC3" w:rsidRPr="002A0747" w:rsidRDefault="009C1CC3" w:rsidP="00B76365">
            <w:pPr>
              <w:rPr>
                <w:rFonts w:cs="Tahoma"/>
                <w:bCs/>
                <w:sz w:val="16"/>
                <w:szCs w:val="16"/>
              </w:rPr>
            </w:pPr>
            <w:r w:rsidRPr="002A0747">
              <w:rPr>
                <w:rFonts w:cs="Tahoma"/>
                <w:bCs/>
                <w:sz w:val="16"/>
                <w:szCs w:val="16"/>
              </w:rPr>
              <w:t>Zpracování aktualizace Závěrečné zprávy ex-ante hodnocení OP PIK</w:t>
            </w:r>
          </w:p>
        </w:tc>
        <w:tc>
          <w:tcPr>
            <w:tcW w:w="2092" w:type="dxa"/>
            <w:tcBorders>
              <w:top w:val="single" w:sz="4" w:space="0" w:color="auto"/>
              <w:left w:val="single" w:sz="4" w:space="0" w:color="auto"/>
              <w:bottom w:val="single" w:sz="4" w:space="0" w:color="auto"/>
              <w:right w:val="single" w:sz="4" w:space="0" w:color="auto"/>
            </w:tcBorders>
            <w:vAlign w:val="center"/>
          </w:tcPr>
          <w:p w:rsidR="009C1CC3" w:rsidRPr="002A0747" w:rsidRDefault="009C1CC3" w:rsidP="00B76365">
            <w:pPr>
              <w:jc w:val="center"/>
              <w:rPr>
                <w:rFonts w:cs="Tahoma"/>
                <w:bCs/>
                <w:sz w:val="16"/>
                <w:szCs w:val="16"/>
              </w:rPr>
            </w:pPr>
            <w:r w:rsidRPr="002A0747">
              <w:rPr>
                <w:rFonts w:cs="Tahoma"/>
                <w:bCs/>
                <w:sz w:val="16"/>
                <w:szCs w:val="16"/>
              </w:rPr>
              <w:t>červen 2014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9C1CC3" w:rsidRPr="002A0747" w:rsidRDefault="009C1CC3" w:rsidP="00C6279B">
            <w:pPr>
              <w:numPr>
                <w:ilvl w:val="0"/>
                <w:numId w:val="5"/>
              </w:numPr>
              <w:ind w:left="293" w:hanging="284"/>
              <w:jc w:val="left"/>
              <w:rPr>
                <w:rFonts w:cs="Tahoma"/>
                <w:bCs/>
                <w:sz w:val="16"/>
                <w:szCs w:val="16"/>
              </w:rPr>
            </w:pPr>
            <w:r w:rsidRPr="002A0747">
              <w:rPr>
                <w:rFonts w:cs="Tahoma"/>
                <w:bCs/>
                <w:sz w:val="16"/>
                <w:szCs w:val="16"/>
              </w:rPr>
              <w:t>Závěrečná zpráva (aktualizace)</w:t>
            </w:r>
          </w:p>
          <w:p w:rsidR="009C1CC3" w:rsidRPr="002A0747" w:rsidRDefault="009C1CC3" w:rsidP="00C6279B">
            <w:pPr>
              <w:numPr>
                <w:ilvl w:val="0"/>
                <w:numId w:val="5"/>
              </w:numPr>
              <w:ind w:left="293" w:hanging="284"/>
              <w:jc w:val="left"/>
              <w:rPr>
                <w:rFonts w:cs="Tahoma"/>
                <w:bCs/>
                <w:sz w:val="16"/>
                <w:szCs w:val="16"/>
              </w:rPr>
            </w:pPr>
            <w:r w:rsidRPr="002A0747">
              <w:rPr>
                <w:rFonts w:cs="Tahoma"/>
                <w:bCs/>
                <w:sz w:val="16"/>
                <w:szCs w:val="16"/>
              </w:rPr>
              <w:t>Manažerské shrnutí (aktualizace)</w:t>
            </w:r>
          </w:p>
        </w:tc>
      </w:tr>
    </w:tbl>
    <w:p w:rsidR="0072736A" w:rsidRDefault="0072736A" w:rsidP="00432FF2">
      <w:pPr>
        <w:spacing w:after="120"/>
      </w:pPr>
    </w:p>
    <w:p w:rsidR="00432FF2" w:rsidRPr="00D60F77" w:rsidRDefault="00432FF2" w:rsidP="00432FF2">
      <w:pPr>
        <w:spacing w:after="120"/>
      </w:pPr>
      <w:r w:rsidRPr="00D60F77">
        <w:t>Metodický přístup hodnotitel</w:t>
      </w:r>
      <w:r w:rsidR="004071F3" w:rsidRPr="00D60F77">
        <w:t>e</w:t>
      </w:r>
      <w:r w:rsidRPr="00D60F77">
        <w:t xml:space="preserve"> </w:t>
      </w:r>
      <w:r w:rsidR="003D05C1">
        <w:t>byl</w:t>
      </w:r>
      <w:r w:rsidRPr="00D60F77">
        <w:t xml:space="preserve"> založen na sběru relevantních dat a informací a jejich analýze, přičemž </w:t>
      </w:r>
      <w:r w:rsidR="008E1BE8">
        <w:t>byl</w:t>
      </w:r>
      <w:r w:rsidRPr="00D60F77">
        <w:t xml:space="preserve"> průběžně prováděn sběr jak kvalitativních, tak kvantitativních dat. Na základě těchto dat </w:t>
      </w:r>
      <w:r w:rsidR="000D29D6">
        <w:t>byly</w:t>
      </w:r>
      <w:r w:rsidRPr="00D60F77">
        <w:t xml:space="preserve"> zpracovány analýzy zaměřené na řešení evaluačních okruhů vyplývajících ze zadání. </w:t>
      </w:r>
    </w:p>
    <w:p w:rsidR="0068318A" w:rsidRDefault="0068318A" w:rsidP="00432FF2">
      <w:pPr>
        <w:spacing w:after="120"/>
      </w:pPr>
      <w:r w:rsidRPr="001E7FBB">
        <w:t xml:space="preserve">Při řešení jednotlivých tematických okruhů evaluace </w:t>
      </w:r>
      <w:r w:rsidR="000D29D6">
        <w:t>byly</w:t>
      </w:r>
      <w:r w:rsidRPr="001E7FBB">
        <w:t xml:space="preserve"> využívány zejména následující metody a postupy:</w:t>
      </w:r>
    </w:p>
    <w:p w:rsidR="0011542D" w:rsidRPr="004575F2" w:rsidRDefault="0011542D" w:rsidP="00C6279B">
      <w:pPr>
        <w:pStyle w:val="Odstavecseseznamem"/>
        <w:numPr>
          <w:ilvl w:val="0"/>
          <w:numId w:val="3"/>
        </w:numPr>
        <w:ind w:left="1080"/>
        <w:jc w:val="both"/>
        <w:rPr>
          <w:rFonts w:ascii="Tahoma" w:hAnsi="Tahoma" w:cs="Tahoma"/>
          <w:sz w:val="20"/>
          <w:szCs w:val="20"/>
        </w:rPr>
      </w:pPr>
      <w:r w:rsidRPr="004575F2">
        <w:rPr>
          <w:rFonts w:ascii="Tahoma" w:hAnsi="Tahoma" w:cs="Tahoma"/>
          <w:sz w:val="20"/>
          <w:szCs w:val="20"/>
        </w:rPr>
        <w:t>Využívání sekundárních zdrojů dat</w:t>
      </w:r>
    </w:p>
    <w:p w:rsidR="0011542D" w:rsidRPr="004575F2" w:rsidRDefault="0011542D" w:rsidP="00C6279B">
      <w:pPr>
        <w:pStyle w:val="Odstavecseseznamem"/>
        <w:numPr>
          <w:ilvl w:val="0"/>
          <w:numId w:val="3"/>
        </w:numPr>
        <w:ind w:left="1080"/>
        <w:jc w:val="both"/>
        <w:rPr>
          <w:rFonts w:ascii="Tahoma" w:hAnsi="Tahoma" w:cs="Tahoma"/>
          <w:sz w:val="20"/>
          <w:szCs w:val="20"/>
        </w:rPr>
      </w:pPr>
      <w:r w:rsidRPr="004575F2">
        <w:rPr>
          <w:rFonts w:ascii="Tahoma" w:hAnsi="Tahoma" w:cs="Tahoma"/>
          <w:sz w:val="20"/>
          <w:szCs w:val="20"/>
        </w:rPr>
        <w:t>Individuální (řízené) rozhovory</w:t>
      </w:r>
    </w:p>
    <w:p w:rsidR="0011542D" w:rsidRPr="004575F2" w:rsidRDefault="0011542D" w:rsidP="00C6279B">
      <w:pPr>
        <w:pStyle w:val="Odstavecseseznamem"/>
        <w:numPr>
          <w:ilvl w:val="0"/>
          <w:numId w:val="3"/>
        </w:numPr>
        <w:ind w:left="1080"/>
        <w:jc w:val="both"/>
        <w:rPr>
          <w:rFonts w:ascii="Tahoma" w:hAnsi="Tahoma" w:cs="Tahoma"/>
          <w:sz w:val="20"/>
          <w:szCs w:val="20"/>
        </w:rPr>
      </w:pPr>
      <w:proofErr w:type="spellStart"/>
      <w:r w:rsidRPr="004575F2">
        <w:rPr>
          <w:rFonts w:ascii="Tahoma" w:hAnsi="Tahoma" w:cs="Tahoma"/>
          <w:sz w:val="20"/>
          <w:szCs w:val="20"/>
        </w:rPr>
        <w:t>Desk</w:t>
      </w:r>
      <w:proofErr w:type="spellEnd"/>
      <w:r w:rsidRPr="004575F2">
        <w:rPr>
          <w:rFonts w:ascii="Tahoma" w:hAnsi="Tahoma" w:cs="Tahoma"/>
          <w:sz w:val="20"/>
          <w:szCs w:val="20"/>
        </w:rPr>
        <w:t xml:space="preserve"> </w:t>
      </w:r>
      <w:proofErr w:type="spellStart"/>
      <w:r w:rsidRPr="004575F2">
        <w:rPr>
          <w:rFonts w:ascii="Tahoma" w:hAnsi="Tahoma" w:cs="Tahoma"/>
          <w:sz w:val="20"/>
          <w:szCs w:val="20"/>
        </w:rPr>
        <w:t>research</w:t>
      </w:r>
      <w:proofErr w:type="spellEnd"/>
    </w:p>
    <w:p w:rsidR="0011542D" w:rsidRPr="004575F2" w:rsidRDefault="0011542D" w:rsidP="00C6279B">
      <w:pPr>
        <w:pStyle w:val="Odstavecseseznamem"/>
        <w:numPr>
          <w:ilvl w:val="0"/>
          <w:numId w:val="3"/>
        </w:numPr>
        <w:ind w:left="1080"/>
        <w:jc w:val="both"/>
        <w:rPr>
          <w:rFonts w:ascii="Tahoma" w:hAnsi="Tahoma" w:cs="Tahoma"/>
          <w:sz w:val="20"/>
          <w:szCs w:val="20"/>
        </w:rPr>
      </w:pPr>
      <w:r w:rsidRPr="004575F2">
        <w:rPr>
          <w:rFonts w:ascii="Tahoma" w:hAnsi="Tahoma" w:cs="Tahoma"/>
          <w:sz w:val="20"/>
          <w:szCs w:val="20"/>
        </w:rPr>
        <w:t>SWOT analýza</w:t>
      </w:r>
    </w:p>
    <w:p w:rsidR="0011542D" w:rsidRDefault="0011542D" w:rsidP="00C6279B">
      <w:pPr>
        <w:pStyle w:val="Odstavecseseznamem"/>
        <w:numPr>
          <w:ilvl w:val="0"/>
          <w:numId w:val="3"/>
        </w:numPr>
        <w:ind w:left="1080"/>
        <w:jc w:val="both"/>
        <w:rPr>
          <w:rFonts w:ascii="Tahoma" w:hAnsi="Tahoma" w:cs="Tahoma"/>
          <w:sz w:val="20"/>
          <w:szCs w:val="20"/>
        </w:rPr>
      </w:pPr>
      <w:r>
        <w:rPr>
          <w:rFonts w:ascii="Tahoma" w:hAnsi="Tahoma" w:cs="Tahoma"/>
          <w:sz w:val="20"/>
          <w:szCs w:val="20"/>
        </w:rPr>
        <w:t>Metoda logického rámce</w:t>
      </w:r>
    </w:p>
    <w:p w:rsidR="0011542D" w:rsidRPr="00346F6A" w:rsidRDefault="0011542D" w:rsidP="00C6279B">
      <w:pPr>
        <w:pStyle w:val="Odstavecseseznamem"/>
        <w:numPr>
          <w:ilvl w:val="0"/>
          <w:numId w:val="3"/>
        </w:numPr>
        <w:ind w:left="1080"/>
        <w:jc w:val="both"/>
        <w:rPr>
          <w:rFonts w:ascii="Tahoma" w:hAnsi="Tahoma" w:cs="Tahoma"/>
          <w:sz w:val="20"/>
          <w:szCs w:val="20"/>
        </w:rPr>
      </w:pPr>
      <w:r w:rsidRPr="00346F6A">
        <w:rPr>
          <w:rFonts w:ascii="Tahoma" w:hAnsi="Tahoma" w:cs="Tahoma"/>
          <w:sz w:val="20"/>
          <w:szCs w:val="20"/>
        </w:rPr>
        <w:t>Procesní analýzy</w:t>
      </w:r>
    </w:p>
    <w:p w:rsidR="0011542D" w:rsidRPr="004575F2" w:rsidRDefault="0011542D" w:rsidP="00C6279B">
      <w:pPr>
        <w:pStyle w:val="Odstavecseseznamem"/>
        <w:numPr>
          <w:ilvl w:val="0"/>
          <w:numId w:val="3"/>
        </w:numPr>
        <w:ind w:left="1080"/>
        <w:jc w:val="both"/>
        <w:rPr>
          <w:rFonts w:ascii="Tahoma" w:hAnsi="Tahoma" w:cs="Tahoma"/>
          <w:sz w:val="20"/>
          <w:szCs w:val="20"/>
        </w:rPr>
      </w:pPr>
      <w:r w:rsidRPr="004575F2">
        <w:rPr>
          <w:rFonts w:ascii="Tahoma" w:hAnsi="Tahoma" w:cs="Tahoma"/>
          <w:sz w:val="20"/>
          <w:szCs w:val="20"/>
        </w:rPr>
        <w:t>Srovnávací metody</w:t>
      </w:r>
    </w:p>
    <w:p w:rsidR="0011542D" w:rsidRPr="004575F2" w:rsidRDefault="0011542D" w:rsidP="00C6279B">
      <w:pPr>
        <w:pStyle w:val="Odstavecseseznamem"/>
        <w:numPr>
          <w:ilvl w:val="0"/>
          <w:numId w:val="3"/>
        </w:numPr>
        <w:ind w:left="1080"/>
        <w:jc w:val="both"/>
        <w:rPr>
          <w:rFonts w:ascii="Tahoma" w:hAnsi="Tahoma" w:cs="Tahoma"/>
          <w:sz w:val="20"/>
          <w:szCs w:val="20"/>
        </w:rPr>
      </w:pPr>
      <w:r w:rsidRPr="004575F2">
        <w:rPr>
          <w:rFonts w:ascii="Tahoma" w:hAnsi="Tahoma" w:cs="Tahoma"/>
          <w:sz w:val="20"/>
          <w:szCs w:val="20"/>
        </w:rPr>
        <w:t>Metoda syntézy</w:t>
      </w:r>
    </w:p>
    <w:p w:rsidR="0011542D" w:rsidRDefault="000D29D6" w:rsidP="0011542D">
      <w:pPr>
        <w:spacing w:after="120"/>
        <w:rPr>
          <w:rFonts w:cs="Tahoma"/>
          <w:szCs w:val="20"/>
        </w:rPr>
      </w:pPr>
      <w:r>
        <w:rPr>
          <w:rFonts w:cs="Tahoma"/>
          <w:szCs w:val="20"/>
        </w:rPr>
        <w:t>a to</w:t>
      </w:r>
      <w:r w:rsidR="0011542D" w:rsidRPr="00D31629">
        <w:rPr>
          <w:rFonts w:cs="Tahoma"/>
          <w:szCs w:val="20"/>
        </w:rPr>
        <w:t xml:space="preserve"> podle aktuálních potřeb a hodnocených principů.</w:t>
      </w:r>
      <w:r w:rsidR="0011542D">
        <w:rPr>
          <w:rFonts w:cs="Tahoma"/>
          <w:szCs w:val="20"/>
        </w:rPr>
        <w:t xml:space="preserve"> </w:t>
      </w:r>
      <w:r w:rsidR="0011542D" w:rsidRPr="00D31629">
        <w:rPr>
          <w:rFonts w:cs="Tahoma"/>
          <w:szCs w:val="20"/>
        </w:rPr>
        <w:t xml:space="preserve">Získaná data a informace </w:t>
      </w:r>
      <w:r>
        <w:rPr>
          <w:rFonts w:cs="Tahoma"/>
          <w:szCs w:val="20"/>
        </w:rPr>
        <w:t>byla</w:t>
      </w:r>
      <w:r w:rsidR="0011542D">
        <w:rPr>
          <w:rFonts w:cs="Tahoma"/>
          <w:szCs w:val="20"/>
        </w:rPr>
        <w:t xml:space="preserve"> podrobována </w:t>
      </w:r>
      <w:r w:rsidR="0011542D" w:rsidRPr="00D31629">
        <w:rPr>
          <w:rFonts w:cs="Tahoma"/>
          <w:szCs w:val="20"/>
        </w:rPr>
        <w:t>analýzám (</w:t>
      </w:r>
      <w:proofErr w:type="spellStart"/>
      <w:r w:rsidR="0011542D" w:rsidRPr="00D31629">
        <w:rPr>
          <w:rFonts w:cs="Tahoma"/>
          <w:szCs w:val="20"/>
        </w:rPr>
        <w:t>desk</w:t>
      </w:r>
      <w:proofErr w:type="spellEnd"/>
      <w:r w:rsidR="0011542D" w:rsidRPr="00D31629">
        <w:rPr>
          <w:rFonts w:cs="Tahoma"/>
          <w:szCs w:val="20"/>
        </w:rPr>
        <w:t xml:space="preserve"> </w:t>
      </w:r>
      <w:proofErr w:type="spellStart"/>
      <w:r w:rsidR="0011542D" w:rsidRPr="00D31629">
        <w:rPr>
          <w:rFonts w:cs="Tahoma"/>
          <w:szCs w:val="20"/>
        </w:rPr>
        <w:t>research</w:t>
      </w:r>
      <w:proofErr w:type="spellEnd"/>
      <w:r w:rsidR="0011542D">
        <w:rPr>
          <w:rFonts w:cs="Tahoma"/>
          <w:szCs w:val="20"/>
        </w:rPr>
        <w:t>, srovnávací metody aj.</w:t>
      </w:r>
      <w:r w:rsidR="0011542D" w:rsidRPr="00D31629">
        <w:rPr>
          <w:rFonts w:cs="Tahoma"/>
          <w:szCs w:val="20"/>
        </w:rPr>
        <w:t xml:space="preserve">) a příslušná zjištění </w:t>
      </w:r>
      <w:r>
        <w:rPr>
          <w:rFonts w:cs="Tahoma"/>
          <w:szCs w:val="20"/>
        </w:rPr>
        <w:t>byla</w:t>
      </w:r>
      <w:r w:rsidR="0011542D" w:rsidRPr="00D31629">
        <w:rPr>
          <w:rFonts w:cs="Tahoma"/>
          <w:szCs w:val="20"/>
        </w:rPr>
        <w:t xml:space="preserve"> </w:t>
      </w:r>
      <w:r w:rsidR="0011542D" w:rsidRPr="00FD5BB6">
        <w:rPr>
          <w:rFonts w:cs="Tahoma"/>
          <w:szCs w:val="20"/>
        </w:rPr>
        <w:t>metodou syntézy poznatků formulována do</w:t>
      </w:r>
      <w:r w:rsidR="0011542D">
        <w:rPr>
          <w:rFonts w:cs="Tahoma"/>
          <w:szCs w:val="20"/>
        </w:rPr>
        <w:t xml:space="preserve"> dílčích výstupů, průběžných zpráv </w:t>
      </w:r>
      <w:r w:rsidR="0011542D" w:rsidRPr="00080EB9">
        <w:rPr>
          <w:rFonts w:cs="Tahoma"/>
          <w:szCs w:val="20"/>
        </w:rPr>
        <w:t>a následně i do závěrečné zprávy.</w:t>
      </w:r>
    </w:p>
    <w:p w:rsidR="00205839" w:rsidRDefault="004866E8" w:rsidP="004866E8">
      <w:pPr>
        <w:pStyle w:val="Nadpis2"/>
      </w:pPr>
      <w:bookmarkStart w:id="14" w:name="_Toc392583661"/>
      <w:r>
        <w:t>Dosavadní doporučení ex</w:t>
      </w:r>
      <w:r w:rsidR="002916A7">
        <w:t>-</w:t>
      </w:r>
      <w:r>
        <w:t>ante hodnotitele</w:t>
      </w:r>
      <w:bookmarkEnd w:id="14"/>
    </w:p>
    <w:p w:rsidR="00D55BE7" w:rsidRDefault="00D55BE7" w:rsidP="00D55BE7">
      <w:pPr>
        <w:spacing w:after="120"/>
        <w:rPr>
          <w:rFonts w:cs="Tahoma"/>
          <w:szCs w:val="20"/>
        </w:rPr>
      </w:pPr>
      <w:r w:rsidRPr="00F008A5">
        <w:rPr>
          <w:rFonts w:cs="Tahoma"/>
          <w:szCs w:val="20"/>
        </w:rPr>
        <w:t>Ho</w:t>
      </w:r>
      <w:r>
        <w:rPr>
          <w:rFonts w:cs="Tahoma"/>
          <w:szCs w:val="20"/>
        </w:rPr>
        <w:t xml:space="preserve">dnotitel provedl v předchozí fázi své činnosti detailní analýzu a rozbor </w:t>
      </w:r>
      <w:r w:rsidR="00825A7F">
        <w:rPr>
          <w:rFonts w:cs="Tahoma"/>
          <w:szCs w:val="20"/>
        </w:rPr>
        <w:t>5</w:t>
      </w:r>
      <w:r>
        <w:rPr>
          <w:rFonts w:cs="Tahoma"/>
          <w:szCs w:val="20"/>
        </w:rPr>
        <w:t xml:space="preserve">. verze OP PIK a svá zjištění a doporučení formuloval </w:t>
      </w:r>
      <w:r w:rsidRPr="00825A7F">
        <w:rPr>
          <w:rFonts w:cs="Tahoma"/>
          <w:szCs w:val="20"/>
        </w:rPr>
        <w:t>v</w:t>
      </w:r>
      <w:r w:rsidRPr="00825A7F">
        <w:rPr>
          <w:rFonts w:cs="Tahoma"/>
          <w:i/>
          <w:szCs w:val="20"/>
        </w:rPr>
        <w:t> </w:t>
      </w:r>
      <w:r w:rsidR="00825A7F" w:rsidRPr="00825A7F">
        <w:rPr>
          <w:rFonts w:cs="Tahoma"/>
          <w:i/>
          <w:szCs w:val="20"/>
        </w:rPr>
        <w:t>Z</w:t>
      </w:r>
      <w:r w:rsidRPr="000620FC">
        <w:rPr>
          <w:rFonts w:cs="Tahoma"/>
          <w:i/>
          <w:szCs w:val="20"/>
        </w:rPr>
        <w:t>ávěrečné zpráv</w:t>
      </w:r>
      <w:r w:rsidR="00825A7F">
        <w:rPr>
          <w:rFonts w:cs="Tahoma"/>
          <w:i/>
          <w:szCs w:val="20"/>
        </w:rPr>
        <w:t>ě</w:t>
      </w:r>
      <w:r w:rsidRPr="000620FC">
        <w:rPr>
          <w:rFonts w:cs="Tahoma"/>
          <w:i/>
          <w:szCs w:val="20"/>
        </w:rPr>
        <w:t xml:space="preserve"> ex-ante hodnocení OP PIK</w:t>
      </w:r>
      <w:r>
        <w:rPr>
          <w:rFonts w:cs="Tahoma"/>
          <w:i/>
          <w:szCs w:val="20"/>
        </w:rPr>
        <w:t xml:space="preserve"> 2014-2020</w:t>
      </w:r>
      <w:r w:rsidRPr="0014709B">
        <w:rPr>
          <w:rFonts w:cs="Tahoma"/>
          <w:szCs w:val="20"/>
        </w:rPr>
        <w:t>, která byla předána zadavateli v </w:t>
      </w:r>
      <w:r w:rsidR="00825A7F">
        <w:rPr>
          <w:rFonts w:cs="Tahoma"/>
          <w:szCs w:val="20"/>
        </w:rPr>
        <w:t>březnu</w:t>
      </w:r>
      <w:r w:rsidRPr="0014709B">
        <w:rPr>
          <w:rFonts w:cs="Tahoma"/>
          <w:szCs w:val="20"/>
        </w:rPr>
        <w:t xml:space="preserve"> 201</w:t>
      </w:r>
      <w:r w:rsidR="00825A7F">
        <w:rPr>
          <w:rFonts w:cs="Tahoma"/>
          <w:szCs w:val="20"/>
        </w:rPr>
        <w:t>4</w:t>
      </w:r>
      <w:r w:rsidRPr="0014709B">
        <w:rPr>
          <w:rFonts w:cs="Tahoma"/>
          <w:szCs w:val="20"/>
        </w:rPr>
        <w:t>.</w:t>
      </w:r>
      <w:r>
        <w:rPr>
          <w:rFonts w:cs="Tahoma"/>
          <w:szCs w:val="20"/>
        </w:rPr>
        <w:t xml:space="preserve"> </w:t>
      </w:r>
    </w:p>
    <w:p w:rsidR="00D55BE7" w:rsidRPr="00DA5BDB" w:rsidRDefault="00D55BE7" w:rsidP="00D55BE7">
      <w:pPr>
        <w:spacing w:after="120"/>
        <w:rPr>
          <w:rFonts w:cs="Tahoma"/>
          <w:szCs w:val="20"/>
        </w:rPr>
      </w:pPr>
      <w:r w:rsidRPr="00DA5BDB">
        <w:rPr>
          <w:rFonts w:cs="Tahoma"/>
          <w:szCs w:val="20"/>
        </w:rPr>
        <w:lastRenderedPageBreak/>
        <w:t xml:space="preserve">Hodnotitel vnímá pozitivně, že zpracovatel </w:t>
      </w:r>
      <w:r w:rsidR="009E5BE4" w:rsidRPr="009E5BE4">
        <w:rPr>
          <w:rFonts w:cs="Tahoma"/>
          <w:szCs w:val="20"/>
        </w:rPr>
        <w:t>velkou část návrhů a</w:t>
      </w:r>
      <w:r w:rsidRPr="00DA5BDB">
        <w:rPr>
          <w:rFonts w:cs="Tahoma"/>
          <w:szCs w:val="20"/>
        </w:rPr>
        <w:t xml:space="preserve"> doporučení zcela nebo částečně akceptoval a promítnul do </w:t>
      </w:r>
      <w:r w:rsidR="00825A7F" w:rsidRPr="00DA5BDB">
        <w:rPr>
          <w:rFonts w:cs="Tahoma"/>
          <w:szCs w:val="20"/>
        </w:rPr>
        <w:t xml:space="preserve">hodnocené </w:t>
      </w:r>
      <w:r w:rsidRPr="00DA5BDB">
        <w:rPr>
          <w:rFonts w:cs="Tahoma"/>
          <w:szCs w:val="20"/>
        </w:rPr>
        <w:t>verze OP PIK</w:t>
      </w:r>
      <w:r w:rsidR="00825A7F" w:rsidRPr="00DA5BDB">
        <w:rPr>
          <w:rFonts w:cs="Tahoma"/>
          <w:szCs w:val="20"/>
        </w:rPr>
        <w:t xml:space="preserve"> (7-2)</w:t>
      </w:r>
      <w:r w:rsidRPr="00DA5BDB">
        <w:rPr>
          <w:rFonts w:cs="Tahoma"/>
          <w:szCs w:val="20"/>
        </w:rPr>
        <w:t xml:space="preserve">. Jedná se </w:t>
      </w:r>
      <w:r w:rsidR="00933ACE">
        <w:rPr>
          <w:rFonts w:cs="Tahoma"/>
          <w:szCs w:val="20"/>
        </w:rPr>
        <w:t xml:space="preserve">mj. </w:t>
      </w:r>
      <w:r w:rsidRPr="00DA5BDB">
        <w:rPr>
          <w:rFonts w:cs="Tahoma"/>
          <w:szCs w:val="20"/>
        </w:rPr>
        <w:t>o:</w:t>
      </w:r>
    </w:p>
    <w:p w:rsidR="00D55BE7" w:rsidRPr="00DA5BDB" w:rsidRDefault="00357966" w:rsidP="00C6279B">
      <w:pPr>
        <w:pStyle w:val="Odstavecseseznamem"/>
        <w:numPr>
          <w:ilvl w:val="0"/>
          <w:numId w:val="12"/>
        </w:numPr>
        <w:spacing w:after="120"/>
        <w:jc w:val="both"/>
        <w:rPr>
          <w:rFonts w:ascii="Tahoma" w:hAnsi="Tahoma" w:cs="Tahoma"/>
          <w:sz w:val="20"/>
          <w:szCs w:val="20"/>
        </w:rPr>
      </w:pPr>
      <w:r>
        <w:rPr>
          <w:rFonts w:ascii="Tahoma" w:hAnsi="Tahoma" w:cs="Tahoma"/>
          <w:sz w:val="20"/>
          <w:szCs w:val="20"/>
        </w:rPr>
        <w:t>další</w:t>
      </w:r>
      <w:r w:rsidR="00D55BE7" w:rsidRPr="00DA5BDB">
        <w:rPr>
          <w:rFonts w:ascii="Tahoma" w:hAnsi="Tahoma" w:cs="Tahoma"/>
          <w:sz w:val="20"/>
          <w:szCs w:val="20"/>
        </w:rPr>
        <w:t xml:space="preserve"> zpřesnění intervenční logiky </w:t>
      </w:r>
      <w:r>
        <w:rPr>
          <w:rFonts w:ascii="Tahoma" w:hAnsi="Tahoma" w:cs="Tahoma"/>
          <w:sz w:val="20"/>
          <w:szCs w:val="20"/>
        </w:rPr>
        <w:t xml:space="preserve">operačního </w:t>
      </w:r>
      <w:r w:rsidR="00D55BE7" w:rsidRPr="00DA5BDB">
        <w:rPr>
          <w:rFonts w:ascii="Tahoma" w:hAnsi="Tahoma" w:cs="Tahoma"/>
          <w:sz w:val="20"/>
          <w:szCs w:val="20"/>
        </w:rPr>
        <w:t xml:space="preserve">programu ve smyslu upřesnění </w:t>
      </w:r>
      <w:r>
        <w:rPr>
          <w:rFonts w:ascii="Tahoma" w:hAnsi="Tahoma" w:cs="Tahoma"/>
          <w:sz w:val="20"/>
          <w:szCs w:val="20"/>
        </w:rPr>
        <w:t xml:space="preserve">indikativního výčtu </w:t>
      </w:r>
      <w:r w:rsidR="00D55BE7" w:rsidRPr="00DA5BDB">
        <w:rPr>
          <w:rFonts w:ascii="Tahoma" w:hAnsi="Tahoma" w:cs="Tahoma"/>
          <w:sz w:val="20"/>
          <w:szCs w:val="20"/>
        </w:rPr>
        <w:t>podporovaných aktivit v rámci specifických cílů</w:t>
      </w:r>
      <w:r w:rsidR="00103185">
        <w:rPr>
          <w:rFonts w:ascii="Tahoma" w:hAnsi="Tahoma" w:cs="Tahoma"/>
          <w:sz w:val="20"/>
          <w:szCs w:val="20"/>
        </w:rPr>
        <w:t xml:space="preserve">, </w:t>
      </w:r>
      <w:r w:rsidR="00DA5BDB" w:rsidRPr="00DA5BDB">
        <w:rPr>
          <w:rFonts w:ascii="Tahoma" w:hAnsi="Tahoma" w:cs="Tahoma"/>
          <w:sz w:val="20"/>
          <w:szCs w:val="20"/>
        </w:rPr>
        <w:t>jejich</w:t>
      </w:r>
      <w:r w:rsidR="00103185">
        <w:rPr>
          <w:rFonts w:ascii="Tahoma" w:hAnsi="Tahoma" w:cs="Tahoma"/>
          <w:sz w:val="20"/>
          <w:szCs w:val="20"/>
        </w:rPr>
        <w:t xml:space="preserve"> výstupů a také</w:t>
      </w:r>
      <w:r w:rsidR="00DA5BDB" w:rsidRPr="00DA5BDB">
        <w:rPr>
          <w:rFonts w:ascii="Tahoma" w:hAnsi="Tahoma" w:cs="Tahoma"/>
          <w:sz w:val="20"/>
          <w:szCs w:val="20"/>
        </w:rPr>
        <w:t xml:space="preserve"> vazeb na očekávané výsledky</w:t>
      </w:r>
      <w:r w:rsidR="00D55BE7" w:rsidRPr="00DA5BDB">
        <w:rPr>
          <w:rFonts w:ascii="Tahoma" w:hAnsi="Tahoma" w:cs="Tahoma"/>
          <w:sz w:val="20"/>
          <w:szCs w:val="20"/>
        </w:rPr>
        <w:t>;</w:t>
      </w:r>
    </w:p>
    <w:p w:rsidR="00D55BE7" w:rsidRPr="00DA5BDB" w:rsidRDefault="00D55BE7" w:rsidP="00C6279B">
      <w:pPr>
        <w:pStyle w:val="Odstavecseseznamem"/>
        <w:numPr>
          <w:ilvl w:val="0"/>
          <w:numId w:val="12"/>
        </w:numPr>
        <w:spacing w:after="120"/>
        <w:jc w:val="both"/>
        <w:rPr>
          <w:rFonts w:ascii="Tahoma" w:hAnsi="Tahoma" w:cs="Tahoma"/>
          <w:sz w:val="20"/>
          <w:szCs w:val="20"/>
        </w:rPr>
      </w:pPr>
      <w:r w:rsidRPr="00DA5BDB">
        <w:rPr>
          <w:rFonts w:ascii="Tahoma" w:hAnsi="Tahoma" w:cs="Tahoma"/>
          <w:sz w:val="20"/>
          <w:szCs w:val="20"/>
        </w:rPr>
        <w:t xml:space="preserve">doplnění pasáží věnujících </w:t>
      </w:r>
      <w:r w:rsidR="00103185">
        <w:rPr>
          <w:rFonts w:ascii="Tahoma" w:hAnsi="Tahoma" w:cs="Tahoma"/>
          <w:sz w:val="20"/>
          <w:szCs w:val="20"/>
        </w:rPr>
        <w:t xml:space="preserve">zhodnocení a </w:t>
      </w:r>
      <w:r w:rsidRPr="00DA5BDB">
        <w:rPr>
          <w:rFonts w:ascii="Tahoma" w:hAnsi="Tahoma" w:cs="Tahoma"/>
          <w:sz w:val="20"/>
          <w:szCs w:val="20"/>
        </w:rPr>
        <w:t>návaznostem na programovací období 2007–2013</w:t>
      </w:r>
      <w:r w:rsidR="00357966">
        <w:rPr>
          <w:rFonts w:ascii="Tahoma" w:hAnsi="Tahoma" w:cs="Tahoma"/>
          <w:sz w:val="20"/>
          <w:szCs w:val="20"/>
        </w:rPr>
        <w:t xml:space="preserve"> </w:t>
      </w:r>
      <w:r w:rsidR="00103185">
        <w:rPr>
          <w:rFonts w:ascii="Tahoma" w:hAnsi="Tahoma" w:cs="Tahoma"/>
          <w:sz w:val="20"/>
          <w:szCs w:val="20"/>
        </w:rPr>
        <w:t xml:space="preserve">(připraveno formou nepovinné přílohy, vlastní text zatím </w:t>
      </w:r>
      <w:r w:rsidR="00357966">
        <w:rPr>
          <w:rFonts w:ascii="Tahoma" w:hAnsi="Tahoma" w:cs="Tahoma"/>
          <w:sz w:val="20"/>
          <w:szCs w:val="20"/>
        </w:rPr>
        <w:t>nedoplněn)</w:t>
      </w:r>
      <w:r w:rsidRPr="00DA5BDB">
        <w:rPr>
          <w:rFonts w:ascii="Tahoma" w:hAnsi="Tahoma" w:cs="Tahoma"/>
          <w:sz w:val="20"/>
          <w:szCs w:val="20"/>
        </w:rPr>
        <w:t xml:space="preserve">;    </w:t>
      </w:r>
    </w:p>
    <w:p w:rsidR="00DA5BDB" w:rsidRPr="00DA5BDB" w:rsidRDefault="00DA5BDB" w:rsidP="00C6279B">
      <w:pPr>
        <w:pStyle w:val="Odstavecseseznamem"/>
        <w:numPr>
          <w:ilvl w:val="0"/>
          <w:numId w:val="12"/>
        </w:numPr>
        <w:spacing w:after="120"/>
        <w:jc w:val="both"/>
        <w:rPr>
          <w:rFonts w:ascii="Tahoma" w:hAnsi="Tahoma" w:cs="Tahoma"/>
          <w:sz w:val="20"/>
          <w:szCs w:val="20"/>
        </w:rPr>
      </w:pPr>
      <w:r w:rsidRPr="00DA5BDB">
        <w:rPr>
          <w:rFonts w:ascii="Tahoma" w:hAnsi="Tahoma" w:cs="Tahoma"/>
          <w:sz w:val="20"/>
          <w:szCs w:val="20"/>
        </w:rPr>
        <w:t>revizi indikátorové soustavy OP PIK</w:t>
      </w:r>
      <w:r w:rsidR="00357966">
        <w:rPr>
          <w:rFonts w:ascii="Tahoma" w:hAnsi="Tahoma" w:cs="Tahoma"/>
          <w:sz w:val="20"/>
          <w:szCs w:val="20"/>
        </w:rPr>
        <w:t xml:space="preserve"> na úrovni výsledků specifických cílů</w:t>
      </w:r>
      <w:r w:rsidRPr="00DA5BDB">
        <w:rPr>
          <w:rFonts w:ascii="Tahoma" w:hAnsi="Tahoma" w:cs="Tahoma"/>
          <w:sz w:val="20"/>
          <w:szCs w:val="20"/>
        </w:rPr>
        <w:t>;</w:t>
      </w:r>
    </w:p>
    <w:p w:rsidR="00DA5BDB" w:rsidRPr="00DA5BDB" w:rsidRDefault="00D55BE7" w:rsidP="00DA5BDB">
      <w:pPr>
        <w:pStyle w:val="Odstavecseseznamem"/>
        <w:numPr>
          <w:ilvl w:val="0"/>
          <w:numId w:val="12"/>
        </w:numPr>
        <w:spacing w:after="120"/>
        <w:jc w:val="both"/>
        <w:rPr>
          <w:rFonts w:ascii="Tahoma" w:hAnsi="Tahoma" w:cs="Tahoma"/>
          <w:sz w:val="20"/>
          <w:szCs w:val="20"/>
        </w:rPr>
      </w:pPr>
      <w:r w:rsidRPr="00DA5BDB">
        <w:rPr>
          <w:rFonts w:ascii="Tahoma" w:hAnsi="Tahoma" w:cs="Tahoma"/>
          <w:sz w:val="20"/>
          <w:szCs w:val="20"/>
        </w:rPr>
        <w:t>doplnění</w:t>
      </w:r>
      <w:r w:rsidR="00357966">
        <w:rPr>
          <w:rFonts w:ascii="Tahoma" w:hAnsi="Tahoma" w:cs="Tahoma"/>
          <w:sz w:val="20"/>
          <w:szCs w:val="20"/>
        </w:rPr>
        <w:t xml:space="preserve"> a zpřesnění</w:t>
      </w:r>
      <w:r w:rsidRPr="00DA5BDB">
        <w:rPr>
          <w:rFonts w:ascii="Tahoma" w:hAnsi="Tahoma" w:cs="Tahoma"/>
          <w:sz w:val="20"/>
          <w:szCs w:val="20"/>
        </w:rPr>
        <w:t xml:space="preserve"> </w:t>
      </w:r>
      <w:r w:rsidR="00DA5BDB" w:rsidRPr="00DA5BDB">
        <w:rPr>
          <w:rFonts w:ascii="Tahoma" w:hAnsi="Tahoma" w:cs="Tahoma"/>
          <w:sz w:val="20"/>
          <w:szCs w:val="20"/>
        </w:rPr>
        <w:t>výchozích a</w:t>
      </w:r>
      <w:r w:rsidRPr="00DA5BDB">
        <w:rPr>
          <w:rFonts w:ascii="Tahoma" w:hAnsi="Tahoma" w:cs="Tahoma"/>
          <w:sz w:val="20"/>
          <w:szCs w:val="20"/>
        </w:rPr>
        <w:t xml:space="preserve"> cílových hodnot </w:t>
      </w:r>
      <w:r w:rsidR="00DA5BDB" w:rsidRPr="00DA5BDB">
        <w:rPr>
          <w:rFonts w:ascii="Tahoma" w:hAnsi="Tahoma" w:cs="Tahoma"/>
          <w:sz w:val="20"/>
          <w:szCs w:val="20"/>
        </w:rPr>
        <w:t>ukazatelů;</w:t>
      </w:r>
    </w:p>
    <w:p w:rsidR="00D55BE7" w:rsidRPr="00DA5BDB" w:rsidRDefault="00DA5BDB" w:rsidP="00DA5BDB">
      <w:pPr>
        <w:pStyle w:val="Odstavecseseznamem"/>
        <w:numPr>
          <w:ilvl w:val="0"/>
          <w:numId w:val="12"/>
        </w:numPr>
        <w:spacing w:after="120"/>
        <w:jc w:val="both"/>
        <w:rPr>
          <w:rFonts w:ascii="Tahoma" w:hAnsi="Tahoma" w:cs="Tahoma"/>
          <w:sz w:val="20"/>
          <w:szCs w:val="20"/>
        </w:rPr>
      </w:pPr>
      <w:r w:rsidRPr="00DA5BDB">
        <w:rPr>
          <w:rFonts w:ascii="Tahoma" w:hAnsi="Tahoma" w:cs="Tahoma"/>
          <w:sz w:val="20"/>
          <w:szCs w:val="20"/>
        </w:rPr>
        <w:t>doplnění popisu základních postupů monitorování programu a shromažďování dat nezbytných k provádění evaluací k posouzení účinnosti, účelnosti a dopadu operačního programu</w:t>
      </w:r>
      <w:r w:rsidR="00D55BE7" w:rsidRPr="00DA5BDB">
        <w:rPr>
          <w:rFonts w:ascii="Tahoma" w:hAnsi="Tahoma" w:cs="Tahoma"/>
          <w:sz w:val="20"/>
          <w:szCs w:val="20"/>
        </w:rPr>
        <w:t xml:space="preserve">. </w:t>
      </w:r>
    </w:p>
    <w:p w:rsidR="00D55BE7" w:rsidRPr="00DA5BDB" w:rsidRDefault="00D55BE7" w:rsidP="00D55BE7">
      <w:pPr>
        <w:spacing w:after="120"/>
        <w:rPr>
          <w:rFonts w:eastAsia="Calibri" w:cs="Times New Roman"/>
        </w:rPr>
      </w:pPr>
      <w:r w:rsidRPr="00DA5BDB">
        <w:rPr>
          <w:rFonts w:eastAsia="Calibri" w:cs="Times New Roman"/>
        </w:rPr>
        <w:t xml:space="preserve">Další </w:t>
      </w:r>
      <w:r w:rsidR="00103185">
        <w:rPr>
          <w:rFonts w:eastAsia="Calibri" w:cs="Times New Roman"/>
        </w:rPr>
        <w:t xml:space="preserve">předchozí zjištění </w:t>
      </w:r>
      <w:r w:rsidRPr="00DA5BDB">
        <w:rPr>
          <w:rFonts w:eastAsia="Calibri" w:cs="Times New Roman"/>
        </w:rPr>
        <w:t xml:space="preserve">a doporučení </w:t>
      </w:r>
      <w:r w:rsidR="00103185">
        <w:rPr>
          <w:rFonts w:eastAsia="Calibri" w:cs="Times New Roman"/>
        </w:rPr>
        <w:t xml:space="preserve">ex-ante hodnotitele </w:t>
      </w:r>
      <w:r w:rsidRPr="00DA5BDB">
        <w:rPr>
          <w:rFonts w:eastAsia="Calibri" w:cs="Times New Roman"/>
        </w:rPr>
        <w:t xml:space="preserve">byla zohledněna </w:t>
      </w:r>
      <w:r w:rsidR="009E5BE4" w:rsidRPr="009E5BE4">
        <w:rPr>
          <w:rFonts w:eastAsia="Calibri" w:cs="Times New Roman"/>
        </w:rPr>
        <w:t>spíše v</w:t>
      </w:r>
      <w:r w:rsidRPr="00DA5BDB">
        <w:rPr>
          <w:rFonts w:eastAsia="Calibri" w:cs="Times New Roman"/>
        </w:rPr>
        <w:t> malé míře nebo vůbec. Jedná se zejména o následující:</w:t>
      </w:r>
    </w:p>
    <w:p w:rsidR="00D55BE7" w:rsidRPr="00DA5BDB" w:rsidRDefault="00D55BE7" w:rsidP="00C6279B">
      <w:pPr>
        <w:pStyle w:val="Odstavecseseznamem"/>
        <w:numPr>
          <w:ilvl w:val="0"/>
          <w:numId w:val="21"/>
        </w:numPr>
        <w:spacing w:after="120"/>
        <w:jc w:val="both"/>
        <w:rPr>
          <w:rFonts w:ascii="Tahoma" w:hAnsi="Tahoma" w:cs="Tahoma"/>
          <w:sz w:val="20"/>
          <w:szCs w:val="20"/>
        </w:rPr>
      </w:pPr>
      <w:r w:rsidRPr="00E87A16">
        <w:rPr>
          <w:rFonts w:ascii="Tahoma" w:hAnsi="Tahoma" w:cs="Tahoma"/>
          <w:sz w:val="20"/>
          <w:szCs w:val="20"/>
        </w:rPr>
        <w:t>Zváž</w:t>
      </w:r>
      <w:r w:rsidR="009E5BE4" w:rsidRPr="009E5BE4">
        <w:rPr>
          <w:rFonts w:ascii="Tahoma" w:hAnsi="Tahoma" w:cs="Tahoma"/>
          <w:sz w:val="20"/>
          <w:szCs w:val="20"/>
        </w:rPr>
        <w:t>it případnou vyšš</w:t>
      </w:r>
      <w:r w:rsidRPr="00E87A16">
        <w:rPr>
          <w:rFonts w:ascii="Tahoma" w:hAnsi="Tahoma" w:cs="Tahoma"/>
          <w:sz w:val="20"/>
          <w:szCs w:val="20"/>
        </w:rPr>
        <w:t>í</w:t>
      </w:r>
      <w:r w:rsidRPr="00DA5BDB">
        <w:rPr>
          <w:rFonts w:ascii="Tahoma" w:hAnsi="Tahoma" w:cs="Tahoma"/>
          <w:sz w:val="20"/>
          <w:szCs w:val="20"/>
        </w:rPr>
        <w:t xml:space="preserve"> koncentraci OP PIK.</w:t>
      </w:r>
    </w:p>
    <w:p w:rsidR="00D55BE7" w:rsidRPr="00DA5BDB" w:rsidRDefault="00DA5BDB" w:rsidP="00C6279B">
      <w:pPr>
        <w:pStyle w:val="Odstavecseseznamem"/>
        <w:numPr>
          <w:ilvl w:val="0"/>
          <w:numId w:val="21"/>
        </w:numPr>
        <w:spacing w:after="120"/>
        <w:jc w:val="both"/>
        <w:rPr>
          <w:rFonts w:ascii="Tahoma" w:hAnsi="Tahoma" w:cs="Tahoma"/>
          <w:sz w:val="20"/>
          <w:szCs w:val="20"/>
        </w:rPr>
      </w:pPr>
      <w:r w:rsidRPr="00DA5BDB">
        <w:rPr>
          <w:rFonts w:ascii="Tahoma" w:hAnsi="Tahoma" w:cs="Tahoma"/>
          <w:sz w:val="20"/>
          <w:szCs w:val="20"/>
        </w:rPr>
        <w:t>Více p</w:t>
      </w:r>
      <w:r w:rsidR="00D55BE7" w:rsidRPr="00DA5BDB">
        <w:rPr>
          <w:rFonts w:ascii="Tahoma" w:hAnsi="Tahoma" w:cs="Tahoma"/>
          <w:sz w:val="20"/>
          <w:szCs w:val="20"/>
        </w:rPr>
        <w:t xml:space="preserve">opsat synergie </w:t>
      </w:r>
      <w:r w:rsidR="002A0747">
        <w:rPr>
          <w:rFonts w:ascii="Tahoma" w:hAnsi="Tahoma" w:cs="Tahoma"/>
          <w:sz w:val="20"/>
          <w:szCs w:val="20"/>
        </w:rPr>
        <w:t xml:space="preserve">a také hraniční oblasti </w:t>
      </w:r>
      <w:r w:rsidR="00D55BE7" w:rsidRPr="00DA5BDB">
        <w:rPr>
          <w:rFonts w:ascii="Tahoma" w:hAnsi="Tahoma" w:cs="Tahoma"/>
          <w:sz w:val="20"/>
          <w:szCs w:val="20"/>
        </w:rPr>
        <w:t>mezi prioritními osami a specifickými cíli OP PIK.</w:t>
      </w:r>
    </w:p>
    <w:p w:rsidR="00D85051" w:rsidRDefault="00D55BE7" w:rsidP="00D85051">
      <w:pPr>
        <w:pStyle w:val="Odstavecseseznamem"/>
        <w:numPr>
          <w:ilvl w:val="0"/>
          <w:numId w:val="21"/>
        </w:numPr>
        <w:spacing w:after="120"/>
        <w:jc w:val="both"/>
        <w:rPr>
          <w:rFonts w:ascii="Tahoma" w:hAnsi="Tahoma" w:cs="Tahoma"/>
          <w:sz w:val="20"/>
          <w:szCs w:val="20"/>
        </w:rPr>
      </w:pPr>
      <w:r w:rsidRPr="00D85051">
        <w:rPr>
          <w:rFonts w:ascii="Tahoma" w:hAnsi="Tahoma" w:cs="Tahoma"/>
          <w:sz w:val="20"/>
          <w:szCs w:val="20"/>
        </w:rPr>
        <w:t>Zpřesnit intervenční logiku programu ve smyslu</w:t>
      </w:r>
      <w:r w:rsidR="00DA5BDB" w:rsidRPr="00D85051">
        <w:rPr>
          <w:rFonts w:ascii="Tahoma" w:hAnsi="Tahoma" w:cs="Tahoma"/>
          <w:sz w:val="20"/>
          <w:szCs w:val="20"/>
        </w:rPr>
        <w:t xml:space="preserve">: i) </w:t>
      </w:r>
      <w:r w:rsidRPr="00D85051">
        <w:rPr>
          <w:rFonts w:ascii="Tahoma" w:hAnsi="Tahoma" w:cs="Tahoma"/>
          <w:sz w:val="20"/>
          <w:szCs w:val="20"/>
        </w:rPr>
        <w:t>provést revizi popsaných výsledků, jichž chtějí specifické cíle dosáhnout, a odliši</w:t>
      </w:r>
      <w:r w:rsidR="009E5BE4" w:rsidRPr="009E5BE4">
        <w:rPr>
          <w:rFonts w:ascii="Tahoma" w:hAnsi="Tahoma" w:cs="Tahoma"/>
          <w:sz w:val="20"/>
          <w:szCs w:val="20"/>
        </w:rPr>
        <w:t>t dos</w:t>
      </w:r>
      <w:r w:rsidRPr="00E87A16">
        <w:rPr>
          <w:rFonts w:ascii="Tahoma" w:hAnsi="Tahoma" w:cs="Tahoma"/>
          <w:sz w:val="20"/>
          <w:szCs w:val="20"/>
        </w:rPr>
        <w:t>ažitelné</w:t>
      </w:r>
      <w:r w:rsidRPr="00D85051">
        <w:rPr>
          <w:rFonts w:ascii="Tahoma" w:hAnsi="Tahoma" w:cs="Tahoma"/>
          <w:sz w:val="20"/>
          <w:szCs w:val="20"/>
        </w:rPr>
        <w:t xml:space="preserve"> (reálné) výsledky OP PIK od širších socioekonomických cílů a </w:t>
      </w:r>
      <w:proofErr w:type="spellStart"/>
      <w:r w:rsidRPr="00D85051">
        <w:rPr>
          <w:rFonts w:ascii="Tahoma" w:hAnsi="Tahoma" w:cs="Tahoma"/>
          <w:sz w:val="20"/>
          <w:szCs w:val="20"/>
        </w:rPr>
        <w:t>ii</w:t>
      </w:r>
      <w:proofErr w:type="spellEnd"/>
      <w:r w:rsidRPr="00D85051">
        <w:rPr>
          <w:rFonts w:ascii="Tahoma" w:hAnsi="Tahoma" w:cs="Tahoma"/>
          <w:sz w:val="20"/>
          <w:szCs w:val="20"/>
        </w:rPr>
        <w:t xml:space="preserve">) </w:t>
      </w:r>
      <w:r w:rsidR="009E5BE4" w:rsidRPr="009E5BE4">
        <w:rPr>
          <w:rFonts w:ascii="Tahoma" w:hAnsi="Tahoma" w:cs="Tahoma"/>
          <w:sz w:val="20"/>
          <w:szCs w:val="20"/>
        </w:rPr>
        <w:t xml:space="preserve">popř. </w:t>
      </w:r>
      <w:r w:rsidRPr="00D85051">
        <w:rPr>
          <w:rFonts w:ascii="Tahoma" w:hAnsi="Tahoma" w:cs="Tahoma"/>
          <w:sz w:val="20"/>
          <w:szCs w:val="20"/>
        </w:rPr>
        <w:t>doplnit popis/vyjádření vazeb očekávaných výsledků specifických cílů OP PIK na hlavní</w:t>
      </w:r>
      <w:r w:rsidR="00D85051" w:rsidRPr="00D85051">
        <w:rPr>
          <w:rFonts w:ascii="Tahoma" w:hAnsi="Tahoma" w:cs="Tahoma"/>
          <w:sz w:val="20"/>
          <w:szCs w:val="20"/>
        </w:rPr>
        <w:t xml:space="preserve"> </w:t>
      </w:r>
      <w:proofErr w:type="spellStart"/>
      <w:r w:rsidRPr="00D85051">
        <w:rPr>
          <w:rFonts w:ascii="Tahoma" w:hAnsi="Tahoma" w:cs="Tahoma"/>
          <w:sz w:val="20"/>
          <w:szCs w:val="20"/>
        </w:rPr>
        <w:t>výsledktematických</w:t>
      </w:r>
      <w:proofErr w:type="spellEnd"/>
      <w:r w:rsidRPr="00D85051">
        <w:rPr>
          <w:rFonts w:ascii="Tahoma" w:hAnsi="Tahoma" w:cs="Tahoma"/>
          <w:sz w:val="20"/>
          <w:szCs w:val="20"/>
        </w:rPr>
        <w:t xml:space="preserve"> cílů </w:t>
      </w:r>
      <w:proofErr w:type="spellStart"/>
      <w:r w:rsidRPr="00D85051">
        <w:rPr>
          <w:rFonts w:ascii="Tahoma" w:hAnsi="Tahoma" w:cs="Tahoma"/>
          <w:sz w:val="20"/>
          <w:szCs w:val="20"/>
        </w:rPr>
        <w:t>uvedenv</w:t>
      </w:r>
      <w:proofErr w:type="spellEnd"/>
      <w:r w:rsidR="00D85051" w:rsidRPr="00D85051">
        <w:rPr>
          <w:rFonts w:ascii="Tahoma" w:hAnsi="Tahoma" w:cs="Tahoma"/>
          <w:sz w:val="20"/>
          <w:szCs w:val="20"/>
        </w:rPr>
        <w:t> </w:t>
      </w:r>
      <w:proofErr w:type="spellStart"/>
      <w:r w:rsidRPr="00D85051">
        <w:rPr>
          <w:rFonts w:ascii="Tahoma" w:hAnsi="Tahoma" w:cs="Tahoma"/>
          <w:sz w:val="20"/>
          <w:szCs w:val="20"/>
        </w:rPr>
        <w:t>DoP</w:t>
      </w:r>
      <w:r w:rsidR="00D85051" w:rsidRPr="00D85051">
        <w:rPr>
          <w:rFonts w:ascii="Tahoma" w:hAnsi="Tahoma" w:cs="Tahoma"/>
          <w:sz w:val="20"/>
          <w:szCs w:val="20"/>
        </w:rPr>
        <w:t>.</w:t>
      </w:r>
      <w:proofErr w:type="spellEnd"/>
      <w:r w:rsidR="00D85051" w:rsidRPr="00D85051">
        <w:rPr>
          <w:rFonts w:ascii="Tahoma" w:hAnsi="Tahoma" w:cs="Tahoma"/>
          <w:sz w:val="20"/>
          <w:szCs w:val="20"/>
        </w:rPr>
        <w:t xml:space="preserve"> </w:t>
      </w:r>
    </w:p>
    <w:p w:rsidR="0027710F" w:rsidRPr="00D85051" w:rsidRDefault="0027710F" w:rsidP="00D85051">
      <w:pPr>
        <w:pStyle w:val="Odstavecseseznamem"/>
        <w:numPr>
          <w:ilvl w:val="0"/>
          <w:numId w:val="21"/>
        </w:numPr>
        <w:spacing w:after="120"/>
        <w:jc w:val="both"/>
        <w:rPr>
          <w:rFonts w:ascii="Tahoma" w:hAnsi="Tahoma" w:cs="Tahoma"/>
          <w:sz w:val="20"/>
          <w:szCs w:val="20"/>
        </w:rPr>
      </w:pPr>
      <w:r w:rsidRPr="00D85051">
        <w:rPr>
          <w:rFonts w:ascii="Tahoma" w:hAnsi="Tahoma" w:cs="Tahoma"/>
          <w:sz w:val="20"/>
          <w:szCs w:val="20"/>
        </w:rPr>
        <w:t>Doplnit u jednotlivých specifických cílů OP PIK výčet dalších faktorů/opatření nad rámec OP PIK, které jsou nezbytné pro dosažení žádoucích změn</w:t>
      </w:r>
      <w:r w:rsidR="00BB00EC" w:rsidRPr="00D85051">
        <w:rPr>
          <w:rFonts w:ascii="Tahoma" w:hAnsi="Tahoma" w:cs="Tahoma"/>
          <w:sz w:val="20"/>
          <w:szCs w:val="20"/>
        </w:rPr>
        <w:t>, což dle vyjádření zadavatele bude uvedeno v příloze věnující se analýze potřeb ČR.</w:t>
      </w:r>
      <w:r w:rsidRPr="00D85051">
        <w:rPr>
          <w:rFonts w:ascii="Tahoma" w:hAnsi="Tahoma" w:cs="Tahoma"/>
          <w:sz w:val="20"/>
          <w:szCs w:val="20"/>
        </w:rPr>
        <w:t xml:space="preserve">   </w:t>
      </w:r>
    </w:p>
    <w:p w:rsidR="00103185" w:rsidRPr="00103185" w:rsidRDefault="00103185" w:rsidP="00BB00EC">
      <w:pPr>
        <w:pStyle w:val="Odstavecseseznamem"/>
        <w:numPr>
          <w:ilvl w:val="0"/>
          <w:numId w:val="21"/>
        </w:numPr>
        <w:spacing w:after="120"/>
        <w:jc w:val="both"/>
        <w:rPr>
          <w:rFonts w:ascii="Tahoma" w:hAnsi="Tahoma" w:cs="Tahoma"/>
          <w:sz w:val="20"/>
          <w:szCs w:val="20"/>
        </w:rPr>
      </w:pPr>
      <w:r w:rsidRPr="00103185">
        <w:rPr>
          <w:rFonts w:ascii="Tahoma" w:hAnsi="Tahoma" w:cs="Tahoma"/>
          <w:sz w:val="20"/>
          <w:szCs w:val="20"/>
        </w:rPr>
        <w:t>Přehledněji uvést a popsat principy naplňování územní dimenze vč. jejich</w:t>
      </w:r>
      <w:r>
        <w:rPr>
          <w:rFonts w:ascii="Tahoma" w:hAnsi="Tahoma" w:cs="Tahoma"/>
          <w:sz w:val="20"/>
          <w:szCs w:val="20"/>
        </w:rPr>
        <w:t xml:space="preserve"> pří</w:t>
      </w:r>
      <w:r w:rsidRPr="00103185">
        <w:rPr>
          <w:rFonts w:ascii="Tahoma" w:hAnsi="Tahoma" w:cs="Tahoma"/>
          <w:sz w:val="20"/>
          <w:szCs w:val="20"/>
        </w:rPr>
        <w:t>sp</w:t>
      </w:r>
      <w:r>
        <w:rPr>
          <w:rFonts w:ascii="Tahoma" w:hAnsi="Tahoma" w:cs="Tahoma"/>
          <w:sz w:val="20"/>
          <w:szCs w:val="20"/>
        </w:rPr>
        <w:t xml:space="preserve">ěvku </w:t>
      </w:r>
      <w:r w:rsidRPr="00103185">
        <w:rPr>
          <w:rFonts w:ascii="Tahoma" w:hAnsi="Tahoma" w:cs="Tahoma"/>
          <w:sz w:val="20"/>
          <w:szCs w:val="20"/>
        </w:rPr>
        <w:t>k cílům a očekávaným výsledkům programu.</w:t>
      </w:r>
      <w:r w:rsidR="00BB00EC">
        <w:rPr>
          <w:rFonts w:ascii="Tahoma" w:hAnsi="Tahoma" w:cs="Tahoma"/>
          <w:sz w:val="20"/>
          <w:szCs w:val="20"/>
        </w:rPr>
        <w:t xml:space="preserve"> Zde bere hodnotitel na vědomí skutečnost, že se dokončují na národní úrovni (v gesci MMR-NOK) Národní dokument k územní dimenzi (NDÚD) a Metodický pokyn pro využití integrovaných nástrojů v programovém období 2014 – 2020 (MPIN), které </w:t>
      </w:r>
      <w:r w:rsidR="00BB00EC" w:rsidRPr="00BB00EC">
        <w:rPr>
          <w:rFonts w:ascii="Tahoma" w:hAnsi="Tahoma" w:cs="Tahoma"/>
          <w:sz w:val="20"/>
          <w:szCs w:val="20"/>
        </w:rPr>
        <w:t>dle vyjádření zadavatele</w:t>
      </w:r>
      <w:r w:rsidR="00BB00EC">
        <w:rPr>
          <w:rFonts w:ascii="Tahoma" w:hAnsi="Tahoma" w:cs="Tahoma"/>
          <w:sz w:val="20"/>
          <w:szCs w:val="20"/>
        </w:rPr>
        <w:t xml:space="preserve"> budou zohledněny při dalších pracích na programovém dokumentu OP PIK.</w:t>
      </w:r>
    </w:p>
    <w:p w:rsidR="004866E8" w:rsidRPr="00276FF3" w:rsidRDefault="00276FF3" w:rsidP="00276FF3">
      <w:pPr>
        <w:pStyle w:val="Nadpis2"/>
      </w:pPr>
      <w:bookmarkStart w:id="15" w:name="_Toc392583662"/>
      <w:r w:rsidRPr="00276FF3">
        <w:t>Otevřené otázky, nedořešená témata</w:t>
      </w:r>
      <w:bookmarkEnd w:id="15"/>
    </w:p>
    <w:p w:rsidR="00E43EBC" w:rsidRPr="00667E35" w:rsidRDefault="00276FF3" w:rsidP="004866E8">
      <w:pPr>
        <w:spacing w:after="120"/>
        <w:rPr>
          <w:rFonts w:eastAsia="Calibri" w:cs="Times New Roman"/>
        </w:rPr>
      </w:pPr>
      <w:r w:rsidRPr="00DA5BDB">
        <w:rPr>
          <w:rFonts w:eastAsia="Calibri" w:cs="Times New Roman"/>
        </w:rPr>
        <w:t xml:space="preserve">Hodnotitel upozorňuje, že s ohledem </w:t>
      </w:r>
      <w:r w:rsidRPr="00667E35">
        <w:rPr>
          <w:rFonts w:eastAsia="Calibri" w:cs="Times New Roman"/>
        </w:rPr>
        <w:t xml:space="preserve">na objektivní </w:t>
      </w:r>
      <w:r w:rsidR="00E43EBC" w:rsidRPr="00667E35">
        <w:rPr>
          <w:rFonts w:eastAsia="Calibri" w:cs="Times New Roman"/>
        </w:rPr>
        <w:t xml:space="preserve">vnější </w:t>
      </w:r>
      <w:r w:rsidRPr="00667E35">
        <w:rPr>
          <w:rFonts w:eastAsia="Calibri" w:cs="Times New Roman"/>
        </w:rPr>
        <w:t xml:space="preserve">okolnosti a aktuální stav věcí zůstávají některá témata s vazbou na ex-ante hodnocení OP PIK </w:t>
      </w:r>
      <w:r w:rsidR="009E5BE4" w:rsidRPr="009E5BE4">
        <w:rPr>
          <w:rFonts w:eastAsia="Calibri" w:cs="Times New Roman"/>
        </w:rPr>
        <w:t>ješt</w:t>
      </w:r>
      <w:r w:rsidR="009E5BE4" w:rsidRPr="009E5BE4">
        <w:rPr>
          <w:rFonts w:eastAsia="Calibri" w:cs="Times New Roman" w:hint="eastAsia"/>
        </w:rPr>
        <w:t>ě</w:t>
      </w:r>
      <w:r w:rsidR="009E5BE4" w:rsidRPr="009E5BE4">
        <w:rPr>
          <w:rFonts w:eastAsia="Calibri" w:cs="Times New Roman"/>
        </w:rPr>
        <w:t xml:space="preserve"> </w:t>
      </w:r>
      <w:r w:rsidRPr="00667E35">
        <w:rPr>
          <w:rFonts w:eastAsia="Calibri" w:cs="Times New Roman"/>
        </w:rPr>
        <w:t>otevřená</w:t>
      </w:r>
      <w:r w:rsidR="00E43EBC" w:rsidRPr="00667E35">
        <w:rPr>
          <w:rFonts w:eastAsia="Calibri" w:cs="Times New Roman"/>
        </w:rPr>
        <w:t xml:space="preserve">. </w:t>
      </w:r>
    </w:p>
    <w:p w:rsidR="00E43EBC" w:rsidRPr="00667E35" w:rsidRDefault="00E43EBC" w:rsidP="004866E8">
      <w:pPr>
        <w:spacing w:after="120"/>
        <w:rPr>
          <w:rFonts w:eastAsia="Calibri" w:cs="Times New Roman"/>
        </w:rPr>
      </w:pPr>
      <w:r w:rsidRPr="00667E35">
        <w:rPr>
          <w:rFonts w:eastAsia="Calibri" w:cs="Times New Roman"/>
        </w:rPr>
        <w:t>Mezi tyto okolnosti lze zařadit především následující:</w:t>
      </w:r>
    </w:p>
    <w:p w:rsidR="002933A2" w:rsidRPr="00667E35" w:rsidRDefault="009E5BE4" w:rsidP="00C6279B">
      <w:pPr>
        <w:pStyle w:val="Odstavecseseznamem"/>
        <w:numPr>
          <w:ilvl w:val="0"/>
          <w:numId w:val="27"/>
        </w:numPr>
        <w:spacing w:after="120"/>
        <w:jc w:val="both"/>
        <w:rPr>
          <w:rFonts w:ascii="Tahoma" w:eastAsia="Calibri" w:hAnsi="Tahoma" w:cs="Tahoma"/>
          <w:sz w:val="20"/>
          <w:szCs w:val="20"/>
        </w:rPr>
      </w:pPr>
      <w:r w:rsidRPr="009E5BE4">
        <w:rPr>
          <w:rFonts w:ascii="Tahoma" w:eastAsia="Calibri" w:hAnsi="Tahoma" w:cs="Tahoma"/>
          <w:sz w:val="20"/>
          <w:szCs w:val="20"/>
        </w:rPr>
        <w:t>Na konečné stanovení vnitřních finančních alokací programu může mít vliv rozhodnutí o národním spolufinancování.</w:t>
      </w:r>
      <w:r w:rsidR="00AF5374" w:rsidRPr="00667E35">
        <w:rPr>
          <w:rFonts w:ascii="Tahoma" w:eastAsia="Calibri" w:hAnsi="Tahoma" w:cs="Tahoma"/>
          <w:sz w:val="20"/>
          <w:szCs w:val="20"/>
        </w:rPr>
        <w:t xml:space="preserve"> </w:t>
      </w:r>
      <w:r w:rsidR="002933A2" w:rsidRPr="00667E35">
        <w:rPr>
          <w:rFonts w:ascii="Tahoma" w:eastAsia="Calibri" w:hAnsi="Tahoma" w:cs="Tahoma"/>
          <w:sz w:val="20"/>
          <w:szCs w:val="20"/>
        </w:rPr>
        <w:t xml:space="preserve">Tato skutečnost </w:t>
      </w:r>
      <w:r w:rsidR="00BB00EC" w:rsidRPr="00667E35">
        <w:rPr>
          <w:rFonts w:ascii="Tahoma" w:eastAsia="Calibri" w:hAnsi="Tahoma" w:cs="Tahoma"/>
          <w:sz w:val="20"/>
          <w:szCs w:val="20"/>
        </w:rPr>
        <w:t xml:space="preserve">může mít </w:t>
      </w:r>
      <w:proofErr w:type="spellStart"/>
      <w:r w:rsidR="00BB00EC" w:rsidRPr="00667E35">
        <w:rPr>
          <w:rFonts w:ascii="Tahoma" w:eastAsia="Calibri" w:hAnsi="Tahoma" w:cs="Tahoma"/>
          <w:sz w:val="20"/>
          <w:szCs w:val="20"/>
        </w:rPr>
        <w:t>event</w:t>
      </w:r>
      <w:proofErr w:type="spellEnd"/>
      <w:r w:rsidR="00BB00EC" w:rsidRPr="00667E35">
        <w:rPr>
          <w:rFonts w:ascii="Tahoma" w:eastAsia="Calibri" w:hAnsi="Tahoma" w:cs="Tahoma"/>
          <w:sz w:val="20"/>
          <w:szCs w:val="20"/>
        </w:rPr>
        <w:t xml:space="preserve">. </w:t>
      </w:r>
      <w:r w:rsidR="002933A2" w:rsidRPr="00667E35">
        <w:rPr>
          <w:rFonts w:ascii="Tahoma" w:eastAsia="Calibri" w:hAnsi="Tahoma" w:cs="Tahoma"/>
          <w:sz w:val="20"/>
          <w:szCs w:val="20"/>
        </w:rPr>
        <w:t>vliv na provádění hodnocení v evaluačních okruzích: „Konzistence finančních alokací“ a „Indikátory, monitoring, evaluace“.</w:t>
      </w:r>
    </w:p>
    <w:p w:rsidR="002933A2" w:rsidRPr="00DA5BDB" w:rsidRDefault="002933A2" w:rsidP="00C6279B">
      <w:pPr>
        <w:pStyle w:val="Odstavecseseznamem"/>
        <w:numPr>
          <w:ilvl w:val="0"/>
          <w:numId w:val="27"/>
        </w:numPr>
        <w:spacing w:after="120"/>
        <w:jc w:val="both"/>
        <w:rPr>
          <w:rFonts w:ascii="Tahoma" w:eastAsia="Calibri" w:hAnsi="Tahoma" w:cs="Tahoma"/>
          <w:sz w:val="20"/>
          <w:szCs w:val="20"/>
        </w:rPr>
      </w:pPr>
      <w:r w:rsidRPr="00667E35">
        <w:rPr>
          <w:rFonts w:ascii="Tahoma" w:eastAsia="Calibri" w:hAnsi="Tahoma" w:cs="Tahoma"/>
          <w:sz w:val="20"/>
          <w:szCs w:val="20"/>
        </w:rPr>
        <w:t xml:space="preserve">Dosud nebylo zpracováno předběžné posouzení finančních nástrojů dle čl. 37 Obecného nařízení. Tato skutečnost </w:t>
      </w:r>
      <w:r w:rsidR="00BB00EC" w:rsidRPr="00667E35">
        <w:rPr>
          <w:rFonts w:ascii="Tahoma" w:eastAsia="Calibri" w:hAnsi="Tahoma" w:cs="Tahoma"/>
          <w:sz w:val="20"/>
          <w:szCs w:val="20"/>
        </w:rPr>
        <w:t xml:space="preserve">může mít </w:t>
      </w:r>
      <w:r w:rsidRPr="00667E35">
        <w:rPr>
          <w:rFonts w:ascii="Tahoma" w:eastAsia="Calibri" w:hAnsi="Tahoma" w:cs="Tahoma"/>
          <w:sz w:val="20"/>
          <w:szCs w:val="20"/>
        </w:rPr>
        <w:t>vliv na provádění hodnocení zejm</w:t>
      </w:r>
      <w:r w:rsidRPr="00DA5BDB">
        <w:rPr>
          <w:rFonts w:ascii="Tahoma" w:eastAsia="Calibri" w:hAnsi="Tahoma" w:cs="Tahoma"/>
          <w:sz w:val="20"/>
          <w:szCs w:val="20"/>
        </w:rPr>
        <w:t>éna v evaluačních okruzích: „Konzistence finančních alokací“ a „Indikátory, monitoring, evaluace“.</w:t>
      </w:r>
    </w:p>
    <w:p w:rsidR="00D70E67" w:rsidRPr="008B4736" w:rsidRDefault="00DA5BDB" w:rsidP="008B4736">
      <w:pPr>
        <w:pStyle w:val="Odstavecseseznamem"/>
        <w:numPr>
          <w:ilvl w:val="0"/>
          <w:numId w:val="27"/>
        </w:numPr>
        <w:spacing w:after="120"/>
        <w:jc w:val="both"/>
        <w:rPr>
          <w:rFonts w:ascii="Tahoma" w:eastAsia="Calibri" w:hAnsi="Tahoma" w:cs="Tahoma"/>
          <w:sz w:val="20"/>
          <w:szCs w:val="20"/>
        </w:rPr>
      </w:pPr>
      <w:r w:rsidRPr="00DA5BDB">
        <w:rPr>
          <w:rFonts w:ascii="Tahoma" w:eastAsia="Calibri" w:hAnsi="Tahoma" w:cs="Tahoma"/>
          <w:sz w:val="20"/>
          <w:szCs w:val="20"/>
        </w:rPr>
        <w:t>Vzhledem k tomu, že popis</w:t>
      </w:r>
      <w:r>
        <w:rPr>
          <w:rFonts w:ascii="Tahoma" w:eastAsia="Calibri" w:hAnsi="Tahoma" w:cs="Tahoma"/>
          <w:sz w:val="20"/>
          <w:szCs w:val="20"/>
        </w:rPr>
        <w:t>y</w:t>
      </w:r>
      <w:r w:rsidR="000B6DC8" w:rsidRPr="00DA5BDB">
        <w:rPr>
          <w:rFonts w:ascii="Tahoma" w:eastAsia="Calibri" w:hAnsi="Tahoma" w:cs="Tahoma"/>
          <w:sz w:val="20"/>
          <w:szCs w:val="20"/>
        </w:rPr>
        <w:t xml:space="preserve"> postup</w:t>
      </w:r>
      <w:r w:rsidRPr="00DA5BDB">
        <w:rPr>
          <w:rFonts w:ascii="Tahoma" w:eastAsia="Calibri" w:hAnsi="Tahoma" w:cs="Tahoma"/>
          <w:sz w:val="20"/>
          <w:szCs w:val="20"/>
        </w:rPr>
        <w:t>ů</w:t>
      </w:r>
      <w:r w:rsidR="000B6DC8" w:rsidRPr="00DA5BDB">
        <w:rPr>
          <w:rFonts w:ascii="Tahoma" w:eastAsia="Calibri" w:hAnsi="Tahoma" w:cs="Tahoma"/>
          <w:sz w:val="20"/>
          <w:szCs w:val="20"/>
        </w:rPr>
        <w:t xml:space="preserve"> monitorování programu a shromažďování dat nezbytných k provádění evaluací k posouzení účinnosti, účelnosti a dopadu operačního programu</w:t>
      </w:r>
      <w:r w:rsidRPr="00DA5BDB">
        <w:rPr>
          <w:rFonts w:ascii="Tahoma" w:eastAsia="Calibri" w:hAnsi="Tahoma" w:cs="Tahoma"/>
          <w:sz w:val="20"/>
          <w:szCs w:val="20"/>
        </w:rPr>
        <w:t xml:space="preserve"> a také návrhy lidských zdrojů a administrativní kapacity pro řízení programu ne</w:t>
      </w:r>
      <w:r>
        <w:rPr>
          <w:rFonts w:ascii="Tahoma" w:eastAsia="Calibri" w:hAnsi="Tahoma" w:cs="Tahoma"/>
          <w:sz w:val="20"/>
          <w:szCs w:val="20"/>
        </w:rPr>
        <w:t xml:space="preserve">jsou </w:t>
      </w:r>
      <w:r w:rsidRPr="00DA5BDB">
        <w:rPr>
          <w:rFonts w:ascii="Tahoma" w:eastAsia="Calibri" w:hAnsi="Tahoma" w:cs="Tahoma"/>
          <w:sz w:val="20"/>
          <w:szCs w:val="20"/>
        </w:rPr>
        <w:t xml:space="preserve">součástí struktury operačního programu dle „Vzoru pro operační programy v rámci cíle Investice pro růst a zaměstnanost“, který tvoří přílohu prováděcího nařízení Komise (EU) č. 288/2014 ze dne 25. února 2014, není možné </w:t>
      </w:r>
      <w:r w:rsidR="008B4736">
        <w:rPr>
          <w:rFonts w:ascii="Tahoma" w:eastAsia="Calibri" w:hAnsi="Tahoma" w:cs="Tahoma"/>
          <w:sz w:val="20"/>
          <w:szCs w:val="20"/>
        </w:rPr>
        <w:t xml:space="preserve">plně </w:t>
      </w:r>
      <w:r w:rsidR="000B6DC8" w:rsidRPr="00DA5BDB">
        <w:rPr>
          <w:rFonts w:ascii="Tahoma" w:eastAsia="Calibri" w:hAnsi="Tahoma" w:cs="Tahoma"/>
          <w:sz w:val="20"/>
          <w:szCs w:val="20"/>
        </w:rPr>
        <w:t>zodpově</w:t>
      </w:r>
      <w:r w:rsidR="00F3714C" w:rsidRPr="00DA5BDB">
        <w:rPr>
          <w:rFonts w:ascii="Tahoma" w:eastAsia="Calibri" w:hAnsi="Tahoma" w:cs="Tahoma"/>
          <w:sz w:val="20"/>
          <w:szCs w:val="20"/>
        </w:rPr>
        <w:t>dět</w:t>
      </w:r>
      <w:r w:rsidR="000B6DC8" w:rsidRPr="00DA5BDB">
        <w:rPr>
          <w:rFonts w:ascii="Tahoma" w:eastAsia="Calibri" w:hAnsi="Tahoma" w:cs="Tahoma"/>
          <w:sz w:val="20"/>
          <w:szCs w:val="20"/>
        </w:rPr>
        <w:t xml:space="preserve"> </w:t>
      </w:r>
      <w:r w:rsidR="008B4736">
        <w:rPr>
          <w:rFonts w:ascii="Tahoma" w:eastAsia="Calibri" w:hAnsi="Tahoma" w:cs="Tahoma"/>
          <w:sz w:val="20"/>
          <w:szCs w:val="20"/>
        </w:rPr>
        <w:t>ani některé</w:t>
      </w:r>
      <w:r w:rsidR="000B6DC8" w:rsidRPr="00DA5BDB">
        <w:rPr>
          <w:rFonts w:ascii="Tahoma" w:eastAsia="Calibri" w:hAnsi="Tahoma" w:cs="Tahoma"/>
          <w:sz w:val="20"/>
          <w:szCs w:val="20"/>
        </w:rPr>
        <w:t xml:space="preserve"> evaluační otázky v rámci evaluačního okruhu „Indikátory, monitoring, evaluace“.</w:t>
      </w:r>
      <w:r w:rsidR="00D70E67" w:rsidRPr="008B4736">
        <w:rPr>
          <w:rFonts w:ascii="Tahoma" w:eastAsia="Calibri" w:hAnsi="Tahoma" w:cs="Tahoma"/>
          <w:sz w:val="20"/>
          <w:szCs w:val="20"/>
        </w:rPr>
        <w:t xml:space="preserve"> </w:t>
      </w:r>
    </w:p>
    <w:p w:rsidR="00276FF3" w:rsidRPr="004866E8" w:rsidRDefault="002933A2" w:rsidP="004866E8">
      <w:pPr>
        <w:spacing w:after="120"/>
        <w:rPr>
          <w:rFonts w:eastAsia="Calibri" w:cs="Times New Roman"/>
        </w:rPr>
      </w:pPr>
      <w:r>
        <w:rPr>
          <w:rFonts w:eastAsia="Calibri" w:cs="Times New Roman"/>
        </w:rPr>
        <w:t xml:space="preserve">  </w:t>
      </w:r>
      <w:r w:rsidR="00E43EBC">
        <w:rPr>
          <w:rFonts w:eastAsia="Calibri" w:cs="Times New Roman"/>
        </w:rPr>
        <w:t xml:space="preserve">  </w:t>
      </w:r>
      <w:r w:rsidR="00276FF3">
        <w:rPr>
          <w:rFonts w:eastAsia="Calibri" w:cs="Times New Roman"/>
        </w:rPr>
        <w:t xml:space="preserve"> </w:t>
      </w:r>
    </w:p>
    <w:p w:rsidR="00BC0C94" w:rsidRPr="004866E8" w:rsidRDefault="00BC0C94" w:rsidP="004C617B">
      <w:pPr>
        <w:spacing w:after="120"/>
      </w:pPr>
    </w:p>
    <w:p w:rsidR="00FD69E6" w:rsidRDefault="00FD69E6" w:rsidP="009C5AC9">
      <w:pPr>
        <w:pStyle w:val="Nadpis1"/>
      </w:pPr>
      <w:bookmarkStart w:id="16" w:name="_Toc392583663"/>
      <w:r>
        <w:lastRenderedPageBreak/>
        <w:t>Celkové posouzení a zhodnocení</w:t>
      </w:r>
      <w:r w:rsidR="007663FB">
        <w:t xml:space="preserve"> textu</w:t>
      </w:r>
      <w:r>
        <w:t xml:space="preserve"> programu</w:t>
      </w:r>
      <w:bookmarkEnd w:id="16"/>
    </w:p>
    <w:p w:rsidR="00D55BE7" w:rsidRPr="002914C3" w:rsidRDefault="00D55BE7" w:rsidP="00D55BE7">
      <w:pPr>
        <w:spacing w:after="120"/>
      </w:pPr>
      <w:r w:rsidRPr="002914C3">
        <w:t xml:space="preserve">Předmětem hodnocení </w:t>
      </w:r>
      <w:r w:rsidR="00AC4925">
        <w:t>byla</w:t>
      </w:r>
      <w:r w:rsidRPr="002914C3">
        <w:t xml:space="preserve"> pracovní verze OP PIK z </w:t>
      </w:r>
      <w:r w:rsidR="00825A7F">
        <w:t>11</w:t>
      </w:r>
      <w:r w:rsidRPr="002914C3">
        <w:t xml:space="preserve">. </w:t>
      </w:r>
      <w:r w:rsidR="00825A7F">
        <w:t xml:space="preserve">června </w:t>
      </w:r>
      <w:r w:rsidRPr="002914C3">
        <w:t xml:space="preserve">2014 (verze </w:t>
      </w:r>
      <w:r w:rsidR="00825A7F">
        <w:t>7-2</w:t>
      </w:r>
      <w:r w:rsidRPr="002914C3">
        <w:t xml:space="preserve">). </w:t>
      </w:r>
    </w:p>
    <w:p w:rsidR="00D55BE7" w:rsidRPr="00DA43AB" w:rsidRDefault="00D55BE7" w:rsidP="00D55BE7">
      <w:pPr>
        <w:spacing w:after="120"/>
        <w:rPr>
          <w:rFonts w:cs="Tahoma"/>
          <w:szCs w:val="20"/>
        </w:rPr>
      </w:pPr>
      <w:r>
        <w:rPr>
          <w:rFonts w:cs="Tahoma"/>
          <w:szCs w:val="20"/>
        </w:rPr>
        <w:t xml:space="preserve">Tato </w:t>
      </w:r>
      <w:r w:rsidRPr="00DA43AB">
        <w:rPr>
          <w:rFonts w:cs="Tahoma"/>
          <w:szCs w:val="20"/>
        </w:rPr>
        <w:t>verze</w:t>
      </w:r>
      <w:r>
        <w:rPr>
          <w:rFonts w:cs="Tahoma"/>
          <w:szCs w:val="20"/>
        </w:rPr>
        <w:t xml:space="preserve"> operačního programu </w:t>
      </w:r>
      <w:r w:rsidRPr="00DA43AB">
        <w:rPr>
          <w:rFonts w:cs="Tahoma"/>
          <w:szCs w:val="20"/>
        </w:rPr>
        <w:t xml:space="preserve">byla zpracována v rozsahu </w:t>
      </w:r>
      <w:r>
        <w:rPr>
          <w:rFonts w:cs="Tahoma"/>
          <w:szCs w:val="20"/>
        </w:rPr>
        <w:t>3</w:t>
      </w:r>
      <w:r w:rsidR="00A847C7">
        <w:rPr>
          <w:rFonts w:cs="Tahoma"/>
          <w:szCs w:val="20"/>
        </w:rPr>
        <w:t>0</w:t>
      </w:r>
      <w:r>
        <w:rPr>
          <w:rFonts w:cs="Tahoma"/>
          <w:szCs w:val="20"/>
        </w:rPr>
        <w:t>0</w:t>
      </w:r>
      <w:r w:rsidRPr="00DA43AB">
        <w:rPr>
          <w:rFonts w:cs="Tahoma"/>
          <w:szCs w:val="20"/>
        </w:rPr>
        <w:t xml:space="preserve"> stran textu a obsahuje:</w:t>
      </w:r>
    </w:p>
    <w:p w:rsidR="00D55BE7" w:rsidRPr="00162307" w:rsidRDefault="00D55BE7" w:rsidP="00C6279B">
      <w:pPr>
        <w:pStyle w:val="Odstavecseseznamem"/>
        <w:numPr>
          <w:ilvl w:val="0"/>
          <w:numId w:val="6"/>
        </w:numPr>
        <w:spacing w:after="120"/>
        <w:jc w:val="both"/>
        <w:rPr>
          <w:rFonts w:ascii="Tahoma" w:hAnsi="Tahoma" w:cs="Tahoma"/>
          <w:sz w:val="20"/>
          <w:szCs w:val="20"/>
        </w:rPr>
      </w:pPr>
      <w:r w:rsidRPr="00162307">
        <w:rPr>
          <w:rFonts w:ascii="Tahoma" w:hAnsi="Tahoma" w:cs="Tahoma"/>
          <w:sz w:val="20"/>
          <w:szCs w:val="20"/>
        </w:rPr>
        <w:t xml:space="preserve">vlastní text programu vypracovaný ve struktuře </w:t>
      </w:r>
      <w:r w:rsidR="00A847C7" w:rsidRPr="00A847C7">
        <w:rPr>
          <w:rFonts w:ascii="Tahoma" w:hAnsi="Tahoma" w:cs="Tahoma"/>
          <w:sz w:val="20"/>
          <w:szCs w:val="20"/>
        </w:rPr>
        <w:t>v souladu s přílohou „Vzor pro operační programy v rámci cíle Investice pro růst a zaměstnanost“ prováděcího nařízení Komise (EU) č. 288/2014 ze dne 25. února 2014</w:t>
      </w:r>
      <w:r w:rsidRPr="00162307">
        <w:rPr>
          <w:rFonts w:ascii="Tahoma" w:hAnsi="Tahoma" w:cs="Tahoma"/>
          <w:sz w:val="20"/>
          <w:szCs w:val="20"/>
        </w:rPr>
        <w:t>,</w:t>
      </w:r>
    </w:p>
    <w:p w:rsidR="00D55BE7" w:rsidRPr="00162307" w:rsidRDefault="00A847C7" w:rsidP="00C6279B">
      <w:pPr>
        <w:pStyle w:val="Odstavecseseznamem"/>
        <w:numPr>
          <w:ilvl w:val="0"/>
          <w:numId w:val="6"/>
        </w:numPr>
        <w:spacing w:after="120"/>
        <w:jc w:val="both"/>
        <w:rPr>
          <w:rFonts w:ascii="Tahoma" w:hAnsi="Tahoma" w:cs="Tahoma"/>
          <w:sz w:val="20"/>
          <w:szCs w:val="20"/>
        </w:rPr>
      </w:pPr>
      <w:r>
        <w:rPr>
          <w:rFonts w:ascii="Tahoma" w:hAnsi="Tahoma" w:cs="Tahoma"/>
          <w:sz w:val="20"/>
          <w:szCs w:val="20"/>
        </w:rPr>
        <w:t>6</w:t>
      </w:r>
      <w:r w:rsidR="00D55BE7" w:rsidRPr="00162307">
        <w:rPr>
          <w:rFonts w:ascii="Tahoma" w:hAnsi="Tahoma" w:cs="Tahoma"/>
          <w:sz w:val="20"/>
          <w:szCs w:val="20"/>
        </w:rPr>
        <w:t xml:space="preserve"> příloh: </w:t>
      </w:r>
    </w:p>
    <w:p w:rsidR="00825A7F" w:rsidRPr="00825A7F" w:rsidRDefault="00825A7F" w:rsidP="00825A7F">
      <w:pPr>
        <w:spacing w:after="120"/>
        <w:ind w:left="1416"/>
        <w:rPr>
          <w:rFonts w:cs="Tahoma"/>
          <w:szCs w:val="20"/>
        </w:rPr>
      </w:pPr>
      <w:r w:rsidRPr="00825A7F">
        <w:rPr>
          <w:rFonts w:cs="Tahoma"/>
          <w:szCs w:val="20"/>
        </w:rPr>
        <w:t>Příloha č. I: Návrh zprávy o hodnocení ex ante a shrnut</w:t>
      </w:r>
      <w:r>
        <w:rPr>
          <w:rFonts w:cs="Tahoma"/>
          <w:szCs w:val="20"/>
        </w:rPr>
        <w:t>í</w:t>
      </w:r>
      <w:r w:rsidR="003C3AAC">
        <w:rPr>
          <w:rFonts w:cs="Tahoma"/>
          <w:szCs w:val="20"/>
        </w:rPr>
        <w:t xml:space="preserve"> (zatím nedoplněná)</w:t>
      </w:r>
    </w:p>
    <w:p w:rsidR="00825A7F" w:rsidRPr="00825A7F" w:rsidRDefault="00825A7F" w:rsidP="00825A7F">
      <w:pPr>
        <w:spacing w:after="120"/>
        <w:ind w:left="1416"/>
        <w:rPr>
          <w:rFonts w:cs="Tahoma"/>
          <w:szCs w:val="20"/>
        </w:rPr>
      </w:pPr>
      <w:r w:rsidRPr="00825A7F">
        <w:rPr>
          <w:rFonts w:cs="Tahoma"/>
          <w:szCs w:val="20"/>
        </w:rPr>
        <w:t>Příloha č. II: Dokumentace o posouzení použitelnosti a plnění předběžných podmínek</w:t>
      </w:r>
    </w:p>
    <w:p w:rsidR="00825A7F" w:rsidRPr="00825A7F" w:rsidRDefault="00825A7F" w:rsidP="00825A7F">
      <w:pPr>
        <w:spacing w:after="120"/>
        <w:ind w:left="1416"/>
        <w:rPr>
          <w:rFonts w:cs="Tahoma"/>
          <w:szCs w:val="20"/>
        </w:rPr>
      </w:pPr>
      <w:r w:rsidRPr="00825A7F">
        <w:rPr>
          <w:rFonts w:cs="Tahoma"/>
          <w:szCs w:val="20"/>
        </w:rPr>
        <w:t>Nepovinná příloha č. 1: Zhodnocení zkušeností z programovacího období 2007-2013</w:t>
      </w:r>
      <w:r w:rsidR="002A5AA5">
        <w:rPr>
          <w:rFonts w:cs="Tahoma"/>
          <w:szCs w:val="20"/>
        </w:rPr>
        <w:t xml:space="preserve"> (zatím nedoplněná)</w:t>
      </w:r>
    </w:p>
    <w:p w:rsidR="00825A7F" w:rsidRPr="00825A7F" w:rsidRDefault="00825A7F" w:rsidP="00825A7F">
      <w:pPr>
        <w:spacing w:after="120"/>
        <w:ind w:left="1416"/>
        <w:rPr>
          <w:rFonts w:cs="Tahoma"/>
          <w:szCs w:val="20"/>
        </w:rPr>
      </w:pPr>
      <w:r w:rsidRPr="00825A7F">
        <w:rPr>
          <w:rFonts w:cs="Tahoma"/>
          <w:szCs w:val="20"/>
        </w:rPr>
        <w:t>Nepovinná příloha č. 2: Analýza potřeb ČR ve vybraných problémových oblastech Dohody o partnerství</w:t>
      </w:r>
      <w:r w:rsidRPr="00825A7F">
        <w:rPr>
          <w:rFonts w:cs="Tahoma"/>
          <w:webHidden/>
          <w:szCs w:val="20"/>
        </w:rPr>
        <w:tab/>
      </w:r>
    </w:p>
    <w:p w:rsidR="00825A7F" w:rsidRPr="00825A7F" w:rsidRDefault="00825A7F" w:rsidP="00825A7F">
      <w:pPr>
        <w:spacing w:after="120"/>
        <w:ind w:left="1416"/>
        <w:rPr>
          <w:rFonts w:cs="Tahoma"/>
          <w:szCs w:val="20"/>
        </w:rPr>
      </w:pPr>
      <w:r w:rsidRPr="00825A7F">
        <w:rPr>
          <w:rFonts w:cs="Tahoma"/>
          <w:szCs w:val="20"/>
        </w:rPr>
        <w:t>Nepovinná příloha č. 3: Základní principy monitorování a vyhodnocování OP PIK</w:t>
      </w:r>
    </w:p>
    <w:p w:rsidR="00825A7F" w:rsidRPr="00825A7F" w:rsidRDefault="00825A7F" w:rsidP="00825A7F">
      <w:pPr>
        <w:spacing w:after="120"/>
        <w:ind w:left="1416"/>
        <w:rPr>
          <w:rFonts w:cs="Tahoma"/>
          <w:szCs w:val="20"/>
        </w:rPr>
      </w:pPr>
      <w:r w:rsidRPr="00825A7F">
        <w:rPr>
          <w:rFonts w:cs="Tahoma"/>
          <w:szCs w:val="20"/>
        </w:rPr>
        <w:t>Nepovinná příloha č. 4: Synergie a komplementarity</w:t>
      </w:r>
      <w:r w:rsidRPr="00825A7F">
        <w:rPr>
          <w:rFonts w:cs="Tahoma"/>
          <w:webHidden/>
          <w:szCs w:val="20"/>
        </w:rPr>
        <w:tab/>
      </w:r>
    </w:p>
    <w:p w:rsidR="00D55BE7" w:rsidRPr="0014709B" w:rsidRDefault="00D55BE7" w:rsidP="00D55BE7">
      <w:pPr>
        <w:spacing w:after="120"/>
        <w:rPr>
          <w:rFonts w:cs="Tahoma"/>
          <w:szCs w:val="20"/>
        </w:rPr>
      </w:pPr>
      <w:r w:rsidRPr="0014709B">
        <w:rPr>
          <w:rFonts w:cs="Tahoma"/>
          <w:szCs w:val="20"/>
        </w:rPr>
        <w:t xml:space="preserve">Oproti předchozí </w:t>
      </w:r>
      <w:r w:rsidR="00825A7F">
        <w:rPr>
          <w:rFonts w:cs="Tahoma"/>
          <w:szCs w:val="20"/>
        </w:rPr>
        <w:t>hodnocené verzi</w:t>
      </w:r>
      <w:r w:rsidRPr="0014709B">
        <w:rPr>
          <w:rFonts w:cs="Tahoma"/>
          <w:szCs w:val="20"/>
        </w:rPr>
        <w:t xml:space="preserve"> OP PIK</w:t>
      </w:r>
      <w:r w:rsidR="00825A7F">
        <w:rPr>
          <w:rFonts w:cs="Tahoma"/>
          <w:szCs w:val="20"/>
        </w:rPr>
        <w:t xml:space="preserve"> (</w:t>
      </w:r>
      <w:proofErr w:type="spellStart"/>
      <w:r w:rsidR="00825A7F">
        <w:rPr>
          <w:rFonts w:cs="Tahoma"/>
          <w:szCs w:val="20"/>
        </w:rPr>
        <w:t>ver</w:t>
      </w:r>
      <w:proofErr w:type="spellEnd"/>
      <w:r w:rsidR="00825A7F">
        <w:rPr>
          <w:rFonts w:cs="Tahoma"/>
          <w:szCs w:val="20"/>
        </w:rPr>
        <w:t>. 5-3)</w:t>
      </w:r>
      <w:r w:rsidRPr="0014709B">
        <w:rPr>
          <w:rFonts w:cs="Tahoma"/>
          <w:szCs w:val="20"/>
        </w:rPr>
        <w:t xml:space="preserve"> doznal text některých vý</w:t>
      </w:r>
      <w:r w:rsidR="00825A7F">
        <w:rPr>
          <w:rFonts w:cs="Tahoma"/>
          <w:szCs w:val="20"/>
        </w:rPr>
        <w:t>znamných</w:t>
      </w:r>
      <w:r w:rsidRPr="0014709B">
        <w:rPr>
          <w:rFonts w:cs="Tahoma"/>
          <w:szCs w:val="20"/>
        </w:rPr>
        <w:t xml:space="preserve"> změn, zejména:</w:t>
      </w:r>
    </w:p>
    <w:p w:rsidR="00825A7F" w:rsidRDefault="00825A7F" w:rsidP="00C6279B">
      <w:pPr>
        <w:pStyle w:val="Odstavecseseznamem"/>
        <w:numPr>
          <w:ilvl w:val="0"/>
          <w:numId w:val="24"/>
        </w:numPr>
        <w:spacing w:after="120"/>
        <w:jc w:val="both"/>
        <w:rPr>
          <w:rFonts w:ascii="Tahoma" w:hAnsi="Tahoma" w:cs="Tahoma"/>
          <w:sz w:val="20"/>
          <w:szCs w:val="20"/>
        </w:rPr>
      </w:pPr>
      <w:r>
        <w:rPr>
          <w:rFonts w:ascii="Tahoma" w:hAnsi="Tahoma" w:cs="Tahoma"/>
          <w:sz w:val="20"/>
          <w:szCs w:val="20"/>
        </w:rPr>
        <w:t>byla vynechána nepovinná příloha</w:t>
      </w:r>
      <w:r w:rsidRPr="00825A7F">
        <w:rPr>
          <w:rFonts w:ascii="Tahoma" w:hAnsi="Tahoma" w:cs="Tahoma"/>
          <w:sz w:val="20"/>
          <w:szCs w:val="20"/>
        </w:rPr>
        <w:t xml:space="preserve"> </w:t>
      </w:r>
      <w:r>
        <w:rPr>
          <w:rFonts w:ascii="Tahoma" w:hAnsi="Tahoma" w:cs="Tahoma"/>
          <w:sz w:val="20"/>
          <w:szCs w:val="20"/>
        </w:rPr>
        <w:t>„</w:t>
      </w:r>
      <w:r w:rsidRPr="00825A7F">
        <w:rPr>
          <w:rFonts w:ascii="Tahoma" w:hAnsi="Tahoma" w:cs="Tahoma"/>
          <w:sz w:val="20"/>
          <w:szCs w:val="20"/>
        </w:rPr>
        <w:t>Úřady a orgány odpovědné za řízení, kontrolu a audit</w:t>
      </w:r>
      <w:r>
        <w:rPr>
          <w:rFonts w:ascii="Tahoma" w:hAnsi="Tahoma" w:cs="Tahoma"/>
          <w:sz w:val="20"/>
          <w:szCs w:val="20"/>
        </w:rPr>
        <w:t>“, naopak nově byly zařazeny nepovinné přílohy věnující se</w:t>
      </w:r>
      <w:r w:rsidR="00A847C7">
        <w:rPr>
          <w:rFonts w:ascii="Tahoma" w:hAnsi="Tahoma" w:cs="Tahoma"/>
          <w:sz w:val="20"/>
          <w:szCs w:val="20"/>
        </w:rPr>
        <w:t xml:space="preserve"> zhodnocení zkušeností z programovacího období 2007-2013, </w:t>
      </w:r>
      <w:r>
        <w:rPr>
          <w:rFonts w:ascii="Tahoma" w:hAnsi="Tahoma" w:cs="Tahoma"/>
          <w:sz w:val="20"/>
          <w:szCs w:val="20"/>
        </w:rPr>
        <w:t>analýze potřeb</w:t>
      </w:r>
      <w:r w:rsidR="00A847C7">
        <w:rPr>
          <w:rFonts w:ascii="Tahoma" w:hAnsi="Tahoma" w:cs="Tahoma"/>
          <w:sz w:val="20"/>
          <w:szCs w:val="20"/>
        </w:rPr>
        <w:t xml:space="preserve"> a</w:t>
      </w:r>
      <w:r>
        <w:rPr>
          <w:rFonts w:ascii="Tahoma" w:hAnsi="Tahoma" w:cs="Tahoma"/>
          <w:sz w:val="20"/>
          <w:szCs w:val="20"/>
        </w:rPr>
        <w:t xml:space="preserve"> základním principům monitorování a vyhodnocování</w:t>
      </w:r>
      <w:r w:rsidR="00A847C7">
        <w:rPr>
          <w:rFonts w:ascii="Tahoma" w:hAnsi="Tahoma" w:cs="Tahoma"/>
          <w:sz w:val="20"/>
          <w:szCs w:val="20"/>
        </w:rPr>
        <w:t xml:space="preserve"> programu;</w:t>
      </w:r>
      <w:r>
        <w:rPr>
          <w:rFonts w:ascii="Tahoma" w:hAnsi="Tahoma" w:cs="Tahoma"/>
          <w:sz w:val="20"/>
          <w:szCs w:val="20"/>
        </w:rPr>
        <w:t xml:space="preserve">   </w:t>
      </w:r>
    </w:p>
    <w:p w:rsidR="00D55BE7" w:rsidRPr="0014709B" w:rsidRDefault="00D55BE7" w:rsidP="00C6279B">
      <w:pPr>
        <w:pStyle w:val="Odstavecseseznamem"/>
        <w:numPr>
          <w:ilvl w:val="0"/>
          <w:numId w:val="24"/>
        </w:numPr>
        <w:spacing w:after="120"/>
        <w:jc w:val="both"/>
        <w:rPr>
          <w:rFonts w:ascii="Tahoma" w:hAnsi="Tahoma" w:cs="Tahoma"/>
          <w:sz w:val="20"/>
          <w:szCs w:val="20"/>
        </w:rPr>
      </w:pPr>
      <w:r w:rsidRPr="0014709B">
        <w:rPr>
          <w:rFonts w:ascii="Tahoma" w:hAnsi="Tahoma" w:cs="Tahoma"/>
          <w:sz w:val="20"/>
          <w:szCs w:val="20"/>
        </w:rPr>
        <w:t>byla</w:t>
      </w:r>
      <w:r w:rsidR="00A847C7">
        <w:rPr>
          <w:rFonts w:ascii="Tahoma" w:hAnsi="Tahoma" w:cs="Tahoma"/>
          <w:sz w:val="20"/>
          <w:szCs w:val="20"/>
        </w:rPr>
        <w:t xml:space="preserve"> aktualizována a</w:t>
      </w:r>
      <w:r w:rsidRPr="0014709B">
        <w:rPr>
          <w:rFonts w:ascii="Tahoma" w:hAnsi="Tahoma" w:cs="Tahoma"/>
          <w:sz w:val="20"/>
          <w:szCs w:val="20"/>
        </w:rPr>
        <w:t xml:space="preserve"> rozšířena kapitola 1.1</w:t>
      </w:r>
      <w:r w:rsidR="00A847C7">
        <w:rPr>
          <w:rFonts w:ascii="Tahoma" w:hAnsi="Tahoma" w:cs="Tahoma"/>
          <w:sz w:val="20"/>
          <w:szCs w:val="20"/>
        </w:rPr>
        <w:t>.1</w:t>
      </w:r>
      <w:r w:rsidRPr="0014709B">
        <w:rPr>
          <w:rFonts w:ascii="Tahoma" w:hAnsi="Tahoma" w:cs="Tahoma"/>
          <w:sz w:val="20"/>
          <w:szCs w:val="20"/>
        </w:rPr>
        <w:t>, především v části týkající se vazby programu na klíčové strategické dokumenty;</w:t>
      </w:r>
    </w:p>
    <w:p w:rsidR="00D55BE7" w:rsidRDefault="00D55BE7" w:rsidP="00C6279B">
      <w:pPr>
        <w:pStyle w:val="Odstavecseseznamem"/>
        <w:numPr>
          <w:ilvl w:val="0"/>
          <w:numId w:val="24"/>
        </w:numPr>
        <w:spacing w:after="120"/>
        <w:jc w:val="both"/>
        <w:rPr>
          <w:rFonts w:ascii="Tahoma" w:hAnsi="Tahoma" w:cs="Tahoma"/>
          <w:sz w:val="20"/>
          <w:szCs w:val="20"/>
        </w:rPr>
      </w:pPr>
      <w:r w:rsidRPr="0014709B">
        <w:rPr>
          <w:rFonts w:ascii="Tahoma" w:hAnsi="Tahoma" w:cs="Tahoma"/>
          <w:sz w:val="20"/>
          <w:szCs w:val="20"/>
        </w:rPr>
        <w:t xml:space="preserve">byl </w:t>
      </w:r>
      <w:r w:rsidR="00A847C7">
        <w:rPr>
          <w:rFonts w:ascii="Tahoma" w:hAnsi="Tahoma" w:cs="Tahoma"/>
          <w:sz w:val="20"/>
          <w:szCs w:val="20"/>
        </w:rPr>
        <w:t>aktualizován</w:t>
      </w:r>
      <w:r w:rsidRPr="0014709B">
        <w:rPr>
          <w:rFonts w:ascii="Tahoma" w:hAnsi="Tahoma" w:cs="Tahoma"/>
          <w:sz w:val="20"/>
          <w:szCs w:val="20"/>
        </w:rPr>
        <w:t xml:space="preserve"> popis odůvodnění výběru tematických cílů a investičních priorit OP PIK (Tabulka 1</w:t>
      </w:r>
      <w:r w:rsidR="00130EAF">
        <w:rPr>
          <w:rFonts w:ascii="Tahoma" w:hAnsi="Tahoma" w:cs="Tahoma"/>
          <w:sz w:val="20"/>
          <w:szCs w:val="20"/>
        </w:rPr>
        <w:t xml:space="preserve"> v textu OP</w:t>
      </w:r>
      <w:r w:rsidRPr="0014709B">
        <w:rPr>
          <w:rFonts w:ascii="Tahoma" w:hAnsi="Tahoma" w:cs="Tahoma"/>
          <w:sz w:val="20"/>
          <w:szCs w:val="20"/>
        </w:rPr>
        <w:t>);</w:t>
      </w:r>
    </w:p>
    <w:p w:rsidR="00A847C7" w:rsidRPr="0014709B" w:rsidRDefault="00A847C7" w:rsidP="00C6279B">
      <w:pPr>
        <w:pStyle w:val="Odstavecseseznamem"/>
        <w:numPr>
          <w:ilvl w:val="0"/>
          <w:numId w:val="24"/>
        </w:numPr>
        <w:spacing w:after="120"/>
        <w:jc w:val="both"/>
        <w:rPr>
          <w:rFonts w:ascii="Tahoma" w:hAnsi="Tahoma" w:cs="Tahoma"/>
          <w:sz w:val="20"/>
          <w:szCs w:val="20"/>
        </w:rPr>
      </w:pPr>
      <w:proofErr w:type="gramStart"/>
      <w:r>
        <w:rPr>
          <w:rFonts w:ascii="Tahoma" w:hAnsi="Tahoma" w:cs="Tahoma"/>
          <w:sz w:val="20"/>
          <w:szCs w:val="20"/>
        </w:rPr>
        <w:t>došlo</w:t>
      </w:r>
      <w:proofErr w:type="gramEnd"/>
      <w:r>
        <w:rPr>
          <w:rFonts w:ascii="Tahoma" w:hAnsi="Tahoma" w:cs="Tahoma"/>
          <w:sz w:val="20"/>
          <w:szCs w:val="20"/>
        </w:rPr>
        <w:t xml:space="preserve"> k úpravě finančních alokací pro OP PIK rozdělení mezi prioritní osy a investiční priority;</w:t>
      </w:r>
    </w:p>
    <w:p w:rsidR="00D55BE7" w:rsidRDefault="00A847C7" w:rsidP="00C6279B">
      <w:pPr>
        <w:pStyle w:val="Odstavecseseznamem"/>
        <w:numPr>
          <w:ilvl w:val="0"/>
          <w:numId w:val="24"/>
        </w:numPr>
        <w:spacing w:after="120"/>
        <w:jc w:val="both"/>
        <w:rPr>
          <w:rFonts w:ascii="Tahoma" w:hAnsi="Tahoma" w:cs="Tahoma"/>
          <w:sz w:val="20"/>
          <w:szCs w:val="20"/>
        </w:rPr>
      </w:pPr>
      <w:r w:rsidRPr="009B34EB">
        <w:rPr>
          <w:rFonts w:ascii="Tahoma" w:hAnsi="Tahoma" w:cs="Tahoma"/>
          <w:sz w:val="20"/>
          <w:szCs w:val="20"/>
        </w:rPr>
        <w:t xml:space="preserve">byla provedena zásadní revize indikátorové soustavy OP PIK, zejména na úrovni ukazatelů výsledků a v návaznosti na to byly rovněž nově </w:t>
      </w:r>
      <w:r w:rsidR="00D55BE7" w:rsidRPr="009B34EB">
        <w:rPr>
          <w:rFonts w:ascii="Tahoma" w:hAnsi="Tahoma" w:cs="Tahoma"/>
          <w:sz w:val="20"/>
          <w:szCs w:val="20"/>
        </w:rPr>
        <w:t xml:space="preserve">stanoveny výchozí a cílové hodnoty </w:t>
      </w:r>
      <w:r w:rsidRPr="009B34EB">
        <w:rPr>
          <w:rFonts w:ascii="Tahoma" w:hAnsi="Tahoma" w:cs="Tahoma"/>
          <w:sz w:val="20"/>
          <w:szCs w:val="20"/>
        </w:rPr>
        <w:t>ukazatelů</w:t>
      </w:r>
      <w:r w:rsidR="00A004CE">
        <w:rPr>
          <w:rFonts w:ascii="Tahoma" w:hAnsi="Tahoma" w:cs="Tahoma"/>
          <w:sz w:val="20"/>
          <w:szCs w:val="20"/>
        </w:rPr>
        <w:t xml:space="preserve"> vč. ukazatelů pro výkonnostní rámec</w:t>
      </w:r>
      <w:r w:rsidR="00D55BE7" w:rsidRPr="009B34EB">
        <w:rPr>
          <w:rFonts w:ascii="Tahoma" w:hAnsi="Tahoma" w:cs="Tahoma"/>
          <w:sz w:val="20"/>
          <w:szCs w:val="20"/>
        </w:rPr>
        <w:t>;</w:t>
      </w:r>
    </w:p>
    <w:p w:rsidR="009B34EB" w:rsidRPr="009B34EB" w:rsidRDefault="009B34EB" w:rsidP="00C6279B">
      <w:pPr>
        <w:pStyle w:val="Odstavecseseznamem"/>
        <w:numPr>
          <w:ilvl w:val="0"/>
          <w:numId w:val="24"/>
        </w:numPr>
        <w:spacing w:after="120"/>
        <w:jc w:val="both"/>
        <w:rPr>
          <w:rFonts w:ascii="Tahoma" w:hAnsi="Tahoma" w:cs="Tahoma"/>
          <w:sz w:val="20"/>
          <w:szCs w:val="20"/>
        </w:rPr>
      </w:pPr>
      <w:r w:rsidRPr="009B34EB">
        <w:rPr>
          <w:rFonts w:ascii="Tahoma" w:hAnsi="Tahoma" w:cs="Tahoma"/>
          <w:sz w:val="20"/>
          <w:szCs w:val="20"/>
        </w:rPr>
        <w:t>byly upřesněny/doplněny popisy výsledků, kterých chce ČR dosáhnout s podporou Unie v rámci jednotlivých specifických cílů (SC);</w:t>
      </w:r>
    </w:p>
    <w:p w:rsidR="00D55BE7" w:rsidRDefault="00D55BE7" w:rsidP="00C6279B">
      <w:pPr>
        <w:pStyle w:val="Odstavecseseznamem"/>
        <w:numPr>
          <w:ilvl w:val="0"/>
          <w:numId w:val="24"/>
        </w:numPr>
        <w:spacing w:after="120"/>
        <w:jc w:val="both"/>
        <w:rPr>
          <w:rFonts w:ascii="Tahoma" w:hAnsi="Tahoma" w:cs="Tahoma"/>
          <w:sz w:val="20"/>
          <w:szCs w:val="20"/>
        </w:rPr>
      </w:pPr>
      <w:r w:rsidRPr="00853F6F">
        <w:rPr>
          <w:rFonts w:ascii="Tahoma" w:hAnsi="Tahoma" w:cs="Tahoma"/>
          <w:sz w:val="20"/>
          <w:szCs w:val="20"/>
        </w:rPr>
        <w:t xml:space="preserve">byly upřesněny/doplněny popisy </w:t>
      </w:r>
      <w:r w:rsidR="00853F6F" w:rsidRPr="00853F6F">
        <w:rPr>
          <w:rFonts w:ascii="Tahoma" w:hAnsi="Tahoma" w:cs="Tahoma"/>
          <w:sz w:val="20"/>
          <w:szCs w:val="20"/>
        </w:rPr>
        <w:t xml:space="preserve">indikativního výčtu </w:t>
      </w:r>
      <w:r w:rsidRPr="00853F6F">
        <w:rPr>
          <w:rFonts w:ascii="Tahoma" w:hAnsi="Tahoma" w:cs="Tahoma"/>
          <w:sz w:val="20"/>
          <w:szCs w:val="20"/>
        </w:rPr>
        <w:t>podporovaných aktivit v rámci jednotlivých SC;</w:t>
      </w:r>
    </w:p>
    <w:p w:rsidR="00853F6F" w:rsidRDefault="00853F6F" w:rsidP="00C6279B">
      <w:pPr>
        <w:pStyle w:val="Odstavecseseznamem"/>
        <w:numPr>
          <w:ilvl w:val="0"/>
          <w:numId w:val="24"/>
        </w:numPr>
        <w:spacing w:after="120"/>
        <w:jc w:val="both"/>
        <w:rPr>
          <w:rFonts w:ascii="Tahoma" w:hAnsi="Tahoma" w:cs="Tahoma"/>
          <w:sz w:val="20"/>
          <w:szCs w:val="20"/>
        </w:rPr>
      </w:pPr>
      <w:r>
        <w:rPr>
          <w:rFonts w:ascii="Tahoma" w:hAnsi="Tahoma" w:cs="Tahoma"/>
          <w:sz w:val="20"/>
          <w:szCs w:val="20"/>
        </w:rPr>
        <w:t>u relevantních SC byly doplněny popisy vazeb na RIS3;</w:t>
      </w:r>
    </w:p>
    <w:p w:rsidR="00853F6F" w:rsidRDefault="00853F6F" w:rsidP="00C6279B">
      <w:pPr>
        <w:pStyle w:val="Odstavecseseznamem"/>
        <w:numPr>
          <w:ilvl w:val="0"/>
          <w:numId w:val="24"/>
        </w:numPr>
        <w:spacing w:after="120"/>
        <w:jc w:val="both"/>
        <w:rPr>
          <w:rFonts w:ascii="Tahoma" w:hAnsi="Tahoma" w:cs="Tahoma"/>
          <w:sz w:val="20"/>
          <w:szCs w:val="20"/>
        </w:rPr>
      </w:pPr>
      <w:r>
        <w:rPr>
          <w:rFonts w:ascii="Tahoma" w:hAnsi="Tahoma" w:cs="Tahoma"/>
          <w:sz w:val="20"/>
          <w:szCs w:val="20"/>
        </w:rPr>
        <w:t>u jednotlivých SC byly upraveny/zpřesněny popisy cílových skupin, cílových území a typů příjemců a také hlavní zásady pro výběr operací;</w:t>
      </w:r>
    </w:p>
    <w:p w:rsidR="00A004CE" w:rsidRDefault="00A004CE" w:rsidP="00C6279B">
      <w:pPr>
        <w:pStyle w:val="Odstavecseseznamem"/>
        <w:numPr>
          <w:ilvl w:val="0"/>
          <w:numId w:val="24"/>
        </w:numPr>
        <w:spacing w:after="120"/>
        <w:jc w:val="both"/>
        <w:rPr>
          <w:rFonts w:ascii="Tahoma" w:hAnsi="Tahoma" w:cs="Tahoma"/>
          <w:sz w:val="20"/>
          <w:szCs w:val="20"/>
        </w:rPr>
      </w:pPr>
      <w:r>
        <w:rPr>
          <w:rFonts w:ascii="Tahoma" w:hAnsi="Tahoma" w:cs="Tahoma"/>
          <w:sz w:val="20"/>
          <w:szCs w:val="20"/>
        </w:rPr>
        <w:t>byly doplněny tabulky „Kategorie zásahů“;</w:t>
      </w:r>
    </w:p>
    <w:p w:rsidR="00D55BE7" w:rsidRDefault="00D55BE7" w:rsidP="00C6279B">
      <w:pPr>
        <w:pStyle w:val="Odstavecseseznamem"/>
        <w:numPr>
          <w:ilvl w:val="0"/>
          <w:numId w:val="24"/>
        </w:numPr>
        <w:spacing w:after="120"/>
        <w:jc w:val="both"/>
        <w:rPr>
          <w:rFonts w:ascii="Tahoma" w:hAnsi="Tahoma" w:cs="Tahoma"/>
          <w:sz w:val="20"/>
          <w:szCs w:val="20"/>
        </w:rPr>
      </w:pPr>
      <w:r w:rsidRPr="00A004CE">
        <w:rPr>
          <w:rFonts w:ascii="Tahoma" w:hAnsi="Tahoma" w:cs="Tahoma"/>
          <w:sz w:val="20"/>
          <w:szCs w:val="20"/>
        </w:rPr>
        <w:t xml:space="preserve">byly </w:t>
      </w:r>
      <w:r w:rsidR="00A004CE" w:rsidRPr="00A004CE">
        <w:rPr>
          <w:rFonts w:ascii="Tahoma" w:hAnsi="Tahoma" w:cs="Tahoma"/>
          <w:sz w:val="20"/>
          <w:szCs w:val="20"/>
        </w:rPr>
        <w:t xml:space="preserve">zpřesněny </w:t>
      </w:r>
      <w:r w:rsidRPr="00A004CE">
        <w:rPr>
          <w:rFonts w:ascii="Tahoma" w:hAnsi="Tahoma" w:cs="Tahoma"/>
          <w:sz w:val="20"/>
          <w:szCs w:val="20"/>
        </w:rPr>
        <w:t>popisy plánovaného využití finančních nástrojů;</w:t>
      </w:r>
    </w:p>
    <w:p w:rsidR="00697F57" w:rsidRPr="00A004CE" w:rsidRDefault="00697F57" w:rsidP="00C6279B">
      <w:pPr>
        <w:pStyle w:val="Odstavecseseznamem"/>
        <w:numPr>
          <w:ilvl w:val="0"/>
          <w:numId w:val="24"/>
        </w:numPr>
        <w:spacing w:after="120"/>
        <w:jc w:val="both"/>
        <w:rPr>
          <w:rFonts w:ascii="Tahoma" w:hAnsi="Tahoma" w:cs="Tahoma"/>
          <w:sz w:val="20"/>
          <w:szCs w:val="20"/>
        </w:rPr>
      </w:pPr>
      <w:r>
        <w:rPr>
          <w:rFonts w:ascii="Tahoma" w:hAnsi="Tahoma" w:cs="Tahoma"/>
          <w:sz w:val="20"/>
          <w:szCs w:val="20"/>
        </w:rPr>
        <w:t>byl rozšířen oddíl věnovaný integrovanému přístupu k územnímu rozvoji;</w:t>
      </w:r>
    </w:p>
    <w:p w:rsidR="00D55BE7" w:rsidRDefault="00D55BE7" w:rsidP="00C6279B">
      <w:pPr>
        <w:pStyle w:val="Odstavecseseznamem"/>
        <w:numPr>
          <w:ilvl w:val="0"/>
          <w:numId w:val="24"/>
        </w:numPr>
        <w:spacing w:after="120"/>
        <w:jc w:val="both"/>
        <w:rPr>
          <w:rFonts w:ascii="Tahoma" w:hAnsi="Tahoma" w:cs="Tahoma"/>
          <w:sz w:val="20"/>
          <w:szCs w:val="20"/>
        </w:rPr>
      </w:pPr>
      <w:r w:rsidRPr="00697F57">
        <w:rPr>
          <w:rFonts w:ascii="Tahoma" w:hAnsi="Tahoma" w:cs="Tahoma"/>
          <w:sz w:val="20"/>
          <w:szCs w:val="20"/>
        </w:rPr>
        <w:t xml:space="preserve">byly </w:t>
      </w:r>
      <w:r w:rsidR="00697F57" w:rsidRPr="00697F57">
        <w:rPr>
          <w:rFonts w:ascii="Tahoma" w:hAnsi="Tahoma" w:cs="Tahoma"/>
          <w:sz w:val="20"/>
          <w:szCs w:val="20"/>
        </w:rPr>
        <w:t xml:space="preserve">doplněny a </w:t>
      </w:r>
      <w:r w:rsidRPr="00697F57">
        <w:rPr>
          <w:rFonts w:ascii="Tahoma" w:hAnsi="Tahoma" w:cs="Tahoma"/>
          <w:sz w:val="20"/>
          <w:szCs w:val="20"/>
        </w:rPr>
        <w:t>rozšířeny popisy koordinace mezi fondy a dalšími unijními a vnitrostátními finančními nástroji;</w:t>
      </w:r>
    </w:p>
    <w:p w:rsidR="003C3AAC" w:rsidRPr="00697F57" w:rsidRDefault="003C3AAC" w:rsidP="00C6279B">
      <w:pPr>
        <w:pStyle w:val="Odstavecseseznamem"/>
        <w:numPr>
          <w:ilvl w:val="0"/>
          <w:numId w:val="24"/>
        </w:numPr>
        <w:spacing w:after="120"/>
        <w:jc w:val="both"/>
        <w:rPr>
          <w:rFonts w:ascii="Tahoma" w:hAnsi="Tahoma" w:cs="Tahoma"/>
          <w:sz w:val="20"/>
          <w:szCs w:val="20"/>
        </w:rPr>
      </w:pPr>
      <w:r>
        <w:rPr>
          <w:rFonts w:ascii="Tahoma" w:hAnsi="Tahoma" w:cs="Tahoma"/>
          <w:sz w:val="20"/>
          <w:szCs w:val="20"/>
        </w:rPr>
        <w:t>byl aktualizován oddíl věnovaný předběžným podmínkám</w:t>
      </w:r>
      <w:r w:rsidR="002A5AA5">
        <w:rPr>
          <w:rFonts w:ascii="Tahoma" w:hAnsi="Tahoma" w:cs="Tahoma"/>
          <w:sz w:val="20"/>
          <w:szCs w:val="20"/>
        </w:rPr>
        <w:t>.</w:t>
      </w:r>
    </w:p>
    <w:p w:rsidR="00D55BE7" w:rsidRDefault="00D55BE7" w:rsidP="00FD69E6">
      <w:pPr>
        <w:spacing w:after="120"/>
        <w:rPr>
          <w:highlight w:val="yellow"/>
        </w:rPr>
      </w:pPr>
    </w:p>
    <w:p w:rsidR="007D3758" w:rsidRDefault="007D3758" w:rsidP="00DA43AB">
      <w:pPr>
        <w:spacing w:after="120"/>
        <w:rPr>
          <w:rFonts w:cs="Tahoma"/>
          <w:szCs w:val="20"/>
        </w:rPr>
      </w:pPr>
    </w:p>
    <w:p w:rsidR="009D0F15" w:rsidRDefault="009D0F15" w:rsidP="00DA43AB">
      <w:pPr>
        <w:spacing w:after="120"/>
        <w:rPr>
          <w:rFonts w:cs="Tahoma"/>
          <w:szCs w:val="20"/>
        </w:rPr>
      </w:pPr>
    </w:p>
    <w:p w:rsidR="00FD69E6" w:rsidRPr="00DA43AB" w:rsidRDefault="00DA43AB" w:rsidP="00DA43AB">
      <w:pPr>
        <w:spacing w:after="120"/>
        <w:rPr>
          <w:rFonts w:cs="Tahoma"/>
          <w:szCs w:val="20"/>
        </w:rPr>
      </w:pPr>
      <w:r>
        <w:rPr>
          <w:rFonts w:cs="Tahoma"/>
          <w:szCs w:val="20"/>
        </w:rPr>
        <w:t xml:space="preserve">    </w:t>
      </w:r>
      <w:r w:rsidR="00FD69E6" w:rsidRPr="00DA43AB">
        <w:rPr>
          <w:rFonts w:cs="Tahoma"/>
          <w:szCs w:val="20"/>
        </w:rPr>
        <w:t xml:space="preserve"> </w:t>
      </w:r>
    </w:p>
    <w:p w:rsidR="00AD13CF" w:rsidRPr="0087255C" w:rsidRDefault="00080EB9" w:rsidP="009C5AC9">
      <w:pPr>
        <w:pStyle w:val="Nadpis1"/>
      </w:pPr>
      <w:bookmarkStart w:id="17" w:name="_Toc392583664"/>
      <w:r w:rsidRPr="0087255C">
        <w:lastRenderedPageBreak/>
        <w:t>Strategie programu</w:t>
      </w:r>
      <w:bookmarkEnd w:id="17"/>
    </w:p>
    <w:p w:rsidR="00353D6E" w:rsidRPr="0087255C" w:rsidRDefault="00353D6E" w:rsidP="00353D6E">
      <w:pPr>
        <w:spacing w:after="120"/>
        <w:rPr>
          <w:rFonts w:cs="Tahoma"/>
          <w:szCs w:val="20"/>
        </w:rPr>
      </w:pPr>
      <w:r w:rsidRPr="0087255C">
        <w:rPr>
          <w:rFonts w:cs="Tahoma"/>
          <w:szCs w:val="20"/>
        </w:rPr>
        <w:t>Smyslem této části ex-ante evaluace OP PIK je posoudit konzistence programových cílů, koherence, vztah mezi podporovanými akcemi, očekávanými výstupy a výsledky, uplatnění horizontálních principů a integrovaných přístupů, dále pojetí a způsobu zapracování regionální dimenze, regionálního rozměru intervencí a integrovaných přístupů v programu, ex-ante kondicionality a uplatňování principu partnerství.</w:t>
      </w:r>
    </w:p>
    <w:p w:rsidR="004373D8" w:rsidRDefault="00F815BC" w:rsidP="004373D8">
      <w:pPr>
        <w:pStyle w:val="Nadpis2"/>
      </w:pPr>
      <w:bookmarkStart w:id="18" w:name="_Toc392583665"/>
      <w:r w:rsidRPr="004373D8">
        <w:t>Konzistence programových cílů</w:t>
      </w:r>
      <w:bookmarkEnd w:id="18"/>
    </w:p>
    <w:p w:rsidR="004373D8" w:rsidRPr="00843927" w:rsidRDefault="00843927" w:rsidP="004373D8">
      <w:pPr>
        <w:tabs>
          <w:tab w:val="num" w:pos="720"/>
        </w:tabs>
        <w:spacing w:after="120"/>
        <w:rPr>
          <w:u w:val="single"/>
        </w:rPr>
      </w:pPr>
      <w:r w:rsidRPr="00843927">
        <w:rPr>
          <w:u w:val="single"/>
        </w:rPr>
        <w:t>Úkol:</w:t>
      </w:r>
    </w:p>
    <w:p w:rsidR="00843927" w:rsidRDefault="002C6BB2" w:rsidP="00843927">
      <w:pPr>
        <w:spacing w:after="120"/>
        <w:rPr>
          <w:rFonts w:cs="Tahoma"/>
          <w:szCs w:val="20"/>
        </w:rPr>
      </w:pPr>
      <w:r>
        <w:rPr>
          <w:rFonts w:cs="Tahoma"/>
          <w:szCs w:val="20"/>
        </w:rPr>
        <w:t>P</w:t>
      </w:r>
      <w:r w:rsidR="00843927">
        <w:rPr>
          <w:rFonts w:cs="Tahoma"/>
          <w:szCs w:val="20"/>
        </w:rPr>
        <w:t>os</w:t>
      </w:r>
      <w:r>
        <w:rPr>
          <w:rFonts w:cs="Tahoma"/>
          <w:szCs w:val="20"/>
        </w:rPr>
        <w:t>o</w:t>
      </w:r>
      <w:r w:rsidR="00843927">
        <w:rPr>
          <w:rFonts w:cs="Tahoma"/>
          <w:szCs w:val="20"/>
        </w:rPr>
        <w:t>u</w:t>
      </w:r>
      <w:r>
        <w:rPr>
          <w:rFonts w:cs="Tahoma"/>
          <w:szCs w:val="20"/>
        </w:rPr>
        <w:t>dit</w:t>
      </w:r>
      <w:r w:rsidR="00843927" w:rsidRPr="00843927">
        <w:rPr>
          <w:rFonts w:cs="Tahoma"/>
          <w:szCs w:val="20"/>
        </w:rPr>
        <w:t xml:space="preserve">, </w:t>
      </w:r>
      <w:r w:rsidR="00843927">
        <w:rPr>
          <w:rFonts w:cs="Tahoma"/>
          <w:szCs w:val="20"/>
        </w:rPr>
        <w:t xml:space="preserve">zda </w:t>
      </w:r>
      <w:r w:rsidR="00843927" w:rsidRPr="00843927">
        <w:rPr>
          <w:rFonts w:cs="Tahoma"/>
          <w:szCs w:val="20"/>
        </w:rPr>
        <w:t>výzvy, problémy a pot</w:t>
      </w:r>
      <w:r w:rsidR="00843927">
        <w:rPr>
          <w:rFonts w:cs="Tahoma"/>
          <w:szCs w:val="20"/>
        </w:rPr>
        <w:t>ř</w:t>
      </w:r>
      <w:r w:rsidR="00843927" w:rsidRPr="00843927">
        <w:rPr>
          <w:rFonts w:cs="Tahoma"/>
          <w:szCs w:val="20"/>
        </w:rPr>
        <w:t xml:space="preserve">eby identifikované v </w:t>
      </w:r>
      <w:r w:rsidR="00843927">
        <w:rPr>
          <w:rFonts w:cs="Tahoma"/>
          <w:szCs w:val="20"/>
        </w:rPr>
        <w:t>programu</w:t>
      </w:r>
      <w:r w:rsidR="00843927" w:rsidRPr="00843927">
        <w:rPr>
          <w:rFonts w:cs="Tahoma"/>
          <w:szCs w:val="20"/>
        </w:rPr>
        <w:t xml:space="preserve"> </w:t>
      </w:r>
      <w:r w:rsidR="00843927">
        <w:rPr>
          <w:rFonts w:cs="Tahoma"/>
          <w:szCs w:val="20"/>
        </w:rPr>
        <w:t xml:space="preserve">odpovídají cílům </w:t>
      </w:r>
      <w:r w:rsidR="00843927" w:rsidRPr="00843927">
        <w:rPr>
          <w:rFonts w:cs="Tahoma"/>
          <w:szCs w:val="20"/>
        </w:rPr>
        <w:t>strat</w:t>
      </w:r>
      <w:r w:rsidR="00843927">
        <w:rPr>
          <w:rFonts w:cs="Tahoma"/>
          <w:szCs w:val="20"/>
        </w:rPr>
        <w:t>egie Evropa</w:t>
      </w:r>
      <w:r w:rsidR="00843927" w:rsidRPr="00843927">
        <w:rPr>
          <w:rFonts w:cs="Tahoma"/>
          <w:szCs w:val="20"/>
        </w:rPr>
        <w:t xml:space="preserve"> 2020, Národn</w:t>
      </w:r>
      <w:r w:rsidR="00843927">
        <w:rPr>
          <w:rFonts w:cs="Tahoma"/>
          <w:szCs w:val="20"/>
        </w:rPr>
        <w:t>ího</w:t>
      </w:r>
      <w:r w:rsidR="00843927" w:rsidRPr="00843927">
        <w:rPr>
          <w:rFonts w:cs="Tahoma"/>
          <w:szCs w:val="20"/>
        </w:rPr>
        <w:t xml:space="preserve"> programu refor</w:t>
      </w:r>
      <w:r w:rsidR="00843927">
        <w:rPr>
          <w:rFonts w:cs="Tahoma"/>
          <w:szCs w:val="20"/>
        </w:rPr>
        <w:t>em Č</w:t>
      </w:r>
      <w:r w:rsidR="00843927" w:rsidRPr="00843927">
        <w:rPr>
          <w:rFonts w:cs="Tahoma"/>
          <w:szCs w:val="20"/>
        </w:rPr>
        <w:t xml:space="preserve">R a </w:t>
      </w:r>
      <w:r w:rsidR="00843927">
        <w:rPr>
          <w:rFonts w:cs="Tahoma"/>
          <w:szCs w:val="20"/>
        </w:rPr>
        <w:t>specifickým doporučením Rady EU</w:t>
      </w:r>
      <w:r w:rsidR="00843927" w:rsidRPr="00843927">
        <w:rPr>
          <w:rFonts w:cs="Tahoma"/>
          <w:szCs w:val="20"/>
        </w:rPr>
        <w:t xml:space="preserve"> pr</w:t>
      </w:r>
      <w:r w:rsidR="00843927">
        <w:rPr>
          <w:rFonts w:cs="Tahoma"/>
          <w:szCs w:val="20"/>
        </w:rPr>
        <w:t xml:space="preserve">o ČR a dále, zda </w:t>
      </w:r>
      <w:r w:rsidR="00843927" w:rsidRPr="00843927">
        <w:rPr>
          <w:rFonts w:cs="Tahoma"/>
          <w:szCs w:val="20"/>
        </w:rPr>
        <w:t>zvolené investičn</w:t>
      </w:r>
      <w:r w:rsidR="00843927">
        <w:rPr>
          <w:rFonts w:cs="Tahoma"/>
          <w:szCs w:val="20"/>
        </w:rPr>
        <w:t>í</w:t>
      </w:r>
      <w:r w:rsidR="00843927" w:rsidRPr="00843927">
        <w:rPr>
          <w:rFonts w:cs="Tahoma"/>
          <w:szCs w:val="20"/>
        </w:rPr>
        <w:t xml:space="preserve"> priority a p</w:t>
      </w:r>
      <w:r w:rsidR="00843927">
        <w:rPr>
          <w:rFonts w:cs="Tahoma"/>
          <w:szCs w:val="20"/>
        </w:rPr>
        <w:t>ř</w:t>
      </w:r>
      <w:r w:rsidR="00843927" w:rsidRPr="00843927">
        <w:rPr>
          <w:rFonts w:cs="Tahoma"/>
          <w:szCs w:val="20"/>
        </w:rPr>
        <w:t xml:space="preserve">íslušné </w:t>
      </w:r>
      <w:r w:rsidR="00843927">
        <w:rPr>
          <w:rFonts w:cs="Tahoma"/>
          <w:szCs w:val="20"/>
        </w:rPr>
        <w:t>specifické cíle programu</w:t>
      </w:r>
      <w:r w:rsidR="00843927" w:rsidRPr="00843927">
        <w:rPr>
          <w:rFonts w:cs="Tahoma"/>
          <w:szCs w:val="20"/>
        </w:rPr>
        <w:t xml:space="preserve"> d</w:t>
      </w:r>
      <w:r w:rsidR="00843927">
        <w:rPr>
          <w:rFonts w:cs="Tahoma"/>
          <w:szCs w:val="20"/>
        </w:rPr>
        <w:t xml:space="preserve">ůsledně </w:t>
      </w:r>
      <w:r w:rsidR="00843927" w:rsidRPr="00843927">
        <w:rPr>
          <w:rFonts w:cs="Tahoma"/>
          <w:szCs w:val="20"/>
        </w:rPr>
        <w:t>reflektuj</w:t>
      </w:r>
      <w:r w:rsidR="00843927">
        <w:rPr>
          <w:rFonts w:cs="Tahoma"/>
          <w:szCs w:val="20"/>
        </w:rPr>
        <w:t>í</w:t>
      </w:r>
      <w:r w:rsidR="00843927" w:rsidRPr="00843927">
        <w:rPr>
          <w:rFonts w:cs="Tahoma"/>
          <w:szCs w:val="20"/>
        </w:rPr>
        <w:t xml:space="preserve"> ident</w:t>
      </w:r>
      <w:r w:rsidR="00843927">
        <w:rPr>
          <w:rFonts w:cs="Tahoma"/>
          <w:szCs w:val="20"/>
        </w:rPr>
        <w:t>ifikované výzvy, problémy a potř</w:t>
      </w:r>
      <w:r w:rsidR="00843927" w:rsidRPr="00843927">
        <w:rPr>
          <w:rFonts w:cs="Tahoma"/>
          <w:szCs w:val="20"/>
        </w:rPr>
        <w:t>eby.</w:t>
      </w:r>
    </w:p>
    <w:p w:rsidR="00471AC7" w:rsidRPr="00471AC7" w:rsidRDefault="00471AC7" w:rsidP="00843927">
      <w:pPr>
        <w:spacing w:after="120"/>
        <w:rPr>
          <w:rFonts w:cs="Tahoma"/>
          <w:szCs w:val="20"/>
          <w:u w:val="single"/>
        </w:rPr>
      </w:pPr>
      <w:r w:rsidRPr="00471AC7">
        <w:rPr>
          <w:rFonts w:cs="Tahoma"/>
          <w:szCs w:val="20"/>
          <w:u w:val="single"/>
        </w:rPr>
        <w:t>Východiska pro hodnocení:</w:t>
      </w:r>
    </w:p>
    <w:p w:rsidR="00471AC7" w:rsidRDefault="00471AC7" w:rsidP="00471AC7">
      <w:pPr>
        <w:spacing w:after="120"/>
        <w:rPr>
          <w:rFonts w:cs="Tahoma"/>
          <w:szCs w:val="20"/>
        </w:rPr>
      </w:pPr>
      <w:r>
        <w:rPr>
          <w:rFonts w:cs="Tahoma"/>
          <w:szCs w:val="20"/>
        </w:rPr>
        <w:t xml:space="preserve">Východiskem pro hodnocení jsou především </w:t>
      </w:r>
      <w:r w:rsidR="009C4ECD">
        <w:rPr>
          <w:rFonts w:cs="Tahoma"/>
          <w:szCs w:val="20"/>
        </w:rPr>
        <w:t>oddíly</w:t>
      </w:r>
      <w:r>
        <w:rPr>
          <w:rFonts w:cs="Tahoma"/>
          <w:szCs w:val="20"/>
        </w:rPr>
        <w:t xml:space="preserve"> 1 a 2 textu programu</w:t>
      </w:r>
      <w:r w:rsidR="004731F6">
        <w:rPr>
          <w:rFonts w:cs="Tahoma"/>
          <w:szCs w:val="20"/>
        </w:rPr>
        <w:t xml:space="preserve"> a také nepovinná příloha č. 2</w:t>
      </w:r>
      <w:r>
        <w:rPr>
          <w:rFonts w:cs="Tahoma"/>
          <w:szCs w:val="20"/>
        </w:rPr>
        <w:t xml:space="preserve">. </w:t>
      </w:r>
    </w:p>
    <w:p w:rsidR="009573AA" w:rsidRPr="009573AA" w:rsidRDefault="009C4ECD" w:rsidP="009573AA">
      <w:pPr>
        <w:spacing w:after="120"/>
        <w:rPr>
          <w:rFonts w:cs="Tahoma"/>
          <w:szCs w:val="20"/>
        </w:rPr>
      </w:pPr>
      <w:r>
        <w:rPr>
          <w:rFonts w:cs="Tahoma"/>
          <w:szCs w:val="20"/>
        </w:rPr>
        <w:t>Oddíl</w:t>
      </w:r>
      <w:r w:rsidR="00471AC7">
        <w:rPr>
          <w:rFonts w:cs="Tahoma"/>
          <w:szCs w:val="20"/>
        </w:rPr>
        <w:t xml:space="preserve"> 1 „Strategie</w:t>
      </w:r>
      <w:r>
        <w:rPr>
          <w:rFonts w:cs="Tahoma"/>
          <w:szCs w:val="20"/>
        </w:rPr>
        <w:t xml:space="preserve">, na jejímž základě bude operační program přispívat </w:t>
      </w:r>
      <w:r w:rsidR="00471AC7">
        <w:rPr>
          <w:rFonts w:cs="Tahoma"/>
          <w:szCs w:val="20"/>
        </w:rPr>
        <w:t xml:space="preserve">ke strategii Unie </w:t>
      </w:r>
      <w:r>
        <w:rPr>
          <w:rFonts w:cs="Tahoma"/>
          <w:szCs w:val="20"/>
        </w:rPr>
        <w:t>pro</w:t>
      </w:r>
      <w:r w:rsidR="00471AC7">
        <w:rPr>
          <w:rFonts w:cs="Tahoma"/>
          <w:szCs w:val="20"/>
        </w:rPr>
        <w:t xml:space="preserve"> inteligentní a udržitelný růst podporující sociální začlenění a </w:t>
      </w:r>
      <w:r>
        <w:rPr>
          <w:rFonts w:cs="Tahoma"/>
          <w:szCs w:val="20"/>
        </w:rPr>
        <w:t xml:space="preserve">k </w:t>
      </w:r>
      <w:r w:rsidR="00471AC7">
        <w:rPr>
          <w:rFonts w:cs="Tahoma"/>
          <w:szCs w:val="20"/>
        </w:rPr>
        <w:t xml:space="preserve">dosažení hospodářské, sociální a územní soudržnosti“ obsahuje v úvodní části popis </w:t>
      </w:r>
      <w:r w:rsidR="00471AC7" w:rsidRPr="009573AA">
        <w:rPr>
          <w:rFonts w:cs="Tahoma"/>
          <w:szCs w:val="20"/>
        </w:rPr>
        <w:t>strategie programu</w:t>
      </w:r>
      <w:r w:rsidR="00EB291D" w:rsidRPr="009573AA">
        <w:rPr>
          <w:rFonts w:cs="Tahoma"/>
          <w:szCs w:val="20"/>
        </w:rPr>
        <w:t xml:space="preserve">, jeho cíl a identifikaci 4 hlavních priorit k jeho dosažení. Následuje pasáž věnovaná tematické koncentraci programu vymezující prioritní osy OP PIK a dále jsou popsány vazby programu na </w:t>
      </w:r>
      <w:proofErr w:type="spellStart"/>
      <w:r w:rsidR="00EB291D" w:rsidRPr="009573AA">
        <w:rPr>
          <w:rFonts w:cs="Tahoma"/>
          <w:szCs w:val="20"/>
        </w:rPr>
        <w:t>DoP</w:t>
      </w:r>
      <w:proofErr w:type="spellEnd"/>
      <w:r w:rsidR="00EB291D" w:rsidRPr="009573AA">
        <w:rPr>
          <w:rFonts w:cs="Tahoma"/>
          <w:szCs w:val="20"/>
        </w:rPr>
        <w:t xml:space="preserve"> a na další klíčové dokumenty, mezi které je řazen Národní program reforem ČR 201</w:t>
      </w:r>
      <w:r w:rsidR="002A5AA5">
        <w:rPr>
          <w:rFonts w:cs="Tahoma"/>
          <w:szCs w:val="20"/>
        </w:rPr>
        <w:t>4</w:t>
      </w:r>
      <w:r w:rsidR="00EB291D" w:rsidRPr="009573AA">
        <w:rPr>
          <w:rFonts w:cs="Tahoma"/>
          <w:szCs w:val="20"/>
        </w:rPr>
        <w:t xml:space="preserve">, Doporučení Rady k NPR, tzv. „Poziční dokument“, Strategie inteligentní specializace ČR, Strategie mezinárodní konkurenceschopnosti ČR, Strategie regionálního rozvoje ČR, Strategický rámec udržitelného rozvoje ČR, Národní inovační strategie ČR, </w:t>
      </w:r>
      <w:r w:rsidR="009573AA" w:rsidRPr="009573AA">
        <w:rPr>
          <w:rFonts w:cs="Tahoma"/>
          <w:szCs w:val="20"/>
        </w:rPr>
        <w:t xml:space="preserve">Národní priority orientovaného výzkumu, experimentálního vývoje a inovací, Aktualizace Národní politiky výzkumu, vývoje a inovací České republiky na léta 2009 až 2015 s výhledem do roku 2020, </w:t>
      </w:r>
      <w:r w:rsidR="004731F6">
        <w:rPr>
          <w:rFonts w:cs="Tahoma"/>
          <w:szCs w:val="20"/>
        </w:rPr>
        <w:t xml:space="preserve">Kosmický plán, </w:t>
      </w:r>
      <w:r w:rsidR="009573AA" w:rsidRPr="009573AA">
        <w:rPr>
          <w:rFonts w:cs="Tahoma"/>
          <w:szCs w:val="20"/>
        </w:rPr>
        <w:t>Koncepce podpory malých a středních podnikatelů na období let 2014-2020, Státní energetická koncepce ČR, Národní akční plán České republiky pro energii z obnovitelných zdrojů, Druhý Akční plán energetické účinnosti ČR</w:t>
      </w:r>
      <w:r w:rsidR="009573AA">
        <w:rPr>
          <w:rFonts w:cs="Tahoma"/>
          <w:szCs w:val="20"/>
        </w:rPr>
        <w:t xml:space="preserve">, </w:t>
      </w:r>
      <w:r w:rsidR="009573AA" w:rsidRPr="009573AA">
        <w:rPr>
          <w:rFonts w:cs="Tahoma"/>
          <w:szCs w:val="20"/>
        </w:rPr>
        <w:t>Politika druhotných surovin ČR a Aktualizovaná Státní politika v elektronických komunikacích: Digitální Česko v. 2.0, Cesta k digitální ekonomice.</w:t>
      </w:r>
    </w:p>
    <w:p w:rsidR="00471AC7" w:rsidRDefault="00471AC7" w:rsidP="00471AC7">
      <w:pPr>
        <w:spacing w:after="120"/>
        <w:rPr>
          <w:rFonts w:cs="Tahoma"/>
          <w:szCs w:val="20"/>
        </w:rPr>
      </w:pPr>
      <w:r w:rsidRPr="009573AA">
        <w:rPr>
          <w:rFonts w:cs="Tahoma"/>
          <w:szCs w:val="20"/>
        </w:rPr>
        <w:t>P</w:t>
      </w:r>
      <w:r w:rsidR="001A23C5">
        <w:rPr>
          <w:rFonts w:cs="Tahoma"/>
          <w:szCs w:val="20"/>
        </w:rPr>
        <w:t>r</w:t>
      </w:r>
      <w:r w:rsidRPr="009573AA">
        <w:rPr>
          <w:rFonts w:cs="Tahoma"/>
          <w:szCs w:val="20"/>
        </w:rPr>
        <w:t>o OP PIK byl</w:t>
      </w:r>
      <w:r w:rsidR="00D55BE7">
        <w:rPr>
          <w:rFonts w:cs="Tahoma"/>
          <w:szCs w:val="20"/>
        </w:rPr>
        <w:t>o</w:t>
      </w:r>
      <w:r w:rsidRPr="009573AA">
        <w:rPr>
          <w:rFonts w:cs="Tahoma"/>
          <w:szCs w:val="20"/>
        </w:rPr>
        <w:t xml:space="preserve"> vybrán</w:t>
      </w:r>
      <w:r w:rsidR="00D55BE7">
        <w:rPr>
          <w:rFonts w:cs="Tahoma"/>
          <w:szCs w:val="20"/>
        </w:rPr>
        <w:t>o 5</w:t>
      </w:r>
      <w:r w:rsidRPr="009573AA">
        <w:rPr>
          <w:rFonts w:cs="Tahoma"/>
          <w:szCs w:val="20"/>
        </w:rPr>
        <w:t xml:space="preserve"> tematick</w:t>
      </w:r>
      <w:r w:rsidR="00D55BE7">
        <w:rPr>
          <w:rFonts w:cs="Tahoma"/>
          <w:szCs w:val="20"/>
        </w:rPr>
        <w:t>ých cílů</w:t>
      </w:r>
      <w:r w:rsidRPr="009573AA">
        <w:rPr>
          <w:rFonts w:cs="Tahoma"/>
          <w:szCs w:val="20"/>
        </w:rPr>
        <w:t xml:space="preserve"> pro ESIF a v rámci těchto TC celkem 1</w:t>
      </w:r>
      <w:r w:rsidR="00D55BE7">
        <w:rPr>
          <w:rFonts w:cs="Tahoma"/>
          <w:szCs w:val="20"/>
        </w:rPr>
        <w:t>2</w:t>
      </w:r>
      <w:r w:rsidRPr="009573AA">
        <w:rPr>
          <w:rFonts w:cs="Tahoma"/>
          <w:szCs w:val="20"/>
        </w:rPr>
        <w:t xml:space="preserve"> investičních priorit EFRR. Součástí textu jsou mj. rovněž tabulky přehledu zdůvodnění výběru tematických cílů a investičních priorit. Program vymezuje 4 věcně zaměřené prioritní osy a jednu prioritní osu pro technickou pomoc. V návaznosti na vybrané TC, investiční priority a prioritní osy definuje OP PIK celkem 1</w:t>
      </w:r>
      <w:r w:rsidR="00D55BE7">
        <w:rPr>
          <w:rFonts w:cs="Tahoma"/>
          <w:szCs w:val="20"/>
        </w:rPr>
        <w:t>6</w:t>
      </w:r>
      <w:r w:rsidRPr="009573AA">
        <w:rPr>
          <w:rFonts w:cs="Tahoma"/>
          <w:szCs w:val="20"/>
        </w:rPr>
        <w:t xml:space="preserve"> specifických cílů, z nichž 2 jsou specifické cíle v oblasti technické pomoci.</w:t>
      </w:r>
    </w:p>
    <w:p w:rsidR="00471AC7" w:rsidRDefault="009C4ECD" w:rsidP="00471AC7">
      <w:pPr>
        <w:spacing w:after="120"/>
        <w:rPr>
          <w:rFonts w:cs="Tahoma"/>
          <w:szCs w:val="20"/>
        </w:rPr>
      </w:pPr>
      <w:r>
        <w:rPr>
          <w:rFonts w:cs="Tahoma"/>
          <w:szCs w:val="20"/>
        </w:rPr>
        <w:t>Oddíl</w:t>
      </w:r>
      <w:r w:rsidR="00471AC7">
        <w:rPr>
          <w:rFonts w:cs="Tahoma"/>
          <w:szCs w:val="20"/>
        </w:rPr>
        <w:t xml:space="preserve"> 2 uvádí popis jednotlivých prioritních os OP PIK, specifických cílů, typu a příkladů podporovaných aktivit, výkonnostní rámec a kategorie intervencí.</w:t>
      </w:r>
    </w:p>
    <w:p w:rsidR="004731F6" w:rsidRDefault="004731F6" w:rsidP="00471AC7">
      <w:pPr>
        <w:spacing w:after="120"/>
        <w:rPr>
          <w:rFonts w:cs="Tahoma"/>
          <w:szCs w:val="20"/>
        </w:rPr>
      </w:pPr>
      <w:r>
        <w:rPr>
          <w:rFonts w:cs="Tahoma"/>
          <w:szCs w:val="20"/>
        </w:rPr>
        <w:t>Nepovinná příloha č. 2 obsahuje a</w:t>
      </w:r>
      <w:r w:rsidRPr="005B16F0">
        <w:rPr>
          <w:rFonts w:cs="Calibri"/>
        </w:rPr>
        <w:t>nalýz</w:t>
      </w:r>
      <w:r>
        <w:rPr>
          <w:rFonts w:cs="Calibri"/>
        </w:rPr>
        <w:t>u</w:t>
      </w:r>
      <w:r w:rsidRPr="005B16F0">
        <w:rPr>
          <w:rFonts w:cs="Calibri"/>
        </w:rPr>
        <w:t xml:space="preserve"> potřeb ČR ve vybraných problémových oblastech Dohody o partnerství</w:t>
      </w:r>
      <w:r>
        <w:rPr>
          <w:rFonts w:cs="Calibri"/>
        </w:rPr>
        <w:t xml:space="preserve"> relevantních pro OP PIK.</w:t>
      </w:r>
    </w:p>
    <w:p w:rsidR="00843927" w:rsidRPr="00843927" w:rsidRDefault="00843927" w:rsidP="00843927">
      <w:pPr>
        <w:tabs>
          <w:tab w:val="num" w:pos="720"/>
        </w:tabs>
        <w:spacing w:after="120"/>
        <w:rPr>
          <w:u w:val="single"/>
        </w:rPr>
      </w:pPr>
      <w:r w:rsidRPr="00843927">
        <w:rPr>
          <w:u w:val="single"/>
        </w:rPr>
        <w:t>Zjištění</w:t>
      </w:r>
      <w:r w:rsidR="00471AC7">
        <w:rPr>
          <w:u w:val="single"/>
        </w:rPr>
        <w:t xml:space="preserve"> v návaznosti na evaluační otázky a úkoly</w:t>
      </w:r>
      <w:r w:rsidRPr="00843927">
        <w:rPr>
          <w:u w:val="single"/>
        </w:rPr>
        <w:t>:</w:t>
      </w:r>
    </w:p>
    <w:tbl>
      <w:tblPr>
        <w:tblW w:w="9231"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80"/>
        <w:gridCol w:w="2823"/>
        <w:gridCol w:w="1559"/>
        <w:gridCol w:w="3969"/>
      </w:tblGrid>
      <w:tr w:rsidR="00471AC7" w:rsidRPr="0005690F" w:rsidTr="00274A5F">
        <w:trPr>
          <w:trHeight w:val="1080"/>
          <w:tblHeader/>
        </w:trPr>
        <w:tc>
          <w:tcPr>
            <w:tcW w:w="880" w:type="dxa"/>
            <w:shd w:val="clear" w:color="000000" w:fill="BFBFBF"/>
            <w:vAlign w:val="center"/>
            <w:hideMark/>
          </w:tcPr>
          <w:p w:rsidR="00471AC7" w:rsidRPr="0005690F" w:rsidRDefault="00471AC7" w:rsidP="00F20614">
            <w:pPr>
              <w:jc w:val="center"/>
              <w:rPr>
                <w:rFonts w:ascii="Times New Roman" w:eastAsia="Times New Roman" w:hAnsi="Times New Roman" w:cs="Times New Roman"/>
                <w:b/>
                <w:bCs/>
                <w:szCs w:val="20"/>
                <w:lang w:eastAsia="cs-CZ"/>
              </w:rPr>
            </w:pPr>
            <w:proofErr w:type="spellStart"/>
            <w:r w:rsidRPr="0005690F">
              <w:rPr>
                <w:rFonts w:ascii="Times New Roman" w:eastAsia="Times New Roman" w:hAnsi="Times New Roman" w:cs="Times New Roman"/>
                <w:b/>
                <w:bCs/>
                <w:szCs w:val="20"/>
                <w:lang w:eastAsia="cs-CZ"/>
              </w:rPr>
              <w:t>Poř</w:t>
            </w:r>
            <w:proofErr w:type="spellEnd"/>
            <w:r w:rsidRPr="0005690F">
              <w:rPr>
                <w:rFonts w:ascii="Times New Roman" w:eastAsia="Times New Roman" w:hAnsi="Times New Roman" w:cs="Times New Roman"/>
                <w:b/>
                <w:bCs/>
                <w:szCs w:val="20"/>
                <w:lang w:eastAsia="cs-CZ"/>
              </w:rPr>
              <w:t>. č.</w:t>
            </w:r>
          </w:p>
        </w:tc>
        <w:tc>
          <w:tcPr>
            <w:tcW w:w="2823" w:type="dxa"/>
            <w:shd w:val="clear" w:color="000000" w:fill="BFBFBF"/>
            <w:vAlign w:val="center"/>
            <w:hideMark/>
          </w:tcPr>
          <w:p w:rsidR="00471AC7" w:rsidRPr="0005690F" w:rsidRDefault="00471AC7" w:rsidP="00F20614">
            <w:pPr>
              <w:jc w:val="center"/>
              <w:rPr>
                <w:rFonts w:ascii="Times New Roman" w:eastAsia="Times New Roman" w:hAnsi="Times New Roman" w:cs="Times New Roman"/>
                <w:b/>
                <w:bCs/>
                <w:szCs w:val="20"/>
                <w:lang w:eastAsia="cs-CZ"/>
              </w:rPr>
            </w:pPr>
            <w:r w:rsidRPr="0005690F">
              <w:rPr>
                <w:rFonts w:ascii="Times New Roman" w:eastAsia="Times New Roman" w:hAnsi="Times New Roman" w:cs="Times New Roman"/>
                <w:b/>
                <w:bCs/>
                <w:szCs w:val="20"/>
                <w:lang w:eastAsia="cs-CZ"/>
              </w:rPr>
              <w:t>Evaluační otázka / úkol</w:t>
            </w:r>
          </w:p>
        </w:tc>
        <w:tc>
          <w:tcPr>
            <w:tcW w:w="1559" w:type="dxa"/>
            <w:shd w:val="clear" w:color="000000" w:fill="BFBFBF"/>
            <w:vAlign w:val="center"/>
            <w:hideMark/>
          </w:tcPr>
          <w:p w:rsidR="00471AC7" w:rsidRPr="0005690F" w:rsidRDefault="00471AC7" w:rsidP="00A1343C">
            <w:pPr>
              <w:jc w:val="center"/>
              <w:rPr>
                <w:rFonts w:ascii="Times New Roman" w:eastAsia="Times New Roman" w:hAnsi="Times New Roman" w:cs="Times New Roman"/>
                <w:b/>
                <w:bCs/>
                <w:szCs w:val="20"/>
                <w:lang w:eastAsia="cs-CZ"/>
              </w:rPr>
            </w:pPr>
            <w:r w:rsidRPr="0005690F">
              <w:rPr>
                <w:rFonts w:ascii="Times New Roman" w:eastAsia="Times New Roman" w:hAnsi="Times New Roman" w:cs="Times New Roman"/>
                <w:b/>
                <w:bCs/>
                <w:szCs w:val="20"/>
                <w:lang w:eastAsia="cs-CZ"/>
              </w:rPr>
              <w:t>Zhodnocení</w:t>
            </w:r>
            <w:r w:rsidRPr="0005690F">
              <w:rPr>
                <w:rFonts w:ascii="Times New Roman" w:eastAsia="Times New Roman" w:hAnsi="Times New Roman" w:cs="Times New Roman"/>
                <w:b/>
                <w:bCs/>
                <w:szCs w:val="20"/>
                <w:lang w:eastAsia="cs-CZ"/>
              </w:rPr>
              <w:br/>
            </w:r>
            <w:r w:rsidRPr="0005690F">
              <w:rPr>
                <w:rFonts w:ascii="Times New Roman" w:eastAsia="Times New Roman" w:hAnsi="Times New Roman" w:cs="Times New Roman"/>
                <w:bCs/>
                <w:szCs w:val="20"/>
                <w:lang w:eastAsia="cs-CZ"/>
              </w:rPr>
              <w:t xml:space="preserve">(A - Ano, </w:t>
            </w:r>
            <w:r w:rsidR="00DE461A" w:rsidRPr="0005690F">
              <w:rPr>
                <w:rFonts w:ascii="Times New Roman" w:eastAsia="Times New Roman" w:hAnsi="Times New Roman" w:cs="Times New Roman"/>
                <w:bCs/>
                <w:szCs w:val="20"/>
                <w:lang w:eastAsia="cs-CZ"/>
              </w:rPr>
              <w:t xml:space="preserve">SA – Spíše ano, SN – Spíše ne, </w:t>
            </w:r>
            <w:r w:rsidRPr="0005690F">
              <w:rPr>
                <w:rFonts w:ascii="Times New Roman" w:eastAsia="Times New Roman" w:hAnsi="Times New Roman" w:cs="Times New Roman"/>
                <w:bCs/>
                <w:szCs w:val="20"/>
                <w:lang w:eastAsia="cs-CZ"/>
              </w:rPr>
              <w:t>N - Ne, NR - Není relevantní)</w:t>
            </w:r>
          </w:p>
        </w:tc>
        <w:tc>
          <w:tcPr>
            <w:tcW w:w="3969" w:type="dxa"/>
            <w:shd w:val="clear" w:color="000000" w:fill="BFBFBF"/>
            <w:vAlign w:val="center"/>
            <w:hideMark/>
          </w:tcPr>
          <w:p w:rsidR="00471AC7" w:rsidRPr="0005690F" w:rsidRDefault="00471AC7" w:rsidP="00F20614">
            <w:pPr>
              <w:jc w:val="center"/>
              <w:rPr>
                <w:rFonts w:ascii="Times New Roman" w:eastAsia="Times New Roman" w:hAnsi="Times New Roman" w:cs="Times New Roman"/>
                <w:b/>
                <w:bCs/>
                <w:szCs w:val="20"/>
                <w:lang w:eastAsia="cs-CZ"/>
              </w:rPr>
            </w:pPr>
            <w:r w:rsidRPr="0005690F">
              <w:rPr>
                <w:rFonts w:ascii="Times New Roman" w:eastAsia="Times New Roman" w:hAnsi="Times New Roman" w:cs="Times New Roman"/>
                <w:b/>
                <w:bCs/>
                <w:szCs w:val="20"/>
                <w:lang w:eastAsia="cs-CZ"/>
              </w:rPr>
              <w:t>Komentář, doporučení</w:t>
            </w:r>
          </w:p>
        </w:tc>
      </w:tr>
      <w:tr w:rsidR="00471AC7" w:rsidRPr="0005690F" w:rsidTr="00274A5F">
        <w:trPr>
          <w:trHeight w:val="540"/>
        </w:trPr>
        <w:tc>
          <w:tcPr>
            <w:tcW w:w="880" w:type="dxa"/>
            <w:shd w:val="clear" w:color="000000" w:fill="C5D9F1"/>
            <w:hideMark/>
          </w:tcPr>
          <w:p w:rsidR="00471AC7" w:rsidRPr="0005690F" w:rsidRDefault="00471AC7"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01.1</w:t>
            </w:r>
          </w:p>
        </w:tc>
        <w:tc>
          <w:tcPr>
            <w:tcW w:w="2823" w:type="dxa"/>
            <w:shd w:val="clear" w:color="000000" w:fill="C5D9F1"/>
            <w:hideMark/>
          </w:tcPr>
          <w:p w:rsidR="00471AC7" w:rsidRPr="0005690F" w:rsidRDefault="00471AC7" w:rsidP="004731F6">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Je socioekonomická analýza současného stavu tematických oblastí operačního programu úplná a relevantní?</w:t>
            </w:r>
          </w:p>
        </w:tc>
        <w:tc>
          <w:tcPr>
            <w:tcW w:w="1559" w:type="dxa"/>
            <w:shd w:val="clear" w:color="000000" w:fill="C5D9F1"/>
            <w:vAlign w:val="center"/>
            <w:hideMark/>
          </w:tcPr>
          <w:p w:rsidR="00471AC7" w:rsidRPr="0005690F" w:rsidRDefault="00E127A0" w:rsidP="00145627">
            <w:pPr>
              <w:jc w:val="cente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S</w:t>
            </w:r>
            <w:r w:rsidR="00CE7DB8" w:rsidRPr="0005690F">
              <w:rPr>
                <w:rFonts w:ascii="Times New Roman" w:eastAsia="Times New Roman" w:hAnsi="Times New Roman" w:cs="Times New Roman"/>
                <w:szCs w:val="20"/>
                <w:lang w:eastAsia="cs-CZ"/>
              </w:rPr>
              <w:t>A</w:t>
            </w:r>
          </w:p>
        </w:tc>
        <w:tc>
          <w:tcPr>
            <w:tcW w:w="3969" w:type="dxa"/>
            <w:shd w:val="clear" w:color="000000" w:fill="C5D9F1"/>
            <w:hideMark/>
          </w:tcPr>
          <w:p w:rsidR="004731F6" w:rsidRDefault="004731F6" w:rsidP="00302F88">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S</w:t>
            </w:r>
            <w:r w:rsidR="00DB4673" w:rsidRPr="0005690F">
              <w:rPr>
                <w:rFonts w:ascii="Times New Roman" w:eastAsia="Times New Roman" w:hAnsi="Times New Roman" w:cs="Times New Roman"/>
                <w:szCs w:val="20"/>
                <w:lang w:eastAsia="cs-CZ"/>
              </w:rPr>
              <w:t>ocioekonomickou analýzu</w:t>
            </w:r>
            <w:r>
              <w:rPr>
                <w:rFonts w:ascii="Times New Roman" w:eastAsia="Times New Roman" w:hAnsi="Times New Roman" w:cs="Times New Roman"/>
                <w:szCs w:val="20"/>
                <w:lang w:eastAsia="cs-CZ"/>
              </w:rPr>
              <w:t xml:space="preserve"> současného stavu, která je zpracována formou analýzy potřeb jako nepovinná příloha č. 2 k </w:t>
            </w:r>
            <w:proofErr w:type="gramStart"/>
            <w:r>
              <w:rPr>
                <w:rFonts w:ascii="Times New Roman" w:eastAsia="Times New Roman" w:hAnsi="Times New Roman" w:cs="Times New Roman"/>
                <w:szCs w:val="20"/>
                <w:lang w:eastAsia="cs-CZ"/>
              </w:rPr>
              <w:t>OP</w:t>
            </w:r>
            <w:proofErr w:type="gramEnd"/>
            <w:r>
              <w:rPr>
                <w:rFonts w:ascii="Times New Roman" w:eastAsia="Times New Roman" w:hAnsi="Times New Roman" w:cs="Times New Roman"/>
                <w:szCs w:val="20"/>
                <w:lang w:eastAsia="cs-CZ"/>
              </w:rPr>
              <w:t xml:space="preserve"> PIK</w:t>
            </w:r>
            <w:r w:rsidR="00796461">
              <w:rPr>
                <w:rFonts w:ascii="Times New Roman" w:eastAsia="Times New Roman" w:hAnsi="Times New Roman" w:cs="Times New Roman"/>
                <w:szCs w:val="20"/>
                <w:lang w:eastAsia="cs-CZ"/>
              </w:rPr>
              <w:t>,</w:t>
            </w:r>
            <w:r>
              <w:rPr>
                <w:rFonts w:ascii="Times New Roman" w:eastAsia="Times New Roman" w:hAnsi="Times New Roman" w:cs="Times New Roman"/>
                <w:szCs w:val="20"/>
                <w:lang w:eastAsia="cs-CZ"/>
              </w:rPr>
              <w:t xml:space="preserve"> lze považovat za úplnou a relevantní, s dílčími výhradami.</w:t>
            </w:r>
          </w:p>
          <w:p w:rsidR="00E37AA0" w:rsidRDefault="004731F6" w:rsidP="00302F88">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lastRenderedPageBreak/>
              <w:t>Hodnotitel doporučuje doplnit text o další data</w:t>
            </w:r>
            <w:r w:rsidR="00E37AA0">
              <w:rPr>
                <w:rFonts w:ascii="Times New Roman" w:eastAsia="Times New Roman" w:hAnsi="Times New Roman" w:cs="Times New Roman"/>
                <w:szCs w:val="20"/>
                <w:lang w:eastAsia="cs-CZ"/>
              </w:rPr>
              <w:t>,</w:t>
            </w:r>
            <w:r>
              <w:rPr>
                <w:rFonts w:ascii="Times New Roman" w:eastAsia="Times New Roman" w:hAnsi="Times New Roman" w:cs="Times New Roman"/>
                <w:szCs w:val="20"/>
                <w:lang w:eastAsia="cs-CZ"/>
              </w:rPr>
              <w:t xml:space="preserve"> zejména k</w:t>
            </w:r>
            <w:r w:rsidR="00E37AA0">
              <w:rPr>
                <w:rFonts w:ascii="Times New Roman" w:eastAsia="Times New Roman" w:hAnsi="Times New Roman" w:cs="Times New Roman"/>
                <w:szCs w:val="20"/>
                <w:lang w:eastAsia="cs-CZ"/>
              </w:rPr>
              <w:t> identifikovaným problémům týkajícím se zastaralé podnikatelské infrastruktury, nedostatku kvalifikované pracovní síly a také</w:t>
            </w:r>
            <w:r w:rsidR="00E37AA0" w:rsidRPr="00E37AA0">
              <w:rPr>
                <w:rFonts w:ascii="Times New Roman" w:eastAsia="Times New Roman" w:hAnsi="Times New Roman" w:cs="Times New Roman"/>
                <w:szCs w:val="20"/>
                <w:lang w:eastAsia="cs-CZ"/>
              </w:rPr>
              <w:t xml:space="preserve"> nedostatečné</w:t>
            </w:r>
            <w:r w:rsidR="00E37AA0">
              <w:rPr>
                <w:rFonts w:ascii="Times New Roman" w:eastAsia="Times New Roman" w:hAnsi="Times New Roman" w:cs="Times New Roman"/>
                <w:szCs w:val="20"/>
                <w:lang w:eastAsia="cs-CZ"/>
              </w:rPr>
              <w:t>ho</w:t>
            </w:r>
            <w:r w:rsidR="00E37AA0" w:rsidRPr="00E37AA0">
              <w:rPr>
                <w:rFonts w:ascii="Times New Roman" w:eastAsia="Times New Roman" w:hAnsi="Times New Roman" w:cs="Times New Roman"/>
                <w:szCs w:val="20"/>
                <w:lang w:eastAsia="cs-CZ"/>
              </w:rPr>
              <w:t xml:space="preserve"> využívání nízkouhlíkových technologií</w:t>
            </w:r>
            <w:r w:rsidR="00E37AA0">
              <w:rPr>
                <w:rFonts w:ascii="Times New Roman" w:eastAsia="Times New Roman" w:hAnsi="Times New Roman" w:cs="Times New Roman"/>
                <w:szCs w:val="20"/>
                <w:lang w:eastAsia="cs-CZ"/>
              </w:rPr>
              <w:t>.</w:t>
            </w:r>
          </w:p>
          <w:p w:rsidR="00996579" w:rsidRDefault="00E731E6" w:rsidP="00302F88">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Další připomínka hodnotitel</w:t>
            </w:r>
            <w:r w:rsidR="00996579">
              <w:rPr>
                <w:rFonts w:ascii="Times New Roman" w:eastAsia="Times New Roman" w:hAnsi="Times New Roman" w:cs="Times New Roman"/>
                <w:szCs w:val="20"/>
                <w:lang w:eastAsia="cs-CZ"/>
              </w:rPr>
              <w:t>e</w:t>
            </w:r>
            <w:r>
              <w:rPr>
                <w:rFonts w:ascii="Times New Roman" w:eastAsia="Times New Roman" w:hAnsi="Times New Roman" w:cs="Times New Roman"/>
                <w:szCs w:val="20"/>
                <w:lang w:eastAsia="cs-CZ"/>
              </w:rPr>
              <w:t xml:space="preserve"> se týká přehledových tabulek u jednotlivých tematických oblastí analýzy potřeb. Zde</w:t>
            </w:r>
            <w:r w:rsidR="00E37AA0">
              <w:rPr>
                <w:rFonts w:ascii="Times New Roman" w:eastAsia="Times New Roman" w:hAnsi="Times New Roman" w:cs="Times New Roman"/>
                <w:szCs w:val="20"/>
                <w:lang w:eastAsia="cs-CZ"/>
              </w:rPr>
              <w:t xml:space="preserve"> </w:t>
            </w:r>
            <w:r w:rsidR="00996579">
              <w:rPr>
                <w:rFonts w:ascii="Times New Roman" w:eastAsia="Times New Roman" w:hAnsi="Times New Roman" w:cs="Times New Roman"/>
                <w:szCs w:val="20"/>
                <w:lang w:eastAsia="cs-CZ"/>
              </w:rPr>
              <w:t xml:space="preserve">jsou </w:t>
            </w:r>
            <w:r w:rsidR="009E5BE4" w:rsidRPr="009E5BE4">
              <w:rPr>
                <w:rFonts w:ascii="Times New Roman" w:eastAsia="Times New Roman" w:hAnsi="Times New Roman" w:cs="Times New Roman"/>
                <w:szCs w:val="20"/>
                <w:lang w:eastAsia="cs-CZ"/>
              </w:rPr>
              <w:t>někdy s</w:t>
            </w:r>
            <w:r w:rsidR="00E37AA0">
              <w:rPr>
                <w:rFonts w:ascii="Times New Roman" w:eastAsia="Times New Roman" w:hAnsi="Times New Roman" w:cs="Times New Roman"/>
                <w:szCs w:val="20"/>
                <w:lang w:eastAsia="cs-CZ"/>
              </w:rPr>
              <w:t>pojeny dohromady externí faktory ve smyslu externalit (vnějších, neovlivnitelných rizik)</w:t>
            </w:r>
            <w:r>
              <w:rPr>
                <w:rFonts w:ascii="Times New Roman" w:eastAsia="Times New Roman" w:hAnsi="Times New Roman" w:cs="Times New Roman"/>
                <w:szCs w:val="20"/>
                <w:lang w:eastAsia="cs-CZ"/>
              </w:rPr>
              <w:t xml:space="preserve"> a </w:t>
            </w:r>
            <w:r w:rsidR="00E37AA0">
              <w:rPr>
                <w:rFonts w:ascii="Times New Roman" w:eastAsia="Times New Roman" w:hAnsi="Times New Roman" w:cs="Times New Roman"/>
                <w:szCs w:val="20"/>
                <w:lang w:eastAsia="cs-CZ"/>
              </w:rPr>
              <w:t>zároveň další opatření</w:t>
            </w:r>
            <w:r>
              <w:rPr>
                <w:rFonts w:ascii="Times New Roman" w:eastAsia="Times New Roman" w:hAnsi="Times New Roman" w:cs="Times New Roman"/>
                <w:szCs w:val="20"/>
                <w:lang w:eastAsia="cs-CZ"/>
              </w:rPr>
              <w:t>/faktory</w:t>
            </w:r>
            <w:r w:rsidR="00E37AA0">
              <w:rPr>
                <w:rFonts w:ascii="Times New Roman" w:eastAsia="Times New Roman" w:hAnsi="Times New Roman" w:cs="Times New Roman"/>
                <w:szCs w:val="20"/>
                <w:lang w:eastAsia="cs-CZ"/>
              </w:rPr>
              <w:t xml:space="preserve">, která </w:t>
            </w:r>
            <w:r>
              <w:rPr>
                <w:rFonts w:ascii="Times New Roman" w:eastAsia="Times New Roman" w:hAnsi="Times New Roman" w:cs="Times New Roman"/>
                <w:szCs w:val="20"/>
                <w:lang w:eastAsia="cs-CZ"/>
              </w:rPr>
              <w:t>by měla být</w:t>
            </w:r>
            <w:r w:rsidR="00E37AA0">
              <w:rPr>
                <w:rFonts w:ascii="Times New Roman" w:eastAsia="Times New Roman" w:hAnsi="Times New Roman" w:cs="Times New Roman"/>
                <w:szCs w:val="20"/>
                <w:lang w:eastAsia="cs-CZ"/>
              </w:rPr>
              <w:t xml:space="preserve"> (zřejmě?) realizována</w:t>
            </w:r>
            <w:r>
              <w:rPr>
                <w:rFonts w:ascii="Times New Roman" w:eastAsia="Times New Roman" w:hAnsi="Times New Roman" w:cs="Times New Roman"/>
                <w:szCs w:val="20"/>
                <w:lang w:eastAsia="cs-CZ"/>
              </w:rPr>
              <w:t xml:space="preserve"> souběžně s intervencemi OP PIK tak</w:t>
            </w:r>
            <w:r w:rsidR="00E37AA0">
              <w:rPr>
                <w:rFonts w:ascii="Times New Roman" w:eastAsia="Times New Roman" w:hAnsi="Times New Roman" w:cs="Times New Roman"/>
                <w:szCs w:val="20"/>
                <w:lang w:eastAsia="cs-CZ"/>
              </w:rPr>
              <w:t>, aby bylo dosaženo žádo</w:t>
            </w:r>
            <w:r>
              <w:rPr>
                <w:rFonts w:ascii="Times New Roman" w:eastAsia="Times New Roman" w:hAnsi="Times New Roman" w:cs="Times New Roman"/>
                <w:szCs w:val="20"/>
                <w:lang w:eastAsia="cs-CZ"/>
              </w:rPr>
              <w:t xml:space="preserve">ucích změn. Tyto dva typy faktorů </w:t>
            </w:r>
            <w:r w:rsidR="009E5BE4" w:rsidRPr="009E5BE4">
              <w:rPr>
                <w:rFonts w:ascii="Times New Roman" w:eastAsia="Times New Roman" w:hAnsi="Times New Roman" w:cs="Times New Roman"/>
                <w:szCs w:val="20"/>
                <w:lang w:eastAsia="cs-CZ"/>
              </w:rPr>
              <w:t xml:space="preserve">by bylo vhodné </w:t>
            </w:r>
            <w:r>
              <w:rPr>
                <w:rFonts w:ascii="Times New Roman" w:eastAsia="Times New Roman" w:hAnsi="Times New Roman" w:cs="Times New Roman"/>
                <w:szCs w:val="20"/>
                <w:lang w:eastAsia="cs-CZ"/>
              </w:rPr>
              <w:t>od sebe odlišit</w:t>
            </w:r>
            <w:r w:rsidR="00996579">
              <w:rPr>
                <w:rFonts w:ascii="Times New Roman" w:eastAsia="Times New Roman" w:hAnsi="Times New Roman" w:cs="Times New Roman"/>
                <w:szCs w:val="20"/>
                <w:lang w:eastAsia="cs-CZ"/>
              </w:rPr>
              <w:t>.</w:t>
            </w:r>
          </w:p>
          <w:p w:rsidR="00996579" w:rsidRDefault="00996579" w:rsidP="00302F88">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Zároveň by bylo vhodné tyto faktory uvádět v spíše </w:t>
            </w:r>
            <w:r w:rsidR="00E731E6">
              <w:rPr>
                <w:rFonts w:ascii="Times New Roman" w:eastAsia="Times New Roman" w:hAnsi="Times New Roman" w:cs="Times New Roman"/>
                <w:szCs w:val="20"/>
                <w:lang w:eastAsia="cs-CZ"/>
              </w:rPr>
              <w:t>oddílu 2</w:t>
            </w:r>
            <w:r>
              <w:rPr>
                <w:rFonts w:ascii="Times New Roman" w:eastAsia="Times New Roman" w:hAnsi="Times New Roman" w:cs="Times New Roman"/>
                <w:szCs w:val="20"/>
                <w:lang w:eastAsia="cs-CZ"/>
              </w:rPr>
              <w:t xml:space="preserve"> u popisů jednotlivých SC, protože mají přímou vazbu právě na (ne)dosažení SC a nikoliv na identifikované problémy a jejich příčiny</w:t>
            </w:r>
            <w:r w:rsidR="003907A5">
              <w:rPr>
                <w:rFonts w:ascii="Times New Roman" w:eastAsia="Times New Roman" w:hAnsi="Times New Roman" w:cs="Times New Roman"/>
                <w:szCs w:val="20"/>
                <w:lang w:eastAsia="cs-CZ"/>
              </w:rPr>
              <w:t xml:space="preserve"> </w:t>
            </w:r>
            <w:r w:rsidR="009E5BE4" w:rsidRPr="009E5BE4">
              <w:rPr>
                <w:rFonts w:ascii="Times New Roman" w:eastAsia="Times New Roman" w:hAnsi="Times New Roman" w:cs="Times New Roman"/>
                <w:szCs w:val="20"/>
                <w:lang w:eastAsia="cs-CZ"/>
              </w:rPr>
              <w:t xml:space="preserve">(hodnotitel ovšem bere na vědomí stanové limity na rozsah jednotlivých kapitol v programovém dokumentu). </w:t>
            </w:r>
            <w:r>
              <w:rPr>
                <w:rFonts w:ascii="Times New Roman" w:eastAsia="Times New Roman" w:hAnsi="Times New Roman" w:cs="Times New Roman"/>
                <w:szCs w:val="20"/>
                <w:lang w:eastAsia="cs-CZ"/>
              </w:rPr>
              <w:t>Tím by zároveň byla zajištěna i úplnost intervenční logiky programu.</w:t>
            </w:r>
          </w:p>
          <w:p w:rsidR="00C2473D" w:rsidRPr="0005690F" w:rsidRDefault="00996579" w:rsidP="00130EAF">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Alternativním řešením (např. z důvodu nedostatečného prostoru </w:t>
            </w:r>
            <w:r w:rsidR="00E127A0">
              <w:rPr>
                <w:rFonts w:ascii="Times New Roman" w:eastAsia="Times New Roman" w:hAnsi="Times New Roman" w:cs="Times New Roman"/>
                <w:szCs w:val="20"/>
                <w:lang w:eastAsia="cs-CZ"/>
              </w:rPr>
              <w:t xml:space="preserve">v oddíle 2) </w:t>
            </w:r>
            <w:r>
              <w:rPr>
                <w:rFonts w:ascii="Times New Roman" w:eastAsia="Times New Roman" w:hAnsi="Times New Roman" w:cs="Times New Roman"/>
                <w:szCs w:val="20"/>
                <w:lang w:eastAsia="cs-CZ"/>
              </w:rPr>
              <w:t>by bylo, ponechat</w:t>
            </w:r>
            <w:r w:rsidR="00E127A0">
              <w:rPr>
                <w:rFonts w:ascii="Times New Roman" w:eastAsia="Times New Roman" w:hAnsi="Times New Roman" w:cs="Times New Roman"/>
                <w:szCs w:val="20"/>
                <w:lang w:eastAsia="cs-CZ"/>
              </w:rPr>
              <w:t xml:space="preserve"> tyto faktory</w:t>
            </w:r>
            <w:r>
              <w:rPr>
                <w:rFonts w:ascii="Times New Roman" w:eastAsia="Times New Roman" w:hAnsi="Times New Roman" w:cs="Times New Roman"/>
                <w:szCs w:val="20"/>
                <w:lang w:eastAsia="cs-CZ"/>
              </w:rPr>
              <w:t xml:space="preserve"> v přehledových tabulkách v nepovinné příloze č. 2, odlišit je</w:t>
            </w:r>
            <w:r w:rsidR="00E127A0">
              <w:rPr>
                <w:rFonts w:ascii="Times New Roman" w:eastAsia="Times New Roman" w:hAnsi="Times New Roman" w:cs="Times New Roman"/>
                <w:szCs w:val="20"/>
                <w:lang w:eastAsia="cs-CZ"/>
              </w:rPr>
              <w:t xml:space="preserve"> od sebe</w:t>
            </w:r>
            <w:r>
              <w:rPr>
                <w:rFonts w:ascii="Times New Roman" w:eastAsia="Times New Roman" w:hAnsi="Times New Roman" w:cs="Times New Roman"/>
                <w:szCs w:val="20"/>
                <w:lang w:eastAsia="cs-CZ"/>
              </w:rPr>
              <w:t xml:space="preserve"> dle typu</w:t>
            </w:r>
            <w:r w:rsidR="00E127A0">
              <w:rPr>
                <w:rFonts w:ascii="Times New Roman" w:eastAsia="Times New Roman" w:hAnsi="Times New Roman" w:cs="Times New Roman"/>
                <w:szCs w:val="20"/>
                <w:lang w:eastAsia="cs-CZ"/>
              </w:rPr>
              <w:t xml:space="preserve"> (viz výše)</w:t>
            </w:r>
            <w:r>
              <w:rPr>
                <w:rFonts w:ascii="Times New Roman" w:eastAsia="Times New Roman" w:hAnsi="Times New Roman" w:cs="Times New Roman"/>
                <w:szCs w:val="20"/>
                <w:lang w:eastAsia="cs-CZ"/>
              </w:rPr>
              <w:t>, ovšem zároveň do těchto tabulek doplnit i příslušné specifické cíle OP PIK a jedno</w:t>
            </w:r>
            <w:r w:rsidR="00E127A0">
              <w:rPr>
                <w:rFonts w:ascii="Times New Roman" w:eastAsia="Times New Roman" w:hAnsi="Times New Roman" w:cs="Times New Roman"/>
                <w:szCs w:val="20"/>
                <w:lang w:eastAsia="cs-CZ"/>
              </w:rPr>
              <w:t>tli</w:t>
            </w:r>
            <w:r>
              <w:rPr>
                <w:rFonts w:ascii="Times New Roman" w:eastAsia="Times New Roman" w:hAnsi="Times New Roman" w:cs="Times New Roman"/>
                <w:szCs w:val="20"/>
                <w:lang w:eastAsia="cs-CZ"/>
              </w:rPr>
              <w:t xml:space="preserve">vé faktory k nim přiřadit. </w:t>
            </w:r>
            <w:r w:rsidR="00E731E6">
              <w:rPr>
                <w:rFonts w:ascii="Times New Roman" w:eastAsia="Times New Roman" w:hAnsi="Times New Roman" w:cs="Times New Roman"/>
                <w:szCs w:val="20"/>
                <w:lang w:eastAsia="cs-CZ"/>
              </w:rPr>
              <w:t xml:space="preserve">  </w:t>
            </w:r>
          </w:p>
        </w:tc>
      </w:tr>
      <w:tr w:rsidR="00471AC7" w:rsidRPr="0005690F" w:rsidTr="00274A5F">
        <w:trPr>
          <w:trHeight w:val="300"/>
        </w:trPr>
        <w:tc>
          <w:tcPr>
            <w:tcW w:w="880" w:type="dxa"/>
            <w:shd w:val="clear" w:color="000000" w:fill="C5D9F1"/>
            <w:hideMark/>
          </w:tcPr>
          <w:p w:rsidR="00471AC7" w:rsidRPr="0005690F" w:rsidRDefault="00471AC7"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lastRenderedPageBreak/>
              <w:t>01.2</w:t>
            </w:r>
          </w:p>
        </w:tc>
        <w:tc>
          <w:tcPr>
            <w:tcW w:w="2823" w:type="dxa"/>
            <w:shd w:val="clear" w:color="000000" w:fill="C5D9F1"/>
            <w:hideMark/>
          </w:tcPr>
          <w:p w:rsidR="00471AC7" w:rsidRPr="0005690F" w:rsidRDefault="00471AC7"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Jsou problémy a potřeby identifikované v </w:t>
            </w:r>
            <w:proofErr w:type="gramStart"/>
            <w:r w:rsidRPr="0005690F">
              <w:rPr>
                <w:rFonts w:ascii="Times New Roman" w:eastAsia="Times New Roman" w:hAnsi="Times New Roman" w:cs="Times New Roman"/>
                <w:szCs w:val="20"/>
                <w:lang w:eastAsia="cs-CZ"/>
              </w:rPr>
              <w:t>OP</w:t>
            </w:r>
            <w:proofErr w:type="gramEnd"/>
            <w:r w:rsidRPr="0005690F">
              <w:rPr>
                <w:rFonts w:ascii="Times New Roman" w:eastAsia="Times New Roman" w:hAnsi="Times New Roman" w:cs="Times New Roman"/>
                <w:szCs w:val="20"/>
                <w:lang w:eastAsia="cs-CZ"/>
              </w:rPr>
              <w:t xml:space="preserve"> PIK v souladu s potřebami identifikovanými v národních strategiích, Národním programu reforem a hlavními směry ekonomických politik?</w:t>
            </w:r>
          </w:p>
        </w:tc>
        <w:tc>
          <w:tcPr>
            <w:tcW w:w="1559" w:type="dxa"/>
            <w:shd w:val="clear" w:color="000000" w:fill="C5D9F1"/>
            <w:vAlign w:val="center"/>
            <w:hideMark/>
          </w:tcPr>
          <w:p w:rsidR="00471AC7" w:rsidRPr="0005690F" w:rsidRDefault="002C3186" w:rsidP="00A1343C">
            <w:pPr>
              <w:jc w:val="cente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A</w:t>
            </w:r>
          </w:p>
        </w:tc>
        <w:tc>
          <w:tcPr>
            <w:tcW w:w="3969" w:type="dxa"/>
            <w:shd w:val="clear" w:color="000000" w:fill="C5D9F1"/>
            <w:hideMark/>
          </w:tcPr>
          <w:p w:rsidR="008161D8" w:rsidRPr="0005690F" w:rsidRDefault="00E127A0" w:rsidP="002C3186">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Problémy a potřeby identifikované v nepovinné příloze </w:t>
            </w:r>
            <w:proofErr w:type="gramStart"/>
            <w:r>
              <w:rPr>
                <w:rFonts w:ascii="Times New Roman" w:eastAsia="Times New Roman" w:hAnsi="Times New Roman" w:cs="Times New Roman"/>
                <w:szCs w:val="20"/>
                <w:lang w:eastAsia="cs-CZ"/>
              </w:rPr>
              <w:t>č. 2 OP</w:t>
            </w:r>
            <w:proofErr w:type="gramEnd"/>
            <w:r>
              <w:rPr>
                <w:rFonts w:ascii="Times New Roman" w:eastAsia="Times New Roman" w:hAnsi="Times New Roman" w:cs="Times New Roman"/>
                <w:szCs w:val="20"/>
                <w:lang w:eastAsia="cs-CZ"/>
              </w:rPr>
              <w:t xml:space="preserve"> PIK </w:t>
            </w:r>
            <w:r w:rsidR="002C3186" w:rsidRPr="0005690F">
              <w:rPr>
                <w:rFonts w:ascii="Times New Roman" w:eastAsia="Times New Roman" w:hAnsi="Times New Roman" w:cs="Times New Roman"/>
                <w:szCs w:val="20"/>
                <w:lang w:eastAsia="cs-CZ"/>
              </w:rPr>
              <w:t>jsou</w:t>
            </w:r>
            <w:r w:rsidR="007947E2" w:rsidRPr="0005690F">
              <w:rPr>
                <w:rFonts w:ascii="Times New Roman" w:eastAsia="Times New Roman" w:hAnsi="Times New Roman" w:cs="Times New Roman"/>
                <w:szCs w:val="20"/>
                <w:lang w:eastAsia="cs-CZ"/>
              </w:rPr>
              <w:t xml:space="preserve"> víceméně</w:t>
            </w:r>
            <w:r w:rsidR="002C3186" w:rsidRPr="0005690F">
              <w:rPr>
                <w:rFonts w:ascii="Times New Roman" w:eastAsia="Times New Roman" w:hAnsi="Times New Roman" w:cs="Times New Roman"/>
                <w:szCs w:val="20"/>
                <w:lang w:eastAsia="cs-CZ"/>
              </w:rPr>
              <w:t xml:space="preserve"> v souladu s potřebami klíčových národních strategií, NPR a hlavními směry ekonomických politik.</w:t>
            </w:r>
          </w:p>
          <w:p w:rsidR="00012EDA" w:rsidRPr="0005690F" w:rsidRDefault="00012EDA" w:rsidP="007947E2">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Slab</w:t>
            </w:r>
            <w:r w:rsidR="00796461">
              <w:rPr>
                <w:rFonts w:ascii="Times New Roman" w:eastAsia="Times New Roman" w:hAnsi="Times New Roman" w:cs="Times New Roman"/>
                <w:szCs w:val="20"/>
                <w:lang w:eastAsia="cs-CZ"/>
              </w:rPr>
              <w:t>ší</w:t>
            </w:r>
            <w:r w:rsidRPr="0005690F">
              <w:rPr>
                <w:rFonts w:ascii="Times New Roman" w:eastAsia="Times New Roman" w:hAnsi="Times New Roman" w:cs="Times New Roman"/>
                <w:szCs w:val="20"/>
                <w:lang w:eastAsia="cs-CZ"/>
              </w:rPr>
              <w:t xml:space="preserve"> vazbu identifikovaných problémů a potřeb vnímá hodnotitel zejména v případě infrastruktury </w:t>
            </w:r>
            <w:r w:rsidR="00E127A0">
              <w:rPr>
                <w:rFonts w:ascii="Times New Roman" w:eastAsia="Times New Roman" w:hAnsi="Times New Roman" w:cs="Times New Roman"/>
                <w:szCs w:val="20"/>
                <w:lang w:eastAsia="cs-CZ"/>
              </w:rPr>
              <w:t xml:space="preserve">pro </w:t>
            </w:r>
            <w:r w:rsidRPr="0005690F">
              <w:rPr>
                <w:rFonts w:ascii="Times New Roman" w:eastAsia="Times New Roman" w:hAnsi="Times New Roman" w:cs="Times New Roman"/>
                <w:szCs w:val="20"/>
                <w:lang w:eastAsia="cs-CZ"/>
              </w:rPr>
              <w:t>roz</w:t>
            </w:r>
            <w:r w:rsidR="00E127A0">
              <w:rPr>
                <w:rFonts w:ascii="Times New Roman" w:eastAsia="Times New Roman" w:hAnsi="Times New Roman" w:cs="Times New Roman"/>
                <w:szCs w:val="20"/>
                <w:lang w:eastAsia="cs-CZ"/>
              </w:rPr>
              <w:t>voj lidských zdrojů v</w:t>
            </w:r>
            <w:r w:rsidR="003907A5">
              <w:rPr>
                <w:rFonts w:ascii="Times New Roman" w:eastAsia="Times New Roman" w:hAnsi="Times New Roman" w:cs="Times New Roman"/>
                <w:szCs w:val="20"/>
                <w:lang w:eastAsia="cs-CZ"/>
              </w:rPr>
              <w:t> </w:t>
            </w:r>
            <w:r w:rsidR="00E127A0">
              <w:rPr>
                <w:rFonts w:ascii="Times New Roman" w:eastAsia="Times New Roman" w:hAnsi="Times New Roman" w:cs="Times New Roman"/>
                <w:szCs w:val="20"/>
                <w:lang w:eastAsia="cs-CZ"/>
              </w:rPr>
              <w:t>podnicích</w:t>
            </w:r>
            <w:r w:rsidR="003907A5" w:rsidRPr="00E87A16">
              <w:rPr>
                <w:rFonts w:ascii="Times New Roman" w:eastAsia="Times New Roman" w:hAnsi="Times New Roman" w:cs="Times New Roman"/>
                <w:szCs w:val="20"/>
                <w:lang w:eastAsia="cs-CZ"/>
              </w:rPr>
              <w:t xml:space="preserve">, </w:t>
            </w:r>
            <w:r w:rsidR="009E5BE4" w:rsidRPr="009E5BE4">
              <w:rPr>
                <w:rFonts w:ascii="Times New Roman" w:eastAsia="Times New Roman" w:hAnsi="Times New Roman" w:cs="Times New Roman"/>
                <w:szCs w:val="20"/>
                <w:lang w:eastAsia="cs-CZ"/>
              </w:rPr>
              <w:t xml:space="preserve">popř. v oblasti uplatňování nízkouhlíkových technologií, </w:t>
            </w:r>
            <w:r w:rsidR="007947E2" w:rsidRPr="0005690F">
              <w:rPr>
                <w:rFonts w:ascii="Times New Roman" w:eastAsia="Times New Roman" w:hAnsi="Times New Roman" w:cs="Times New Roman"/>
                <w:szCs w:val="20"/>
                <w:lang w:eastAsia="cs-CZ"/>
              </w:rPr>
              <w:t xml:space="preserve">nicméně obecný soulad s národními strategiemi lze potvrdit. </w:t>
            </w:r>
            <w:r w:rsidRPr="0005690F">
              <w:rPr>
                <w:rFonts w:ascii="Times New Roman" w:eastAsia="Times New Roman" w:hAnsi="Times New Roman" w:cs="Times New Roman"/>
                <w:szCs w:val="20"/>
                <w:lang w:eastAsia="cs-CZ"/>
              </w:rPr>
              <w:t xml:space="preserve">   </w:t>
            </w:r>
          </w:p>
          <w:p w:rsidR="007A2D3C" w:rsidRPr="0005690F" w:rsidRDefault="007A2D3C" w:rsidP="00201CFD">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 xml:space="preserve">Ve vztahu k regionálním potřebám se OP PIK opírá především o Strategii regionálního rozvoje ČR a Strategii inteligentní specializace ČR („RIS3“). </w:t>
            </w:r>
          </w:p>
        </w:tc>
      </w:tr>
      <w:tr w:rsidR="00471AC7" w:rsidRPr="0005690F" w:rsidTr="00274A5F">
        <w:trPr>
          <w:trHeight w:val="810"/>
        </w:trPr>
        <w:tc>
          <w:tcPr>
            <w:tcW w:w="880" w:type="dxa"/>
            <w:shd w:val="clear" w:color="000000" w:fill="C5D9F1"/>
            <w:hideMark/>
          </w:tcPr>
          <w:p w:rsidR="00471AC7" w:rsidRPr="0005690F" w:rsidRDefault="00471AC7"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01.3</w:t>
            </w:r>
          </w:p>
        </w:tc>
        <w:tc>
          <w:tcPr>
            <w:tcW w:w="2823" w:type="dxa"/>
            <w:shd w:val="clear" w:color="000000" w:fill="C5D9F1"/>
            <w:hideMark/>
          </w:tcPr>
          <w:p w:rsidR="00471AC7" w:rsidRPr="0005690F" w:rsidRDefault="00471AC7"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 xml:space="preserve">Jsou identifikované problémy a potřeby v souladu s analýzou potřeb v Dohodě o partnerství, a to v kontextu Společného strategického rámce, resp. ESIF? </w:t>
            </w:r>
          </w:p>
        </w:tc>
        <w:tc>
          <w:tcPr>
            <w:tcW w:w="1559" w:type="dxa"/>
            <w:shd w:val="clear" w:color="000000" w:fill="C5D9F1"/>
            <w:vAlign w:val="center"/>
            <w:hideMark/>
          </w:tcPr>
          <w:p w:rsidR="00471AC7" w:rsidRPr="0005690F" w:rsidRDefault="002C3186" w:rsidP="00A1343C">
            <w:pPr>
              <w:jc w:val="cente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A</w:t>
            </w:r>
          </w:p>
        </w:tc>
        <w:tc>
          <w:tcPr>
            <w:tcW w:w="3969" w:type="dxa"/>
            <w:shd w:val="clear" w:color="000000" w:fill="C5D9F1"/>
            <w:hideMark/>
          </w:tcPr>
          <w:p w:rsidR="00E127A0" w:rsidRDefault="00E127A0" w:rsidP="00CD7AEB">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I</w:t>
            </w:r>
            <w:r w:rsidRPr="0005690F">
              <w:rPr>
                <w:rFonts w:ascii="Times New Roman" w:eastAsia="Times New Roman" w:hAnsi="Times New Roman" w:cs="Times New Roman"/>
                <w:szCs w:val="20"/>
                <w:lang w:eastAsia="cs-CZ"/>
              </w:rPr>
              <w:t>dentifikované problémy a potřeby</w:t>
            </w:r>
            <w:r>
              <w:rPr>
                <w:rFonts w:ascii="Times New Roman" w:eastAsia="Times New Roman" w:hAnsi="Times New Roman" w:cs="Times New Roman"/>
                <w:szCs w:val="20"/>
                <w:lang w:eastAsia="cs-CZ"/>
              </w:rPr>
              <w:t xml:space="preserve"> OP PIK jsou </w:t>
            </w:r>
            <w:r w:rsidRPr="0005690F">
              <w:rPr>
                <w:rFonts w:ascii="Times New Roman" w:eastAsia="Times New Roman" w:hAnsi="Times New Roman" w:cs="Times New Roman"/>
                <w:szCs w:val="20"/>
                <w:lang w:eastAsia="cs-CZ"/>
              </w:rPr>
              <w:t>v souladu s analýzou potřeb v Dohodě o partnerství</w:t>
            </w:r>
            <w:r>
              <w:rPr>
                <w:rFonts w:ascii="Times New Roman" w:eastAsia="Times New Roman" w:hAnsi="Times New Roman" w:cs="Times New Roman"/>
                <w:szCs w:val="20"/>
                <w:lang w:eastAsia="cs-CZ"/>
              </w:rPr>
              <w:t xml:space="preserve">, resp. tuto analýzu dále doplňují a rozšiřují. </w:t>
            </w:r>
          </w:p>
          <w:p w:rsidR="007947E2" w:rsidRPr="0005690F" w:rsidRDefault="00E127A0" w:rsidP="00E127A0">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Jisté slabiny z pohledu </w:t>
            </w:r>
            <w:r w:rsidR="007947E2" w:rsidRPr="0005690F">
              <w:rPr>
                <w:rFonts w:ascii="Times New Roman" w:eastAsia="Times New Roman" w:hAnsi="Times New Roman" w:cs="Times New Roman"/>
                <w:szCs w:val="20"/>
                <w:lang w:eastAsia="cs-CZ"/>
              </w:rPr>
              <w:t>soulad</w:t>
            </w:r>
            <w:r>
              <w:rPr>
                <w:rFonts w:ascii="Times New Roman" w:eastAsia="Times New Roman" w:hAnsi="Times New Roman" w:cs="Times New Roman"/>
                <w:szCs w:val="20"/>
                <w:lang w:eastAsia="cs-CZ"/>
              </w:rPr>
              <w:t>u</w:t>
            </w:r>
            <w:r w:rsidR="007947E2" w:rsidRPr="0005690F">
              <w:rPr>
                <w:rFonts w:ascii="Times New Roman" w:eastAsia="Times New Roman" w:hAnsi="Times New Roman" w:cs="Times New Roman"/>
                <w:szCs w:val="20"/>
                <w:lang w:eastAsia="cs-CZ"/>
              </w:rPr>
              <w:t xml:space="preserve"> s analýzou potřeb </w:t>
            </w:r>
            <w:proofErr w:type="spellStart"/>
            <w:r w:rsidR="007947E2" w:rsidRPr="0005690F">
              <w:rPr>
                <w:rFonts w:ascii="Times New Roman" w:eastAsia="Times New Roman" w:hAnsi="Times New Roman" w:cs="Times New Roman"/>
                <w:szCs w:val="20"/>
                <w:lang w:eastAsia="cs-CZ"/>
              </w:rPr>
              <w:t>DoP</w:t>
            </w:r>
            <w:proofErr w:type="spellEnd"/>
            <w:r w:rsidR="007947E2" w:rsidRPr="0005690F">
              <w:rPr>
                <w:rFonts w:ascii="Times New Roman" w:eastAsia="Times New Roman" w:hAnsi="Times New Roman" w:cs="Times New Roman"/>
                <w:szCs w:val="20"/>
                <w:lang w:eastAsia="cs-CZ"/>
              </w:rPr>
              <w:t xml:space="preserve"> vnímá hodnotitel v případě infrastruktury pro rozvoj lidských zdrojů v</w:t>
            </w:r>
            <w:r w:rsidR="00130EAF" w:rsidRPr="0005690F">
              <w:rPr>
                <w:rFonts w:ascii="Times New Roman" w:eastAsia="Times New Roman" w:hAnsi="Times New Roman" w:cs="Times New Roman"/>
                <w:szCs w:val="20"/>
                <w:lang w:eastAsia="cs-CZ"/>
              </w:rPr>
              <w:t> </w:t>
            </w:r>
            <w:r w:rsidR="007947E2" w:rsidRPr="0005690F">
              <w:rPr>
                <w:rFonts w:ascii="Times New Roman" w:eastAsia="Times New Roman" w:hAnsi="Times New Roman" w:cs="Times New Roman"/>
                <w:szCs w:val="20"/>
                <w:lang w:eastAsia="cs-CZ"/>
              </w:rPr>
              <w:t>podnicích</w:t>
            </w:r>
            <w:r w:rsidR="00130EAF" w:rsidRPr="0005690F">
              <w:rPr>
                <w:rFonts w:ascii="Times New Roman" w:eastAsia="Times New Roman" w:hAnsi="Times New Roman" w:cs="Times New Roman"/>
                <w:szCs w:val="20"/>
                <w:lang w:eastAsia="cs-CZ"/>
              </w:rPr>
              <w:t>, infrastruktury pro podnikání</w:t>
            </w:r>
            <w:r w:rsidR="007947E2" w:rsidRPr="0005690F">
              <w:rPr>
                <w:rFonts w:ascii="Times New Roman" w:eastAsia="Times New Roman" w:hAnsi="Times New Roman" w:cs="Times New Roman"/>
                <w:szCs w:val="20"/>
                <w:lang w:eastAsia="cs-CZ"/>
              </w:rPr>
              <w:t xml:space="preserve"> a </w:t>
            </w:r>
            <w:r w:rsidR="007947E2" w:rsidRPr="0005690F">
              <w:rPr>
                <w:rFonts w:ascii="Times New Roman" w:eastAsia="Times New Roman" w:hAnsi="Times New Roman" w:cs="Times New Roman"/>
                <w:szCs w:val="20"/>
                <w:lang w:eastAsia="cs-CZ"/>
              </w:rPr>
              <w:lastRenderedPageBreak/>
              <w:t>jednoznačněj</w:t>
            </w:r>
            <w:r w:rsidR="00417183" w:rsidRPr="0005690F">
              <w:rPr>
                <w:rFonts w:ascii="Times New Roman" w:eastAsia="Times New Roman" w:hAnsi="Times New Roman" w:cs="Times New Roman"/>
                <w:szCs w:val="20"/>
                <w:lang w:eastAsia="cs-CZ"/>
              </w:rPr>
              <w:t>i by rovněž měly být identifikovány potřeby</w:t>
            </w:r>
            <w:r w:rsidR="007947E2" w:rsidRPr="0005690F">
              <w:rPr>
                <w:rFonts w:ascii="Times New Roman" w:eastAsia="Times New Roman" w:hAnsi="Times New Roman" w:cs="Times New Roman"/>
                <w:szCs w:val="20"/>
                <w:lang w:eastAsia="cs-CZ"/>
              </w:rPr>
              <w:t xml:space="preserve"> v oblasti </w:t>
            </w:r>
            <w:r w:rsidR="00417183" w:rsidRPr="0005690F">
              <w:rPr>
                <w:rFonts w:ascii="Times New Roman" w:eastAsia="Times New Roman" w:hAnsi="Times New Roman" w:cs="Times New Roman"/>
                <w:szCs w:val="20"/>
                <w:lang w:eastAsia="cs-CZ"/>
              </w:rPr>
              <w:t>uplatňování nízkouhlíkových technologií.</w:t>
            </w:r>
            <w:r w:rsidR="007947E2" w:rsidRPr="0005690F">
              <w:rPr>
                <w:rFonts w:ascii="Times New Roman" w:eastAsia="Times New Roman" w:hAnsi="Times New Roman" w:cs="Times New Roman"/>
                <w:szCs w:val="20"/>
                <w:lang w:eastAsia="cs-CZ"/>
              </w:rPr>
              <w:t xml:space="preserve">   </w:t>
            </w:r>
          </w:p>
        </w:tc>
      </w:tr>
      <w:tr w:rsidR="00471AC7" w:rsidRPr="0005690F" w:rsidTr="00274A5F">
        <w:trPr>
          <w:trHeight w:val="810"/>
        </w:trPr>
        <w:tc>
          <w:tcPr>
            <w:tcW w:w="880" w:type="dxa"/>
            <w:shd w:val="clear" w:color="000000" w:fill="C5D9F1"/>
            <w:hideMark/>
          </w:tcPr>
          <w:p w:rsidR="00471AC7" w:rsidRPr="0005690F" w:rsidRDefault="00471AC7"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lastRenderedPageBreak/>
              <w:t>01.4</w:t>
            </w:r>
          </w:p>
        </w:tc>
        <w:tc>
          <w:tcPr>
            <w:tcW w:w="2823" w:type="dxa"/>
            <w:shd w:val="clear" w:color="000000" w:fill="C5D9F1"/>
            <w:hideMark/>
          </w:tcPr>
          <w:p w:rsidR="00471AC7" w:rsidRPr="0005690F" w:rsidRDefault="00471AC7"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Je vhodným způsobem určen význam problémů a potřeb tak, aby bylo možné na základě toho určit adekvátní alokaci rozpočtových zdrojů pro dosažení jednotlivých cílů programu?</w:t>
            </w:r>
          </w:p>
        </w:tc>
        <w:tc>
          <w:tcPr>
            <w:tcW w:w="1559" w:type="dxa"/>
            <w:shd w:val="clear" w:color="000000" w:fill="C5D9F1"/>
            <w:vAlign w:val="center"/>
            <w:hideMark/>
          </w:tcPr>
          <w:p w:rsidR="00471AC7" w:rsidRPr="0005690F" w:rsidRDefault="001E07D7" w:rsidP="001E07D7">
            <w:pPr>
              <w:jc w:val="cente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SA</w:t>
            </w:r>
          </w:p>
        </w:tc>
        <w:tc>
          <w:tcPr>
            <w:tcW w:w="3969" w:type="dxa"/>
            <w:shd w:val="clear" w:color="000000" w:fill="C5D9F1"/>
            <w:hideMark/>
          </w:tcPr>
          <w:p w:rsidR="00471AC7" w:rsidRPr="0005690F" w:rsidRDefault="009E441D" w:rsidP="009E441D">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Problémy a potřeby, na které operační program reaguje, jsou identifikovány, v</w:t>
            </w:r>
            <w:r w:rsidR="001E07D7" w:rsidRPr="0005690F">
              <w:rPr>
                <w:rFonts w:ascii="Times New Roman" w:eastAsia="Times New Roman" w:hAnsi="Times New Roman" w:cs="Times New Roman"/>
                <w:szCs w:val="20"/>
                <w:lang w:eastAsia="cs-CZ"/>
              </w:rPr>
              <w:t xml:space="preserve"> </w:t>
            </w:r>
            <w:r w:rsidR="0028612D" w:rsidRPr="0005690F">
              <w:rPr>
                <w:rFonts w:ascii="Times New Roman" w:eastAsia="Times New Roman" w:hAnsi="Times New Roman" w:cs="Times New Roman"/>
                <w:szCs w:val="20"/>
                <w:lang w:eastAsia="cs-CZ"/>
              </w:rPr>
              <w:t xml:space="preserve">textu programu </w:t>
            </w:r>
            <w:r w:rsidR="001E07D7" w:rsidRPr="0005690F">
              <w:rPr>
                <w:rFonts w:ascii="Times New Roman" w:eastAsia="Times New Roman" w:hAnsi="Times New Roman" w:cs="Times New Roman"/>
                <w:szCs w:val="20"/>
                <w:lang w:eastAsia="cs-CZ"/>
              </w:rPr>
              <w:t xml:space="preserve">by však měla být více zdůrazněna </w:t>
            </w:r>
            <w:r w:rsidR="00D37D24" w:rsidRPr="0005690F">
              <w:rPr>
                <w:rFonts w:ascii="Times New Roman" w:eastAsia="Times New Roman" w:hAnsi="Times New Roman" w:cs="Times New Roman"/>
                <w:szCs w:val="20"/>
                <w:lang w:eastAsia="cs-CZ"/>
              </w:rPr>
              <w:t xml:space="preserve">jejich </w:t>
            </w:r>
            <w:proofErr w:type="spellStart"/>
            <w:r w:rsidR="0028612D" w:rsidRPr="0005690F">
              <w:rPr>
                <w:rFonts w:ascii="Times New Roman" w:eastAsia="Times New Roman" w:hAnsi="Times New Roman" w:cs="Times New Roman"/>
                <w:szCs w:val="20"/>
                <w:lang w:eastAsia="cs-CZ"/>
              </w:rPr>
              <w:t>prioritizace</w:t>
            </w:r>
            <w:proofErr w:type="spellEnd"/>
            <w:r w:rsidR="001E07D7" w:rsidRPr="0005690F">
              <w:rPr>
                <w:rFonts w:ascii="Times New Roman" w:eastAsia="Times New Roman" w:hAnsi="Times New Roman" w:cs="Times New Roman"/>
                <w:szCs w:val="20"/>
                <w:lang w:eastAsia="cs-CZ"/>
              </w:rPr>
              <w:t xml:space="preserve"> (tzn. které problémy a potřeby jsou zásadní/klíčové</w:t>
            </w:r>
            <w:r w:rsidR="00417183" w:rsidRPr="0005690F">
              <w:rPr>
                <w:rFonts w:ascii="Times New Roman" w:eastAsia="Times New Roman" w:hAnsi="Times New Roman" w:cs="Times New Roman"/>
                <w:szCs w:val="20"/>
                <w:lang w:eastAsia="cs-CZ"/>
              </w:rPr>
              <w:t xml:space="preserve"> a </w:t>
            </w:r>
            <w:r w:rsidR="001E07D7" w:rsidRPr="0005690F">
              <w:rPr>
                <w:rFonts w:ascii="Times New Roman" w:eastAsia="Times New Roman" w:hAnsi="Times New Roman" w:cs="Times New Roman"/>
                <w:szCs w:val="20"/>
                <w:lang w:eastAsia="cs-CZ"/>
              </w:rPr>
              <w:t xml:space="preserve">které spíše </w:t>
            </w:r>
            <w:r w:rsidR="00417183" w:rsidRPr="0005690F">
              <w:rPr>
                <w:rFonts w:ascii="Times New Roman" w:eastAsia="Times New Roman" w:hAnsi="Times New Roman" w:cs="Times New Roman"/>
                <w:szCs w:val="20"/>
                <w:lang w:eastAsia="cs-CZ"/>
              </w:rPr>
              <w:t>doprovodné/</w:t>
            </w:r>
            <w:r w:rsidR="001E07D7" w:rsidRPr="0005690F">
              <w:rPr>
                <w:rFonts w:ascii="Times New Roman" w:eastAsia="Times New Roman" w:hAnsi="Times New Roman" w:cs="Times New Roman"/>
                <w:szCs w:val="20"/>
                <w:lang w:eastAsia="cs-CZ"/>
              </w:rPr>
              <w:t>doplňkové)</w:t>
            </w:r>
            <w:r w:rsidR="00D37D24" w:rsidRPr="0005690F">
              <w:rPr>
                <w:rFonts w:ascii="Times New Roman" w:eastAsia="Times New Roman" w:hAnsi="Times New Roman" w:cs="Times New Roman"/>
                <w:szCs w:val="20"/>
                <w:lang w:eastAsia="cs-CZ"/>
              </w:rPr>
              <w:t xml:space="preserve"> tak, aby bylo možné na základě toho </w:t>
            </w:r>
            <w:r w:rsidR="006256EC" w:rsidRPr="0005690F">
              <w:rPr>
                <w:rFonts w:ascii="Times New Roman" w:eastAsia="Times New Roman" w:hAnsi="Times New Roman" w:cs="Times New Roman"/>
                <w:szCs w:val="20"/>
                <w:lang w:eastAsia="cs-CZ"/>
              </w:rPr>
              <w:t>jednoznačně posoudit</w:t>
            </w:r>
            <w:r w:rsidR="00D37D24" w:rsidRPr="0005690F">
              <w:rPr>
                <w:rFonts w:ascii="Times New Roman" w:eastAsia="Times New Roman" w:hAnsi="Times New Roman" w:cs="Times New Roman"/>
                <w:szCs w:val="20"/>
                <w:lang w:eastAsia="cs-CZ"/>
              </w:rPr>
              <w:t xml:space="preserve"> adekvátní alokaci rozpočtových zdrojů pro dosažení jednotlivých cílů programu</w:t>
            </w:r>
            <w:r w:rsidR="0028612D" w:rsidRPr="0005690F">
              <w:rPr>
                <w:rFonts w:ascii="Times New Roman" w:eastAsia="Times New Roman" w:hAnsi="Times New Roman" w:cs="Times New Roman"/>
                <w:szCs w:val="20"/>
                <w:lang w:eastAsia="cs-CZ"/>
              </w:rPr>
              <w:t>.</w:t>
            </w:r>
            <w:r w:rsidR="00D37D24" w:rsidRPr="0005690F">
              <w:rPr>
                <w:rFonts w:ascii="Times New Roman" w:hAnsi="Times New Roman" w:cs="Times New Roman"/>
                <w:szCs w:val="20"/>
              </w:rPr>
              <w:t xml:space="preserve"> </w:t>
            </w:r>
          </w:p>
        </w:tc>
      </w:tr>
      <w:tr w:rsidR="00471AC7" w:rsidRPr="0005690F" w:rsidTr="00274A5F">
        <w:trPr>
          <w:trHeight w:val="301"/>
        </w:trPr>
        <w:tc>
          <w:tcPr>
            <w:tcW w:w="880" w:type="dxa"/>
            <w:shd w:val="clear" w:color="000000" w:fill="C5D9F1"/>
            <w:hideMark/>
          </w:tcPr>
          <w:p w:rsidR="00471AC7" w:rsidRPr="0005690F" w:rsidRDefault="00471AC7"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01.5</w:t>
            </w:r>
          </w:p>
        </w:tc>
        <w:tc>
          <w:tcPr>
            <w:tcW w:w="2823" w:type="dxa"/>
            <w:shd w:val="clear" w:color="000000" w:fill="C5D9F1"/>
            <w:hideMark/>
          </w:tcPr>
          <w:p w:rsidR="00471AC7" w:rsidRPr="0005690F" w:rsidRDefault="00471AC7"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Odpovídají vymezené</w:t>
            </w:r>
            <w:r w:rsidR="0028612D" w:rsidRPr="0005690F">
              <w:rPr>
                <w:rFonts w:ascii="Times New Roman" w:eastAsia="Times New Roman" w:hAnsi="Times New Roman" w:cs="Times New Roman"/>
                <w:szCs w:val="20"/>
                <w:lang w:eastAsia="cs-CZ"/>
              </w:rPr>
              <w:t xml:space="preserve"> specifické</w:t>
            </w:r>
            <w:r w:rsidRPr="0005690F">
              <w:rPr>
                <w:rFonts w:ascii="Times New Roman" w:eastAsia="Times New Roman" w:hAnsi="Times New Roman" w:cs="Times New Roman"/>
                <w:szCs w:val="20"/>
                <w:lang w:eastAsia="cs-CZ"/>
              </w:rPr>
              <w:t xml:space="preserve"> cíle OP PIK identifikovaným problémům a potřebám, a to i z hlediska principu koncentrace?</w:t>
            </w:r>
          </w:p>
        </w:tc>
        <w:tc>
          <w:tcPr>
            <w:tcW w:w="1559" w:type="dxa"/>
            <w:shd w:val="clear" w:color="000000" w:fill="C5D9F1"/>
            <w:vAlign w:val="center"/>
            <w:hideMark/>
          </w:tcPr>
          <w:p w:rsidR="00471AC7" w:rsidRPr="0005690F" w:rsidRDefault="001E07D7" w:rsidP="00A1343C">
            <w:pPr>
              <w:jc w:val="cente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SA</w:t>
            </w:r>
          </w:p>
        </w:tc>
        <w:tc>
          <w:tcPr>
            <w:tcW w:w="3969" w:type="dxa"/>
            <w:shd w:val="clear" w:color="000000" w:fill="C5D9F1"/>
            <w:hideMark/>
          </w:tcPr>
          <w:p w:rsidR="004624AA" w:rsidRPr="0005690F" w:rsidRDefault="001E07D7"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Je možno konstatovat, že specifické cíle programu odpovídají identifikovaným problémům a potřebám</w:t>
            </w:r>
            <w:r w:rsidR="004624AA" w:rsidRPr="0005690F">
              <w:rPr>
                <w:rFonts w:ascii="Times New Roman" w:eastAsia="Times New Roman" w:hAnsi="Times New Roman" w:cs="Times New Roman"/>
                <w:szCs w:val="20"/>
                <w:lang w:eastAsia="cs-CZ"/>
              </w:rPr>
              <w:t xml:space="preserve">; </w:t>
            </w:r>
            <w:r w:rsidR="00E127A0">
              <w:rPr>
                <w:rFonts w:ascii="Times New Roman" w:eastAsia="Times New Roman" w:hAnsi="Times New Roman" w:cs="Times New Roman"/>
                <w:szCs w:val="20"/>
                <w:lang w:eastAsia="cs-CZ"/>
              </w:rPr>
              <w:t>slabší</w:t>
            </w:r>
            <w:r w:rsidR="004624AA" w:rsidRPr="0005690F">
              <w:rPr>
                <w:rFonts w:ascii="Times New Roman" w:eastAsia="Times New Roman" w:hAnsi="Times New Roman" w:cs="Times New Roman"/>
                <w:szCs w:val="20"/>
                <w:lang w:eastAsia="cs-CZ"/>
              </w:rPr>
              <w:t xml:space="preserve"> vazb</w:t>
            </w:r>
            <w:r w:rsidR="00E127A0">
              <w:rPr>
                <w:rFonts w:ascii="Times New Roman" w:eastAsia="Times New Roman" w:hAnsi="Times New Roman" w:cs="Times New Roman"/>
                <w:szCs w:val="20"/>
                <w:lang w:eastAsia="cs-CZ"/>
              </w:rPr>
              <w:t>y</w:t>
            </w:r>
            <w:r w:rsidR="004624AA" w:rsidRPr="0005690F">
              <w:rPr>
                <w:rFonts w:ascii="Times New Roman" w:eastAsia="Times New Roman" w:hAnsi="Times New Roman" w:cs="Times New Roman"/>
                <w:szCs w:val="20"/>
                <w:lang w:eastAsia="cs-CZ"/>
              </w:rPr>
              <w:t xml:space="preserve"> vnímá hodnotitel </w:t>
            </w:r>
            <w:r w:rsidR="00E127A0">
              <w:rPr>
                <w:rFonts w:ascii="Times New Roman" w:eastAsia="Times New Roman" w:hAnsi="Times New Roman" w:cs="Times New Roman"/>
                <w:szCs w:val="20"/>
                <w:lang w:eastAsia="cs-CZ"/>
              </w:rPr>
              <w:t xml:space="preserve">zejména </w:t>
            </w:r>
            <w:r w:rsidR="004624AA" w:rsidRPr="0005690F">
              <w:rPr>
                <w:rFonts w:ascii="Times New Roman" w:eastAsia="Times New Roman" w:hAnsi="Times New Roman" w:cs="Times New Roman"/>
                <w:szCs w:val="20"/>
                <w:lang w:eastAsia="cs-CZ"/>
              </w:rPr>
              <w:t xml:space="preserve">v případě SC </w:t>
            </w:r>
            <w:r w:rsidR="00130EAF" w:rsidRPr="0005690F">
              <w:rPr>
                <w:rFonts w:ascii="Times New Roman" w:eastAsia="Times New Roman" w:hAnsi="Times New Roman" w:cs="Times New Roman"/>
                <w:szCs w:val="20"/>
                <w:lang w:eastAsia="cs-CZ"/>
              </w:rPr>
              <w:t xml:space="preserve">2.3, </w:t>
            </w:r>
            <w:r w:rsidR="004624AA" w:rsidRPr="0005690F">
              <w:rPr>
                <w:rFonts w:ascii="Times New Roman" w:eastAsia="Times New Roman" w:hAnsi="Times New Roman" w:cs="Times New Roman"/>
                <w:szCs w:val="20"/>
                <w:lang w:eastAsia="cs-CZ"/>
              </w:rPr>
              <w:t>2.4</w:t>
            </w:r>
            <w:r w:rsidR="00130EAF" w:rsidRPr="0005690F">
              <w:rPr>
                <w:rFonts w:ascii="Times New Roman" w:eastAsia="Times New Roman" w:hAnsi="Times New Roman" w:cs="Times New Roman"/>
                <w:szCs w:val="20"/>
                <w:lang w:eastAsia="cs-CZ"/>
              </w:rPr>
              <w:t>,</w:t>
            </w:r>
            <w:r w:rsidR="00417183" w:rsidRPr="0005690F">
              <w:rPr>
                <w:rFonts w:ascii="Times New Roman" w:eastAsia="Times New Roman" w:hAnsi="Times New Roman" w:cs="Times New Roman"/>
                <w:szCs w:val="20"/>
                <w:lang w:eastAsia="cs-CZ"/>
              </w:rPr>
              <w:t xml:space="preserve"> a SC 3.4</w:t>
            </w:r>
            <w:r w:rsidR="001E25CD" w:rsidRPr="0005690F">
              <w:rPr>
                <w:rFonts w:ascii="Times New Roman" w:eastAsia="Times New Roman" w:hAnsi="Times New Roman" w:cs="Times New Roman"/>
                <w:szCs w:val="20"/>
                <w:lang w:eastAsia="cs-CZ"/>
              </w:rPr>
              <w:t xml:space="preserve"> (viz také evaluační podotázka 01.1)</w:t>
            </w:r>
            <w:r w:rsidR="004624AA" w:rsidRPr="0005690F">
              <w:rPr>
                <w:rFonts w:ascii="Times New Roman" w:eastAsia="Times New Roman" w:hAnsi="Times New Roman" w:cs="Times New Roman"/>
                <w:szCs w:val="20"/>
                <w:lang w:eastAsia="cs-CZ"/>
              </w:rPr>
              <w:t xml:space="preserve">. </w:t>
            </w:r>
          </w:p>
          <w:p w:rsidR="008214CA" w:rsidRPr="0005690F" w:rsidRDefault="008214CA" w:rsidP="00A1343C">
            <w:pPr>
              <w:rPr>
                <w:rFonts w:ascii="Times New Roman" w:eastAsia="Times New Roman" w:hAnsi="Times New Roman" w:cs="Times New Roman"/>
                <w:szCs w:val="20"/>
                <w:lang w:eastAsia="cs-CZ"/>
              </w:rPr>
            </w:pPr>
          </w:p>
          <w:p w:rsidR="004624AA" w:rsidRPr="0005690F" w:rsidRDefault="00A82A90" w:rsidP="004624AA">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Co se týká</w:t>
            </w:r>
            <w:r w:rsidR="0045497B" w:rsidRPr="0005690F">
              <w:rPr>
                <w:rFonts w:ascii="Times New Roman" w:eastAsia="Times New Roman" w:hAnsi="Times New Roman" w:cs="Times New Roman"/>
                <w:szCs w:val="20"/>
                <w:lang w:eastAsia="cs-CZ"/>
              </w:rPr>
              <w:t xml:space="preserve"> </w:t>
            </w:r>
            <w:r w:rsidR="00F3714C" w:rsidRPr="0005690F">
              <w:rPr>
                <w:rFonts w:ascii="Times New Roman" w:eastAsia="Times New Roman" w:hAnsi="Times New Roman" w:cs="Times New Roman"/>
                <w:szCs w:val="20"/>
                <w:lang w:eastAsia="cs-CZ"/>
              </w:rPr>
              <w:t xml:space="preserve">uplatňování </w:t>
            </w:r>
            <w:r w:rsidR="0045497B" w:rsidRPr="0005690F">
              <w:rPr>
                <w:rFonts w:ascii="Times New Roman" w:eastAsia="Times New Roman" w:hAnsi="Times New Roman" w:cs="Times New Roman"/>
                <w:szCs w:val="20"/>
                <w:lang w:eastAsia="cs-CZ"/>
              </w:rPr>
              <w:t xml:space="preserve">principu tematické koncentrace, hodnotitel </w:t>
            </w:r>
            <w:r w:rsidR="004624AA" w:rsidRPr="0005690F">
              <w:rPr>
                <w:rFonts w:ascii="Times New Roman" w:eastAsia="Times New Roman" w:hAnsi="Times New Roman" w:cs="Times New Roman"/>
                <w:szCs w:val="20"/>
                <w:lang w:eastAsia="cs-CZ"/>
              </w:rPr>
              <w:t xml:space="preserve">konstatuje, že celkové pojetí OP PIK je </w:t>
            </w:r>
            <w:r w:rsidR="009E5BE4" w:rsidRPr="009E5BE4">
              <w:rPr>
                <w:rFonts w:ascii="Times New Roman" w:eastAsia="Times New Roman" w:hAnsi="Times New Roman" w:cs="Times New Roman"/>
                <w:szCs w:val="20"/>
                <w:lang w:eastAsia="cs-CZ"/>
              </w:rPr>
              <w:t>sice širok</w:t>
            </w:r>
            <w:r w:rsidR="004624AA" w:rsidRPr="00E87A16">
              <w:rPr>
                <w:rFonts w:ascii="Times New Roman" w:eastAsia="Times New Roman" w:hAnsi="Times New Roman" w:cs="Times New Roman"/>
                <w:szCs w:val="20"/>
                <w:lang w:eastAsia="cs-CZ"/>
              </w:rPr>
              <w:t>é</w:t>
            </w:r>
            <w:r w:rsidR="004624AA" w:rsidRPr="0005690F">
              <w:rPr>
                <w:rFonts w:ascii="Times New Roman" w:eastAsia="Times New Roman" w:hAnsi="Times New Roman" w:cs="Times New Roman"/>
                <w:szCs w:val="20"/>
                <w:lang w:eastAsia="cs-CZ"/>
              </w:rPr>
              <w:t xml:space="preserve">, nicméně strategie programu reaguje prostřednictvím specifických cílů na relevantní problémy, potřeby rozvoje, priority financování a hlavní výsledky Dohody o partnerství, která je zastřešujícím dokumentem pro programy financované z ESIF v České republice v programovacím období 2014-2020. </w:t>
            </w:r>
          </w:p>
          <w:p w:rsidR="00417183" w:rsidRPr="0005690F" w:rsidRDefault="004624AA" w:rsidP="005F1E32">
            <w:pPr>
              <w:rPr>
                <w:rFonts w:ascii="Times New Roman" w:eastAsia="Times New Roman" w:hAnsi="Times New Roman" w:cs="Times New Roman"/>
                <w:szCs w:val="20"/>
                <w:lang w:eastAsia="cs-CZ"/>
              </w:rPr>
            </w:pPr>
            <w:r w:rsidRPr="00F21883">
              <w:rPr>
                <w:rFonts w:ascii="Times New Roman" w:eastAsia="Times New Roman" w:hAnsi="Times New Roman" w:cs="Times New Roman"/>
                <w:szCs w:val="20"/>
                <w:lang w:eastAsia="cs-CZ"/>
              </w:rPr>
              <w:t>Hodnotitel doporučuje zvážit</w:t>
            </w:r>
            <w:r w:rsidR="00E87A16" w:rsidRPr="00F21883">
              <w:rPr>
                <w:rFonts w:ascii="Times New Roman" w:eastAsia="Times New Roman" w:hAnsi="Times New Roman" w:cs="Times New Roman"/>
                <w:szCs w:val="20"/>
                <w:lang w:eastAsia="cs-CZ"/>
              </w:rPr>
              <w:t xml:space="preserve"> případné další</w:t>
            </w:r>
            <w:r w:rsidRPr="00F21883">
              <w:rPr>
                <w:rFonts w:ascii="Times New Roman" w:eastAsia="Times New Roman" w:hAnsi="Times New Roman" w:cs="Times New Roman"/>
                <w:szCs w:val="20"/>
                <w:lang w:eastAsia="cs-CZ"/>
              </w:rPr>
              <w:t xml:space="preserve"> strategické zaměření (koncentraci) programu na podporu klíčových aktivit, jejichž realizace bude nejvíce přispívat k naplňování relevantních evropských a národních cílů v rámci strategii Evropa 2020</w:t>
            </w:r>
            <w:r w:rsidR="00E87A16" w:rsidRPr="00F21883">
              <w:rPr>
                <w:rFonts w:ascii="Times New Roman" w:eastAsia="Times New Roman" w:hAnsi="Times New Roman" w:cs="Times New Roman"/>
                <w:szCs w:val="20"/>
                <w:lang w:eastAsia="cs-CZ"/>
              </w:rPr>
              <w:t>,</w:t>
            </w:r>
            <w:r w:rsidR="00585788" w:rsidRPr="00F21883">
              <w:rPr>
                <w:rFonts w:ascii="Times New Roman" w:eastAsia="Times New Roman" w:hAnsi="Times New Roman" w:cs="Times New Roman"/>
                <w:szCs w:val="20"/>
                <w:lang w:eastAsia="cs-CZ"/>
              </w:rPr>
              <w:t xml:space="preserve"> a také </w:t>
            </w:r>
            <w:r w:rsidR="00E87A16" w:rsidRPr="00F21883">
              <w:rPr>
                <w:rFonts w:ascii="Times New Roman" w:eastAsia="Times New Roman" w:hAnsi="Times New Roman" w:cs="Times New Roman"/>
                <w:szCs w:val="20"/>
                <w:lang w:eastAsia="cs-CZ"/>
              </w:rPr>
              <w:t>v</w:t>
            </w:r>
            <w:r w:rsidR="00585788" w:rsidRPr="00F21883">
              <w:rPr>
                <w:rFonts w:ascii="Times New Roman" w:eastAsia="Times New Roman" w:hAnsi="Times New Roman" w:cs="Times New Roman"/>
                <w:szCs w:val="20"/>
                <w:lang w:eastAsia="cs-CZ"/>
              </w:rPr>
              <w:t> </w:t>
            </w:r>
            <w:r w:rsidR="00E87A16" w:rsidRPr="00F21883">
              <w:rPr>
                <w:rFonts w:ascii="Times New Roman" w:eastAsia="Times New Roman" w:hAnsi="Times New Roman" w:cs="Times New Roman"/>
                <w:szCs w:val="20"/>
                <w:lang w:eastAsia="cs-CZ"/>
              </w:rPr>
              <w:t>návaznosti</w:t>
            </w:r>
            <w:r w:rsidR="00585788" w:rsidRPr="00F21883">
              <w:rPr>
                <w:rFonts w:ascii="Times New Roman" w:eastAsia="Times New Roman" w:hAnsi="Times New Roman" w:cs="Times New Roman"/>
                <w:szCs w:val="20"/>
                <w:lang w:eastAsia="cs-CZ"/>
              </w:rPr>
              <w:t xml:space="preserve"> na výsledky vyjednávání </w:t>
            </w:r>
            <w:proofErr w:type="spellStart"/>
            <w:r w:rsidR="00585788" w:rsidRPr="00F21883">
              <w:rPr>
                <w:rFonts w:ascii="Times New Roman" w:eastAsia="Times New Roman" w:hAnsi="Times New Roman" w:cs="Times New Roman"/>
                <w:szCs w:val="20"/>
                <w:lang w:eastAsia="cs-CZ"/>
              </w:rPr>
              <w:t>DoP.</w:t>
            </w:r>
            <w:proofErr w:type="spellEnd"/>
            <w:r w:rsidRPr="00F21883">
              <w:rPr>
                <w:rFonts w:ascii="Times New Roman" w:eastAsia="Times New Roman" w:hAnsi="Times New Roman" w:cs="Times New Roman"/>
                <w:szCs w:val="20"/>
                <w:lang w:eastAsia="cs-CZ"/>
              </w:rPr>
              <w:t xml:space="preserve"> </w:t>
            </w:r>
          </w:p>
        </w:tc>
      </w:tr>
      <w:tr w:rsidR="00471AC7" w:rsidRPr="0005690F" w:rsidTr="00274A5F">
        <w:trPr>
          <w:trHeight w:val="540"/>
        </w:trPr>
        <w:tc>
          <w:tcPr>
            <w:tcW w:w="880" w:type="dxa"/>
            <w:shd w:val="clear" w:color="000000" w:fill="C5D9F1"/>
            <w:hideMark/>
          </w:tcPr>
          <w:p w:rsidR="00471AC7" w:rsidRPr="0005690F" w:rsidRDefault="00471AC7"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01.6</w:t>
            </w:r>
          </w:p>
        </w:tc>
        <w:tc>
          <w:tcPr>
            <w:tcW w:w="2823" w:type="dxa"/>
            <w:shd w:val="clear" w:color="000000" w:fill="C5D9F1"/>
            <w:hideMark/>
          </w:tcPr>
          <w:p w:rsidR="00471AC7" w:rsidRPr="0005690F" w:rsidRDefault="00471AC7"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Jsou navržené cíle programu v souladu s Dohodou o partnerství a Společným strategickým rámcem, resp. ESIF?</w:t>
            </w:r>
          </w:p>
        </w:tc>
        <w:tc>
          <w:tcPr>
            <w:tcW w:w="1559" w:type="dxa"/>
            <w:shd w:val="clear" w:color="000000" w:fill="C5D9F1"/>
            <w:vAlign w:val="center"/>
            <w:hideMark/>
          </w:tcPr>
          <w:p w:rsidR="00471AC7" w:rsidRPr="0005690F" w:rsidRDefault="00D37D24" w:rsidP="00A1343C">
            <w:pPr>
              <w:jc w:val="cente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A</w:t>
            </w:r>
          </w:p>
        </w:tc>
        <w:tc>
          <w:tcPr>
            <w:tcW w:w="3969" w:type="dxa"/>
            <w:shd w:val="clear" w:color="000000" w:fill="C5D9F1"/>
            <w:hideMark/>
          </w:tcPr>
          <w:p w:rsidR="00471AC7" w:rsidRPr="0005690F" w:rsidRDefault="00F3264D" w:rsidP="002157BB">
            <w:pPr>
              <w:spacing w:after="120"/>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 xml:space="preserve">Lze </w:t>
            </w:r>
            <w:r w:rsidR="00D37D24" w:rsidRPr="0005690F">
              <w:rPr>
                <w:rFonts w:ascii="Times New Roman" w:eastAsia="Times New Roman" w:hAnsi="Times New Roman" w:cs="Times New Roman"/>
                <w:szCs w:val="20"/>
                <w:lang w:eastAsia="cs-CZ"/>
              </w:rPr>
              <w:t xml:space="preserve">konstatovat, že cíle </w:t>
            </w:r>
            <w:r w:rsidRPr="0005690F">
              <w:rPr>
                <w:rFonts w:ascii="Times New Roman" w:eastAsia="Times New Roman" w:hAnsi="Times New Roman" w:cs="Times New Roman"/>
                <w:szCs w:val="20"/>
                <w:lang w:eastAsia="cs-CZ"/>
              </w:rPr>
              <w:t xml:space="preserve">programu jsou </w:t>
            </w:r>
            <w:r w:rsidR="006F772A" w:rsidRPr="0005690F">
              <w:rPr>
                <w:rFonts w:ascii="Times New Roman" w:eastAsia="Times New Roman" w:hAnsi="Times New Roman" w:cs="Times New Roman"/>
                <w:szCs w:val="20"/>
                <w:lang w:eastAsia="cs-CZ"/>
              </w:rPr>
              <w:t xml:space="preserve">obecně </w:t>
            </w:r>
            <w:r w:rsidRPr="0005690F">
              <w:rPr>
                <w:rFonts w:ascii="Times New Roman" w:eastAsia="Times New Roman" w:hAnsi="Times New Roman" w:cs="Times New Roman"/>
                <w:szCs w:val="20"/>
                <w:lang w:eastAsia="cs-CZ"/>
              </w:rPr>
              <w:t>v souladu se strategickými cíl</w:t>
            </w:r>
            <w:r w:rsidR="002157BB" w:rsidRPr="0005690F">
              <w:rPr>
                <w:rFonts w:ascii="Times New Roman" w:eastAsia="Times New Roman" w:hAnsi="Times New Roman" w:cs="Times New Roman"/>
                <w:szCs w:val="20"/>
                <w:lang w:eastAsia="cs-CZ"/>
              </w:rPr>
              <w:t>i</w:t>
            </w:r>
            <w:r w:rsidRPr="0005690F">
              <w:rPr>
                <w:rFonts w:ascii="Times New Roman" w:eastAsia="Times New Roman" w:hAnsi="Times New Roman" w:cs="Times New Roman"/>
                <w:szCs w:val="20"/>
                <w:lang w:eastAsia="cs-CZ"/>
              </w:rPr>
              <w:t xml:space="preserve"> </w:t>
            </w:r>
            <w:proofErr w:type="spellStart"/>
            <w:r w:rsidR="00371FBE">
              <w:rPr>
                <w:rFonts w:ascii="Times New Roman" w:eastAsia="Times New Roman" w:hAnsi="Times New Roman" w:cs="Times New Roman"/>
                <w:szCs w:val="20"/>
                <w:lang w:eastAsia="cs-CZ"/>
              </w:rPr>
              <w:t>DoP</w:t>
            </w:r>
            <w:proofErr w:type="spellEnd"/>
            <w:r w:rsidRPr="0005690F">
              <w:rPr>
                <w:rFonts w:ascii="Times New Roman" w:eastAsia="Times New Roman" w:hAnsi="Times New Roman" w:cs="Times New Roman"/>
                <w:szCs w:val="20"/>
                <w:lang w:eastAsia="cs-CZ"/>
              </w:rPr>
              <w:t>, zejména se strategickým cílem „Vytvoření kvalitního podnikatelské prostředí, které podpoří konkurenceschopnost ČR na evropském i globálním trhu, povede k zakládání nových podniků, zvýší inovační schopnost stávajících podniků a posílí atraktivitu ČR pro domácí a zahraniční investory“</w:t>
            </w:r>
            <w:r w:rsidR="002157BB" w:rsidRPr="0005690F">
              <w:rPr>
                <w:rFonts w:ascii="Times New Roman" w:eastAsia="Times New Roman" w:hAnsi="Times New Roman" w:cs="Times New Roman"/>
                <w:szCs w:val="20"/>
                <w:lang w:eastAsia="cs-CZ"/>
              </w:rPr>
              <w:t>,</w:t>
            </w:r>
            <w:r w:rsidRPr="0005690F">
              <w:rPr>
                <w:rFonts w:ascii="Times New Roman" w:eastAsia="Times New Roman" w:hAnsi="Times New Roman" w:cs="Times New Roman"/>
                <w:szCs w:val="20"/>
                <w:lang w:eastAsia="cs-CZ"/>
              </w:rPr>
              <w:t xml:space="preserve"> </w:t>
            </w:r>
            <w:r w:rsidR="002157BB" w:rsidRPr="0005690F">
              <w:rPr>
                <w:rFonts w:ascii="Times New Roman" w:eastAsia="Times New Roman" w:hAnsi="Times New Roman" w:cs="Times New Roman"/>
                <w:szCs w:val="20"/>
                <w:lang w:eastAsia="cs-CZ"/>
              </w:rPr>
              <w:t>i s vybranými</w:t>
            </w:r>
            <w:r w:rsidRPr="0005690F">
              <w:rPr>
                <w:rFonts w:ascii="Times New Roman" w:eastAsia="Times New Roman" w:hAnsi="Times New Roman" w:cs="Times New Roman"/>
                <w:szCs w:val="20"/>
                <w:lang w:eastAsia="cs-CZ"/>
              </w:rPr>
              <w:t xml:space="preserve"> </w:t>
            </w:r>
            <w:r w:rsidR="002157BB" w:rsidRPr="0005690F">
              <w:rPr>
                <w:rFonts w:ascii="Times New Roman" w:eastAsia="Times New Roman" w:hAnsi="Times New Roman" w:cs="Times New Roman"/>
                <w:szCs w:val="20"/>
                <w:lang w:eastAsia="cs-CZ"/>
              </w:rPr>
              <w:t>hlavními prioritami financování pro ČR pro programové období 2014–2020.</w:t>
            </w:r>
            <w:r w:rsidR="00DE5DBF" w:rsidRPr="0005690F">
              <w:rPr>
                <w:rFonts w:ascii="Times New Roman" w:eastAsia="Times New Roman" w:hAnsi="Times New Roman" w:cs="Times New Roman"/>
                <w:szCs w:val="20"/>
                <w:lang w:eastAsia="cs-CZ"/>
              </w:rPr>
              <w:t xml:space="preserve"> Některé nejasnosti a ne</w:t>
            </w:r>
            <w:r w:rsidR="00D464DB" w:rsidRPr="0005690F">
              <w:rPr>
                <w:rFonts w:ascii="Times New Roman" w:eastAsia="Times New Roman" w:hAnsi="Times New Roman" w:cs="Times New Roman"/>
                <w:szCs w:val="20"/>
                <w:lang w:eastAsia="cs-CZ"/>
              </w:rPr>
              <w:t>soulady</w:t>
            </w:r>
            <w:r w:rsidR="00DE5DBF" w:rsidRPr="0005690F">
              <w:rPr>
                <w:rFonts w:ascii="Times New Roman" w:eastAsia="Times New Roman" w:hAnsi="Times New Roman" w:cs="Times New Roman"/>
                <w:szCs w:val="20"/>
                <w:lang w:eastAsia="cs-CZ"/>
              </w:rPr>
              <w:t xml:space="preserve"> byly identifikovány na úrovni hlavních výsledků </w:t>
            </w:r>
            <w:r w:rsidR="00933ACE" w:rsidRPr="0005690F">
              <w:rPr>
                <w:rFonts w:ascii="Times New Roman" w:eastAsia="Times New Roman" w:hAnsi="Times New Roman" w:cs="Times New Roman"/>
                <w:szCs w:val="20"/>
                <w:lang w:eastAsia="cs-CZ"/>
              </w:rPr>
              <w:t>dop.</w:t>
            </w:r>
            <w:r w:rsidR="00DE5DBF" w:rsidRPr="0005690F">
              <w:rPr>
                <w:rFonts w:ascii="Times New Roman" w:eastAsia="Times New Roman" w:hAnsi="Times New Roman" w:cs="Times New Roman"/>
                <w:szCs w:val="20"/>
                <w:lang w:eastAsia="cs-CZ"/>
              </w:rPr>
              <w:t xml:space="preserve"> </w:t>
            </w:r>
            <w:r w:rsidR="00D464DB" w:rsidRPr="0005690F">
              <w:rPr>
                <w:rFonts w:ascii="Times New Roman" w:eastAsia="Times New Roman" w:hAnsi="Times New Roman" w:cs="Times New Roman"/>
                <w:szCs w:val="20"/>
                <w:lang w:eastAsia="cs-CZ"/>
              </w:rPr>
              <w:t>a očekávaných výsledků specifick</w:t>
            </w:r>
            <w:r w:rsidR="00DE5DBF" w:rsidRPr="0005690F">
              <w:rPr>
                <w:rFonts w:ascii="Times New Roman" w:eastAsia="Times New Roman" w:hAnsi="Times New Roman" w:cs="Times New Roman"/>
                <w:szCs w:val="20"/>
                <w:lang w:eastAsia="cs-CZ"/>
              </w:rPr>
              <w:t>ých cílů OP PIK (</w:t>
            </w:r>
            <w:r w:rsidR="00DE5DBF" w:rsidRPr="0005690F">
              <w:rPr>
                <w:rFonts w:ascii="Times New Roman" w:eastAsia="Times New Roman" w:hAnsi="Times New Roman" w:cs="Times New Roman"/>
                <w:i/>
                <w:szCs w:val="20"/>
                <w:lang w:eastAsia="cs-CZ"/>
              </w:rPr>
              <w:t>viz dále v textu zpráv</w:t>
            </w:r>
            <w:r w:rsidR="00B21AA8" w:rsidRPr="0005690F">
              <w:rPr>
                <w:rFonts w:ascii="Times New Roman" w:eastAsia="Times New Roman" w:hAnsi="Times New Roman" w:cs="Times New Roman"/>
                <w:i/>
                <w:szCs w:val="20"/>
                <w:lang w:eastAsia="cs-CZ"/>
              </w:rPr>
              <w:t>y</w:t>
            </w:r>
            <w:r w:rsidR="00DE5DBF" w:rsidRPr="0005690F">
              <w:rPr>
                <w:rFonts w:ascii="Times New Roman" w:eastAsia="Times New Roman" w:hAnsi="Times New Roman" w:cs="Times New Roman"/>
                <w:szCs w:val="20"/>
                <w:lang w:eastAsia="cs-CZ"/>
              </w:rPr>
              <w:t>)</w:t>
            </w:r>
            <w:r w:rsidR="00B21AA8" w:rsidRPr="0005690F">
              <w:rPr>
                <w:rFonts w:ascii="Times New Roman" w:eastAsia="Times New Roman" w:hAnsi="Times New Roman" w:cs="Times New Roman"/>
                <w:szCs w:val="20"/>
                <w:lang w:eastAsia="cs-CZ"/>
              </w:rPr>
              <w:t>.</w:t>
            </w:r>
            <w:r w:rsidR="002157BB" w:rsidRPr="0005690F">
              <w:rPr>
                <w:rFonts w:ascii="Times New Roman" w:eastAsia="Times New Roman" w:hAnsi="Times New Roman" w:cs="Times New Roman"/>
                <w:szCs w:val="20"/>
                <w:lang w:eastAsia="cs-CZ"/>
              </w:rPr>
              <w:t xml:space="preserve"> </w:t>
            </w:r>
          </w:p>
          <w:p w:rsidR="006F772A" w:rsidRPr="0005690F" w:rsidRDefault="006F772A" w:rsidP="00130EAF">
            <w:pPr>
              <w:spacing w:after="120"/>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 xml:space="preserve">Cíle programu jsou rovněž v souladu se Společným strategickým rámcem. </w:t>
            </w:r>
            <w:r w:rsidR="00130EAF" w:rsidRPr="0005690F">
              <w:rPr>
                <w:rFonts w:ascii="Times New Roman" w:eastAsia="Times New Roman" w:hAnsi="Times New Roman" w:cs="Times New Roman"/>
                <w:szCs w:val="20"/>
                <w:lang w:eastAsia="cs-CZ"/>
              </w:rPr>
              <w:t>OP PIK r</w:t>
            </w:r>
            <w:r w:rsidRPr="0005690F">
              <w:rPr>
                <w:rFonts w:ascii="Times New Roman" w:eastAsia="Times New Roman" w:hAnsi="Times New Roman" w:cs="Times New Roman"/>
                <w:szCs w:val="20"/>
                <w:lang w:eastAsia="cs-CZ"/>
              </w:rPr>
              <w:t xml:space="preserve">eaguje především na doporučení SSR </w:t>
            </w:r>
            <w:r w:rsidRPr="0005690F">
              <w:rPr>
                <w:rFonts w:ascii="Times New Roman" w:eastAsia="Times New Roman" w:hAnsi="Times New Roman" w:cs="Times New Roman"/>
                <w:szCs w:val="20"/>
                <w:lang w:eastAsia="cs-CZ"/>
              </w:rPr>
              <w:lastRenderedPageBreak/>
              <w:t>členským státům věnovat zvýšenou pozornost výdajům na posílení růstu, zejména pak v o</w:t>
            </w:r>
            <w:r w:rsidR="00D464DB" w:rsidRPr="0005690F">
              <w:rPr>
                <w:rFonts w:ascii="Times New Roman" w:eastAsia="Times New Roman" w:hAnsi="Times New Roman" w:cs="Times New Roman"/>
                <w:szCs w:val="20"/>
                <w:lang w:eastAsia="cs-CZ"/>
              </w:rPr>
              <w:t>b</w:t>
            </w:r>
            <w:r w:rsidRPr="0005690F">
              <w:rPr>
                <w:rFonts w:ascii="Times New Roman" w:eastAsia="Times New Roman" w:hAnsi="Times New Roman" w:cs="Times New Roman"/>
                <w:szCs w:val="20"/>
                <w:lang w:eastAsia="cs-CZ"/>
              </w:rPr>
              <w:t>lasti výzkumu, inovací, energetické účinnosti a také zlepšování přístupu MSP k finančním zdrojům. Reflektuje rovněž další doporučení SSR v oblasti koordinace a synergií mezi ESIF a dalšími nástroji a politikami, posilování integrovaných přístupů a uplatňování horizontálních principů</w:t>
            </w:r>
            <w:r w:rsidR="00630FA7">
              <w:rPr>
                <w:rFonts w:ascii="Times New Roman" w:eastAsia="Times New Roman" w:hAnsi="Times New Roman" w:cs="Times New Roman"/>
                <w:szCs w:val="20"/>
                <w:lang w:eastAsia="cs-CZ"/>
              </w:rPr>
              <w:t>.</w:t>
            </w:r>
            <w:r w:rsidRPr="0005690F">
              <w:rPr>
                <w:rFonts w:ascii="Times New Roman" w:eastAsia="Times New Roman" w:hAnsi="Times New Roman" w:cs="Times New Roman"/>
                <w:szCs w:val="20"/>
                <w:lang w:eastAsia="cs-CZ"/>
              </w:rPr>
              <w:t xml:space="preserve"> </w:t>
            </w:r>
          </w:p>
        </w:tc>
      </w:tr>
      <w:tr w:rsidR="00471AC7" w:rsidRPr="0005690F" w:rsidTr="00274A5F">
        <w:trPr>
          <w:trHeight w:val="540"/>
        </w:trPr>
        <w:tc>
          <w:tcPr>
            <w:tcW w:w="880" w:type="dxa"/>
            <w:shd w:val="clear" w:color="000000" w:fill="C5D9F1"/>
            <w:hideMark/>
          </w:tcPr>
          <w:p w:rsidR="00471AC7" w:rsidRPr="0005690F" w:rsidRDefault="00471AC7"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lastRenderedPageBreak/>
              <w:t>01.7</w:t>
            </w:r>
          </w:p>
        </w:tc>
        <w:tc>
          <w:tcPr>
            <w:tcW w:w="2823" w:type="dxa"/>
            <w:shd w:val="clear" w:color="000000" w:fill="C5D9F1"/>
            <w:hideMark/>
          </w:tcPr>
          <w:p w:rsidR="00471AC7" w:rsidRPr="0005690F" w:rsidRDefault="00471AC7"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Zohledňuje strategie programu zkušenosti z předchozích programových období?</w:t>
            </w:r>
          </w:p>
        </w:tc>
        <w:tc>
          <w:tcPr>
            <w:tcW w:w="1559" w:type="dxa"/>
            <w:shd w:val="clear" w:color="000000" w:fill="C5D9F1"/>
            <w:vAlign w:val="center"/>
            <w:hideMark/>
          </w:tcPr>
          <w:p w:rsidR="00471AC7" w:rsidRPr="0005690F" w:rsidRDefault="00630FA7" w:rsidP="00A1343C">
            <w:pPr>
              <w:jc w:val="cente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SA</w:t>
            </w:r>
          </w:p>
        </w:tc>
        <w:tc>
          <w:tcPr>
            <w:tcW w:w="3969" w:type="dxa"/>
            <w:shd w:val="clear" w:color="000000" w:fill="C5D9F1"/>
            <w:hideMark/>
          </w:tcPr>
          <w:p w:rsidR="00317E75" w:rsidRDefault="0078396C" w:rsidP="003845B4">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 xml:space="preserve">Hodnotitel </w:t>
            </w:r>
            <w:r w:rsidR="00106773">
              <w:rPr>
                <w:rFonts w:ascii="Times New Roman" w:eastAsia="Times New Roman" w:hAnsi="Times New Roman" w:cs="Times New Roman"/>
                <w:szCs w:val="20"/>
                <w:lang w:eastAsia="cs-CZ"/>
              </w:rPr>
              <w:t>vítá, že na základě jeho předchozího doporučení</w:t>
            </w:r>
            <w:r w:rsidR="00EF1C96" w:rsidRPr="0005690F">
              <w:rPr>
                <w:rFonts w:ascii="Times New Roman" w:eastAsia="Times New Roman" w:hAnsi="Times New Roman" w:cs="Times New Roman"/>
                <w:szCs w:val="20"/>
                <w:lang w:eastAsia="cs-CZ"/>
              </w:rPr>
              <w:t>, aby byly v</w:t>
            </w:r>
            <w:r w:rsidR="00112FF7">
              <w:rPr>
                <w:rFonts w:ascii="Times New Roman" w:eastAsia="Times New Roman" w:hAnsi="Times New Roman" w:cs="Times New Roman"/>
                <w:szCs w:val="20"/>
                <w:lang w:eastAsia="cs-CZ"/>
              </w:rPr>
              <w:t xml:space="preserve"> operačním </w:t>
            </w:r>
            <w:r w:rsidR="00EF1C96" w:rsidRPr="0005690F">
              <w:rPr>
                <w:rFonts w:ascii="Times New Roman" w:eastAsia="Times New Roman" w:hAnsi="Times New Roman" w:cs="Times New Roman"/>
                <w:szCs w:val="20"/>
                <w:lang w:eastAsia="cs-CZ"/>
              </w:rPr>
              <w:t xml:space="preserve">programu </w:t>
            </w:r>
            <w:r w:rsidRPr="0005690F">
              <w:rPr>
                <w:rFonts w:ascii="Times New Roman" w:eastAsia="Times New Roman" w:hAnsi="Times New Roman" w:cs="Times New Roman"/>
                <w:szCs w:val="20"/>
                <w:lang w:eastAsia="cs-CZ"/>
              </w:rPr>
              <w:t>v mnohem větší míře pops</w:t>
            </w:r>
            <w:r w:rsidR="00EF1C96" w:rsidRPr="0005690F">
              <w:rPr>
                <w:rFonts w:ascii="Times New Roman" w:eastAsia="Times New Roman" w:hAnsi="Times New Roman" w:cs="Times New Roman"/>
                <w:szCs w:val="20"/>
                <w:lang w:eastAsia="cs-CZ"/>
              </w:rPr>
              <w:t>ány</w:t>
            </w:r>
            <w:r w:rsidRPr="0005690F">
              <w:rPr>
                <w:rFonts w:ascii="Times New Roman" w:eastAsia="Times New Roman" w:hAnsi="Times New Roman" w:cs="Times New Roman"/>
                <w:szCs w:val="20"/>
                <w:lang w:eastAsia="cs-CZ"/>
              </w:rPr>
              <w:t xml:space="preserve"> zkušenosti z programového období 2007</w:t>
            </w:r>
            <w:r w:rsidR="00106773">
              <w:rPr>
                <w:rFonts w:ascii="Times New Roman" w:eastAsia="Times New Roman" w:hAnsi="Times New Roman" w:cs="Times New Roman"/>
                <w:szCs w:val="20"/>
                <w:lang w:eastAsia="cs-CZ"/>
              </w:rPr>
              <w:t>-</w:t>
            </w:r>
            <w:r w:rsidRPr="0005690F">
              <w:rPr>
                <w:rFonts w:ascii="Times New Roman" w:eastAsia="Times New Roman" w:hAnsi="Times New Roman" w:cs="Times New Roman"/>
                <w:szCs w:val="20"/>
                <w:lang w:eastAsia="cs-CZ"/>
              </w:rPr>
              <w:t>2013</w:t>
            </w:r>
            <w:r w:rsidR="00EF1C96" w:rsidRPr="0005690F">
              <w:rPr>
                <w:rFonts w:ascii="Times New Roman" w:eastAsia="Times New Roman" w:hAnsi="Times New Roman" w:cs="Times New Roman"/>
                <w:szCs w:val="20"/>
                <w:lang w:eastAsia="cs-CZ"/>
              </w:rPr>
              <w:t xml:space="preserve"> a v návaznosti na</w:t>
            </w:r>
            <w:r w:rsidR="002157BB" w:rsidRPr="0005690F">
              <w:rPr>
                <w:rFonts w:ascii="Times New Roman" w:eastAsia="Times New Roman" w:hAnsi="Times New Roman" w:cs="Times New Roman"/>
                <w:szCs w:val="20"/>
                <w:lang w:eastAsia="cs-CZ"/>
              </w:rPr>
              <w:t xml:space="preserve"> ně</w:t>
            </w:r>
            <w:r w:rsidR="00EF1C96" w:rsidRPr="0005690F">
              <w:rPr>
                <w:rFonts w:ascii="Times New Roman" w:eastAsia="Times New Roman" w:hAnsi="Times New Roman" w:cs="Times New Roman"/>
                <w:szCs w:val="20"/>
                <w:lang w:eastAsia="cs-CZ"/>
              </w:rPr>
              <w:t xml:space="preserve"> </w:t>
            </w:r>
            <w:r w:rsidRPr="0005690F">
              <w:rPr>
                <w:rFonts w:ascii="Times New Roman" w:eastAsia="Times New Roman" w:hAnsi="Times New Roman" w:cs="Times New Roman"/>
                <w:szCs w:val="20"/>
                <w:lang w:eastAsia="cs-CZ"/>
              </w:rPr>
              <w:t>zdůrazněn</w:t>
            </w:r>
            <w:r w:rsidR="00EF1C96" w:rsidRPr="0005690F">
              <w:rPr>
                <w:rFonts w:ascii="Times New Roman" w:eastAsia="Times New Roman" w:hAnsi="Times New Roman" w:cs="Times New Roman"/>
                <w:szCs w:val="20"/>
                <w:lang w:eastAsia="cs-CZ"/>
              </w:rPr>
              <w:t>y</w:t>
            </w:r>
            <w:r w:rsidRPr="0005690F">
              <w:rPr>
                <w:rFonts w:ascii="Times New Roman" w:eastAsia="Times New Roman" w:hAnsi="Times New Roman" w:cs="Times New Roman"/>
                <w:szCs w:val="20"/>
                <w:lang w:eastAsia="cs-CZ"/>
              </w:rPr>
              <w:t xml:space="preserve"> „posun</w:t>
            </w:r>
            <w:r w:rsidR="00EF1C96" w:rsidRPr="0005690F">
              <w:rPr>
                <w:rFonts w:ascii="Times New Roman" w:eastAsia="Times New Roman" w:hAnsi="Times New Roman" w:cs="Times New Roman"/>
                <w:szCs w:val="20"/>
                <w:lang w:eastAsia="cs-CZ"/>
              </w:rPr>
              <w:t>y</w:t>
            </w:r>
            <w:r w:rsidRPr="0005690F">
              <w:rPr>
                <w:rFonts w:ascii="Times New Roman" w:eastAsia="Times New Roman" w:hAnsi="Times New Roman" w:cs="Times New Roman"/>
                <w:szCs w:val="20"/>
                <w:lang w:eastAsia="cs-CZ"/>
              </w:rPr>
              <w:t>“ vůči OPPI</w:t>
            </w:r>
            <w:r w:rsidR="00106773">
              <w:rPr>
                <w:rFonts w:ascii="Times New Roman" w:eastAsia="Times New Roman" w:hAnsi="Times New Roman" w:cs="Times New Roman"/>
                <w:szCs w:val="20"/>
                <w:lang w:eastAsia="cs-CZ"/>
              </w:rPr>
              <w:t>, b</w:t>
            </w:r>
            <w:r w:rsidR="00317E75">
              <w:rPr>
                <w:rFonts w:ascii="Times New Roman" w:eastAsia="Times New Roman" w:hAnsi="Times New Roman" w:cs="Times New Roman"/>
                <w:szCs w:val="20"/>
                <w:lang w:eastAsia="cs-CZ"/>
              </w:rPr>
              <w:t>yla</w:t>
            </w:r>
            <w:r w:rsidR="00106773">
              <w:rPr>
                <w:rFonts w:ascii="Times New Roman" w:eastAsia="Times New Roman" w:hAnsi="Times New Roman" w:cs="Times New Roman"/>
                <w:szCs w:val="20"/>
                <w:lang w:eastAsia="cs-CZ"/>
              </w:rPr>
              <w:t xml:space="preserve"> k </w:t>
            </w:r>
            <w:proofErr w:type="gramStart"/>
            <w:r w:rsidR="00106773">
              <w:rPr>
                <w:rFonts w:ascii="Times New Roman" w:eastAsia="Times New Roman" w:hAnsi="Times New Roman" w:cs="Times New Roman"/>
                <w:szCs w:val="20"/>
                <w:lang w:eastAsia="cs-CZ"/>
              </w:rPr>
              <w:t>OP</w:t>
            </w:r>
            <w:proofErr w:type="gramEnd"/>
            <w:r w:rsidR="00106773">
              <w:rPr>
                <w:rFonts w:ascii="Times New Roman" w:eastAsia="Times New Roman" w:hAnsi="Times New Roman" w:cs="Times New Roman"/>
                <w:szCs w:val="20"/>
                <w:lang w:eastAsia="cs-CZ"/>
              </w:rPr>
              <w:t xml:space="preserve"> PIK nově zařazena i nepovinná příloha č. 1</w:t>
            </w:r>
            <w:r w:rsidR="00317E75">
              <w:rPr>
                <w:rFonts w:ascii="Times New Roman" w:eastAsia="Times New Roman" w:hAnsi="Times New Roman" w:cs="Times New Roman"/>
                <w:szCs w:val="20"/>
                <w:lang w:eastAsia="cs-CZ"/>
              </w:rPr>
              <w:t>:</w:t>
            </w:r>
            <w:r w:rsidR="00106773">
              <w:rPr>
                <w:rFonts w:ascii="Times New Roman" w:eastAsia="Times New Roman" w:hAnsi="Times New Roman" w:cs="Times New Roman"/>
                <w:szCs w:val="20"/>
                <w:lang w:eastAsia="cs-CZ"/>
              </w:rPr>
              <w:t xml:space="preserve"> „</w:t>
            </w:r>
            <w:r w:rsidR="00106773" w:rsidRPr="00106773">
              <w:rPr>
                <w:rFonts w:ascii="Times New Roman" w:eastAsia="Times New Roman" w:hAnsi="Times New Roman" w:cs="Times New Roman"/>
                <w:szCs w:val="20"/>
                <w:lang w:eastAsia="cs-CZ"/>
              </w:rPr>
              <w:t>Zhodnocení zkušeností z programovacího období 2007-201</w:t>
            </w:r>
            <w:r w:rsidR="00106773">
              <w:rPr>
                <w:rFonts w:ascii="Times New Roman" w:eastAsia="Times New Roman" w:hAnsi="Times New Roman" w:cs="Times New Roman"/>
                <w:szCs w:val="20"/>
                <w:lang w:eastAsia="cs-CZ"/>
              </w:rPr>
              <w:t>3“</w:t>
            </w:r>
            <w:r w:rsidR="00317E75">
              <w:rPr>
                <w:rFonts w:ascii="Times New Roman" w:eastAsia="Times New Roman" w:hAnsi="Times New Roman" w:cs="Times New Roman"/>
                <w:szCs w:val="20"/>
                <w:lang w:eastAsia="cs-CZ"/>
              </w:rPr>
              <w:t xml:space="preserve">, </w:t>
            </w:r>
            <w:r w:rsidR="00103FA9">
              <w:rPr>
                <w:rFonts w:ascii="Times New Roman" w:eastAsia="Times New Roman" w:hAnsi="Times New Roman" w:cs="Times New Roman"/>
                <w:szCs w:val="20"/>
                <w:lang w:eastAsia="cs-CZ"/>
              </w:rPr>
              <w:t xml:space="preserve">který bude, dle vyjádření zadavatele zpracován a přiložen k připravované verzi OP PIK pro EK (červen 2014) a s jehož strukturou a základním návrhem byl hodnotitel předběžně seznámen. </w:t>
            </w:r>
          </w:p>
          <w:p w:rsidR="00317E75" w:rsidRDefault="00317E75" w:rsidP="003845B4">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Z</w:t>
            </w:r>
            <w:r w:rsidR="00106773">
              <w:rPr>
                <w:rFonts w:ascii="Times New Roman" w:eastAsia="Times New Roman" w:hAnsi="Times New Roman" w:cs="Times New Roman"/>
                <w:szCs w:val="20"/>
                <w:lang w:eastAsia="cs-CZ"/>
              </w:rPr>
              <w:t xml:space="preserve">kušenosti z programovacího období 2007-2013 </w:t>
            </w:r>
            <w:r>
              <w:rPr>
                <w:rFonts w:ascii="Times New Roman" w:eastAsia="Times New Roman" w:hAnsi="Times New Roman" w:cs="Times New Roman"/>
                <w:szCs w:val="20"/>
                <w:lang w:eastAsia="cs-CZ"/>
              </w:rPr>
              <w:t xml:space="preserve">ve smyslu vyhodnocení věcné realizace a výsledků </w:t>
            </w:r>
            <w:r w:rsidR="00630FA7">
              <w:rPr>
                <w:rFonts w:ascii="Times New Roman" w:eastAsia="Times New Roman" w:hAnsi="Times New Roman" w:cs="Times New Roman"/>
                <w:szCs w:val="20"/>
                <w:lang w:eastAsia="cs-CZ"/>
              </w:rPr>
              <w:t xml:space="preserve">tak </w:t>
            </w:r>
            <w:r>
              <w:rPr>
                <w:rFonts w:ascii="Times New Roman" w:eastAsia="Times New Roman" w:hAnsi="Times New Roman" w:cs="Times New Roman"/>
                <w:szCs w:val="20"/>
                <w:lang w:eastAsia="cs-CZ"/>
              </w:rPr>
              <w:t>jsou</w:t>
            </w:r>
            <w:r w:rsidR="00630FA7">
              <w:rPr>
                <w:rFonts w:ascii="Times New Roman" w:eastAsia="Times New Roman" w:hAnsi="Times New Roman" w:cs="Times New Roman"/>
                <w:szCs w:val="20"/>
                <w:lang w:eastAsia="cs-CZ"/>
              </w:rPr>
              <w:t xml:space="preserve"> </w:t>
            </w:r>
            <w:r w:rsidR="00106773">
              <w:rPr>
                <w:rFonts w:ascii="Times New Roman" w:eastAsia="Times New Roman" w:hAnsi="Times New Roman" w:cs="Times New Roman"/>
                <w:szCs w:val="20"/>
                <w:lang w:eastAsia="cs-CZ"/>
              </w:rPr>
              <w:t>stále v</w:t>
            </w:r>
            <w:r w:rsidR="00103FA9">
              <w:rPr>
                <w:rFonts w:ascii="Times New Roman" w:eastAsia="Times New Roman" w:hAnsi="Times New Roman" w:cs="Times New Roman"/>
                <w:szCs w:val="20"/>
                <w:lang w:eastAsia="cs-CZ"/>
              </w:rPr>
              <w:t xml:space="preserve"> hodnoceném </w:t>
            </w:r>
            <w:r w:rsidR="00106773">
              <w:rPr>
                <w:rFonts w:ascii="Times New Roman" w:eastAsia="Times New Roman" w:hAnsi="Times New Roman" w:cs="Times New Roman"/>
                <w:szCs w:val="20"/>
                <w:lang w:eastAsia="cs-CZ"/>
              </w:rPr>
              <w:t xml:space="preserve">textu OP PIK </w:t>
            </w:r>
            <w:r w:rsidR="002D41E1" w:rsidRPr="0005690F">
              <w:rPr>
                <w:rFonts w:ascii="Times New Roman" w:eastAsia="Times New Roman" w:hAnsi="Times New Roman" w:cs="Times New Roman"/>
                <w:szCs w:val="20"/>
                <w:lang w:eastAsia="cs-CZ"/>
              </w:rPr>
              <w:t>zapracován</w:t>
            </w:r>
            <w:r w:rsidR="00106773">
              <w:rPr>
                <w:rFonts w:ascii="Times New Roman" w:eastAsia="Times New Roman" w:hAnsi="Times New Roman" w:cs="Times New Roman"/>
                <w:szCs w:val="20"/>
                <w:lang w:eastAsia="cs-CZ"/>
              </w:rPr>
              <w:t>y</w:t>
            </w:r>
            <w:r w:rsidR="002D41E1" w:rsidRPr="0005690F">
              <w:rPr>
                <w:rFonts w:ascii="Times New Roman" w:eastAsia="Times New Roman" w:hAnsi="Times New Roman" w:cs="Times New Roman"/>
                <w:szCs w:val="20"/>
                <w:lang w:eastAsia="cs-CZ"/>
              </w:rPr>
              <w:t xml:space="preserve"> pouze v</w:t>
            </w:r>
            <w:r w:rsidR="00417183" w:rsidRPr="0005690F">
              <w:rPr>
                <w:rFonts w:ascii="Times New Roman" w:eastAsia="Times New Roman" w:hAnsi="Times New Roman" w:cs="Times New Roman"/>
                <w:szCs w:val="20"/>
                <w:lang w:eastAsia="cs-CZ"/>
              </w:rPr>
              <w:t xml:space="preserve"> </w:t>
            </w:r>
            <w:r w:rsidR="002D41E1" w:rsidRPr="0005690F">
              <w:rPr>
                <w:rFonts w:ascii="Times New Roman" w:eastAsia="Times New Roman" w:hAnsi="Times New Roman" w:cs="Times New Roman"/>
                <w:szCs w:val="20"/>
                <w:lang w:eastAsia="cs-CZ"/>
              </w:rPr>
              <w:t>omezeném rozsahu</w:t>
            </w:r>
            <w:r w:rsidR="00106773">
              <w:rPr>
                <w:rFonts w:ascii="Times New Roman" w:eastAsia="Times New Roman" w:hAnsi="Times New Roman" w:cs="Times New Roman"/>
                <w:szCs w:val="20"/>
                <w:lang w:eastAsia="cs-CZ"/>
              </w:rPr>
              <w:t xml:space="preserve"> v </w:t>
            </w:r>
            <w:proofErr w:type="gramStart"/>
            <w:r w:rsidR="00106773">
              <w:rPr>
                <w:rFonts w:ascii="Times New Roman" w:eastAsia="Times New Roman" w:hAnsi="Times New Roman" w:cs="Times New Roman"/>
                <w:szCs w:val="20"/>
                <w:lang w:eastAsia="cs-CZ"/>
              </w:rPr>
              <w:t>kapitolách 2.A.</w:t>
            </w:r>
            <w:proofErr w:type="gramEnd"/>
            <w:r w:rsidR="00106773">
              <w:rPr>
                <w:rFonts w:ascii="Times New Roman" w:eastAsia="Times New Roman" w:hAnsi="Times New Roman" w:cs="Times New Roman"/>
                <w:szCs w:val="20"/>
                <w:lang w:eastAsia="cs-CZ"/>
              </w:rPr>
              <w:t xml:space="preserve">6.1. </w:t>
            </w:r>
          </w:p>
          <w:p w:rsidR="00317E75" w:rsidRDefault="00317E75" w:rsidP="003845B4">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Dostatečným způsobem jsou naproti tomu popsány z</w:t>
            </w:r>
            <w:r w:rsidR="00630FA7">
              <w:rPr>
                <w:rFonts w:ascii="Times New Roman" w:eastAsia="Times New Roman" w:hAnsi="Times New Roman" w:cs="Times New Roman"/>
                <w:szCs w:val="20"/>
                <w:lang w:eastAsia="cs-CZ"/>
              </w:rPr>
              <w:t>kušenosti s implementací OPPI 2007 – 2013</w:t>
            </w:r>
            <w:r>
              <w:rPr>
                <w:rFonts w:ascii="Times New Roman" w:eastAsia="Times New Roman" w:hAnsi="Times New Roman" w:cs="Times New Roman"/>
                <w:szCs w:val="20"/>
                <w:lang w:eastAsia="cs-CZ"/>
              </w:rPr>
              <w:t xml:space="preserve">, a to v rámci popisu plánovaných opatření specifických cílů PO 5 a také v </w:t>
            </w:r>
            <w:r w:rsidR="00112FF7">
              <w:rPr>
                <w:rFonts w:ascii="Times New Roman" w:eastAsia="Times New Roman" w:hAnsi="Times New Roman" w:cs="Times New Roman"/>
                <w:szCs w:val="20"/>
                <w:lang w:eastAsia="cs-CZ"/>
              </w:rPr>
              <w:t>o</w:t>
            </w:r>
            <w:r>
              <w:rPr>
                <w:rFonts w:ascii="Times New Roman" w:eastAsia="Times New Roman" w:hAnsi="Times New Roman" w:cs="Times New Roman"/>
                <w:szCs w:val="20"/>
                <w:lang w:eastAsia="cs-CZ"/>
              </w:rPr>
              <w:t>ddíl</w:t>
            </w:r>
            <w:r w:rsidR="00112FF7">
              <w:rPr>
                <w:rFonts w:ascii="Times New Roman" w:eastAsia="Times New Roman" w:hAnsi="Times New Roman" w:cs="Times New Roman"/>
                <w:szCs w:val="20"/>
                <w:lang w:eastAsia="cs-CZ"/>
              </w:rPr>
              <w:t>u</w:t>
            </w:r>
            <w:r>
              <w:rPr>
                <w:rFonts w:ascii="Times New Roman" w:eastAsia="Times New Roman" w:hAnsi="Times New Roman" w:cs="Times New Roman"/>
                <w:szCs w:val="20"/>
                <w:lang w:eastAsia="cs-CZ"/>
              </w:rPr>
              <w:t xml:space="preserve"> 10. </w:t>
            </w:r>
          </w:p>
          <w:p w:rsidR="00317E75" w:rsidRDefault="00317E75" w:rsidP="003845B4">
            <w:pPr>
              <w:rPr>
                <w:rFonts w:ascii="Times New Roman" w:eastAsia="Times New Roman" w:hAnsi="Times New Roman" w:cs="Times New Roman"/>
                <w:szCs w:val="20"/>
                <w:lang w:eastAsia="cs-CZ"/>
              </w:rPr>
            </w:pPr>
          </w:p>
          <w:p w:rsidR="00471AC7" w:rsidRPr="0005690F" w:rsidRDefault="00796461" w:rsidP="00112FF7">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Po doplnění textu nepovinné přílohy č. 1</w:t>
            </w:r>
            <w:r w:rsidR="00106773">
              <w:rPr>
                <w:rFonts w:ascii="Times New Roman" w:eastAsia="Times New Roman" w:hAnsi="Times New Roman" w:cs="Times New Roman"/>
                <w:szCs w:val="20"/>
                <w:lang w:eastAsia="cs-CZ"/>
              </w:rPr>
              <w:t xml:space="preserve"> doporučuje hodnotitel příslušné pasáže v </w:t>
            </w:r>
            <w:r w:rsidR="00112FF7">
              <w:rPr>
                <w:rFonts w:ascii="Times New Roman" w:eastAsia="Times New Roman" w:hAnsi="Times New Roman" w:cs="Times New Roman"/>
                <w:szCs w:val="20"/>
                <w:lang w:eastAsia="cs-CZ"/>
              </w:rPr>
              <w:t>o</w:t>
            </w:r>
            <w:r w:rsidR="00106773">
              <w:rPr>
                <w:rFonts w:ascii="Times New Roman" w:eastAsia="Times New Roman" w:hAnsi="Times New Roman" w:cs="Times New Roman"/>
                <w:szCs w:val="20"/>
                <w:lang w:eastAsia="cs-CZ"/>
              </w:rPr>
              <w:t>ddílu 2 buď zcela odstranit</w:t>
            </w:r>
            <w:r w:rsidR="00651741">
              <w:rPr>
                <w:rFonts w:ascii="Times New Roman" w:eastAsia="Times New Roman" w:hAnsi="Times New Roman" w:cs="Times New Roman"/>
                <w:szCs w:val="20"/>
                <w:lang w:eastAsia="cs-CZ"/>
              </w:rPr>
              <w:t>,</w:t>
            </w:r>
            <w:r w:rsidR="00106773">
              <w:rPr>
                <w:rFonts w:ascii="Times New Roman" w:eastAsia="Times New Roman" w:hAnsi="Times New Roman" w:cs="Times New Roman"/>
                <w:szCs w:val="20"/>
                <w:lang w:eastAsia="cs-CZ"/>
              </w:rPr>
              <w:t xml:space="preserve"> nebo vhodně provázat s nepovinnou přílohou</w:t>
            </w:r>
            <w:r w:rsidR="00651741">
              <w:rPr>
                <w:rFonts w:ascii="Times New Roman" w:eastAsia="Times New Roman" w:hAnsi="Times New Roman" w:cs="Times New Roman"/>
                <w:szCs w:val="20"/>
                <w:lang w:eastAsia="cs-CZ"/>
              </w:rPr>
              <w:t xml:space="preserve"> č. 1</w:t>
            </w:r>
            <w:r w:rsidR="00106773">
              <w:rPr>
                <w:rFonts w:ascii="Times New Roman" w:eastAsia="Times New Roman" w:hAnsi="Times New Roman" w:cs="Times New Roman"/>
                <w:szCs w:val="20"/>
                <w:lang w:eastAsia="cs-CZ"/>
              </w:rPr>
              <w:t xml:space="preserve"> tak, aby nedocházelo ke zbytečné duplicitě informací</w:t>
            </w:r>
            <w:r w:rsidR="00371FBE">
              <w:rPr>
                <w:rFonts w:ascii="Times New Roman" w:eastAsia="Times New Roman" w:hAnsi="Times New Roman" w:cs="Times New Roman"/>
                <w:szCs w:val="20"/>
                <w:lang w:eastAsia="cs-CZ"/>
              </w:rPr>
              <w:t>.</w:t>
            </w:r>
            <w:r w:rsidR="005D76EF" w:rsidRPr="0005690F">
              <w:rPr>
                <w:rFonts w:ascii="Times New Roman" w:hAnsi="Times New Roman" w:cs="Times New Roman"/>
                <w:szCs w:val="20"/>
              </w:rPr>
              <w:t xml:space="preserve"> </w:t>
            </w:r>
          </w:p>
        </w:tc>
      </w:tr>
      <w:tr w:rsidR="00471AC7" w:rsidRPr="0005690F" w:rsidTr="00274A5F">
        <w:trPr>
          <w:trHeight w:val="810"/>
        </w:trPr>
        <w:tc>
          <w:tcPr>
            <w:tcW w:w="880" w:type="dxa"/>
            <w:shd w:val="clear" w:color="000000" w:fill="C5D9F1"/>
            <w:hideMark/>
          </w:tcPr>
          <w:p w:rsidR="00471AC7" w:rsidRPr="0005690F" w:rsidRDefault="00471AC7"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01.8</w:t>
            </w:r>
          </w:p>
        </w:tc>
        <w:tc>
          <w:tcPr>
            <w:tcW w:w="2823" w:type="dxa"/>
            <w:shd w:val="clear" w:color="000000" w:fill="C5D9F1"/>
            <w:hideMark/>
          </w:tcPr>
          <w:p w:rsidR="00471AC7" w:rsidRPr="0005690F" w:rsidRDefault="00471AC7"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Jsou specifické cíle programu dostatečně konkrétní, měřitelné a dosažitelné tak, že se dá předpokládat, že přispějí k dosažení cílů strategie Evropa 2020?</w:t>
            </w:r>
          </w:p>
        </w:tc>
        <w:tc>
          <w:tcPr>
            <w:tcW w:w="1559" w:type="dxa"/>
            <w:shd w:val="clear" w:color="000000" w:fill="C5D9F1"/>
            <w:vAlign w:val="center"/>
            <w:hideMark/>
          </w:tcPr>
          <w:p w:rsidR="00471AC7" w:rsidRPr="0005690F" w:rsidRDefault="00E7304A" w:rsidP="00E3482A">
            <w:pPr>
              <w:jc w:val="cente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S</w:t>
            </w:r>
            <w:r w:rsidR="009B67D0" w:rsidRPr="0005690F">
              <w:rPr>
                <w:rFonts w:ascii="Times New Roman" w:eastAsia="Times New Roman" w:hAnsi="Times New Roman" w:cs="Times New Roman"/>
                <w:szCs w:val="20"/>
                <w:lang w:eastAsia="cs-CZ"/>
              </w:rPr>
              <w:t>A</w:t>
            </w:r>
          </w:p>
        </w:tc>
        <w:tc>
          <w:tcPr>
            <w:tcW w:w="3969" w:type="dxa"/>
            <w:shd w:val="clear" w:color="000000" w:fill="C5D9F1"/>
            <w:hideMark/>
          </w:tcPr>
          <w:p w:rsidR="00751767" w:rsidRPr="0005690F" w:rsidRDefault="00A72AE4"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H</w:t>
            </w:r>
            <w:r w:rsidR="00FB64BD" w:rsidRPr="0005690F">
              <w:rPr>
                <w:rFonts w:ascii="Times New Roman" w:eastAsia="Times New Roman" w:hAnsi="Times New Roman" w:cs="Times New Roman"/>
                <w:szCs w:val="20"/>
                <w:lang w:eastAsia="cs-CZ"/>
              </w:rPr>
              <w:t xml:space="preserve">odnotitel </w:t>
            </w:r>
            <w:r w:rsidR="002D41E1" w:rsidRPr="0005690F">
              <w:rPr>
                <w:rFonts w:ascii="Times New Roman" w:eastAsia="Times New Roman" w:hAnsi="Times New Roman" w:cs="Times New Roman"/>
                <w:szCs w:val="20"/>
                <w:lang w:eastAsia="cs-CZ"/>
              </w:rPr>
              <w:t xml:space="preserve">eviduje </w:t>
            </w:r>
            <w:r w:rsidR="00FB64BD" w:rsidRPr="0005690F">
              <w:rPr>
                <w:rFonts w:ascii="Times New Roman" w:eastAsia="Times New Roman" w:hAnsi="Times New Roman" w:cs="Times New Roman"/>
                <w:szCs w:val="20"/>
                <w:lang w:eastAsia="cs-CZ"/>
              </w:rPr>
              <w:t>rozdíly mezi jednotlivými specifickými cíl</w:t>
            </w:r>
            <w:r w:rsidR="00524F40" w:rsidRPr="0005690F">
              <w:rPr>
                <w:rFonts w:ascii="Times New Roman" w:eastAsia="Times New Roman" w:hAnsi="Times New Roman" w:cs="Times New Roman"/>
                <w:szCs w:val="20"/>
                <w:lang w:eastAsia="cs-CZ"/>
              </w:rPr>
              <w:t>i</w:t>
            </w:r>
            <w:r w:rsidR="00FB64BD" w:rsidRPr="0005690F">
              <w:rPr>
                <w:rFonts w:ascii="Times New Roman" w:eastAsia="Times New Roman" w:hAnsi="Times New Roman" w:cs="Times New Roman"/>
                <w:szCs w:val="20"/>
                <w:lang w:eastAsia="cs-CZ"/>
              </w:rPr>
              <w:t xml:space="preserve"> OP PIK, co se týká jejích </w:t>
            </w:r>
            <w:r w:rsidR="00FB64BD" w:rsidRPr="0005690F">
              <w:rPr>
                <w:rFonts w:ascii="Times New Roman" w:eastAsia="Times New Roman" w:hAnsi="Times New Roman" w:cs="Times New Roman"/>
                <w:szCs w:val="20"/>
                <w:u w:val="single"/>
                <w:lang w:eastAsia="cs-CZ"/>
              </w:rPr>
              <w:t>konkrétnosti</w:t>
            </w:r>
            <w:r w:rsidR="00751767" w:rsidRPr="0005690F">
              <w:rPr>
                <w:rFonts w:ascii="Times New Roman" w:eastAsia="Times New Roman" w:hAnsi="Times New Roman" w:cs="Times New Roman"/>
                <w:szCs w:val="20"/>
                <w:u w:val="single"/>
                <w:lang w:eastAsia="cs-CZ"/>
              </w:rPr>
              <w:t xml:space="preserve"> a měřitelnosti</w:t>
            </w:r>
            <w:r w:rsidR="00751767" w:rsidRPr="0005690F">
              <w:rPr>
                <w:rFonts w:ascii="Times New Roman" w:eastAsia="Times New Roman" w:hAnsi="Times New Roman" w:cs="Times New Roman"/>
                <w:szCs w:val="20"/>
                <w:lang w:eastAsia="cs-CZ"/>
              </w:rPr>
              <w:t>.</w:t>
            </w:r>
          </w:p>
          <w:p w:rsidR="00751767" w:rsidRPr="0005690F" w:rsidRDefault="00F81921"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i) z</w:t>
            </w:r>
            <w:r w:rsidR="00751767" w:rsidRPr="0005690F">
              <w:rPr>
                <w:rFonts w:ascii="Times New Roman" w:eastAsia="Times New Roman" w:hAnsi="Times New Roman" w:cs="Times New Roman"/>
                <w:szCs w:val="20"/>
                <w:lang w:eastAsia="cs-CZ"/>
              </w:rPr>
              <w:t>a velmi konkrétní a měřitelné lze považovat formulované specifické cíle:</w:t>
            </w:r>
          </w:p>
          <w:p w:rsidR="00751767" w:rsidRPr="00201CFD" w:rsidRDefault="00751767" w:rsidP="00751767">
            <w:pPr>
              <w:ind w:left="355"/>
              <w:rPr>
                <w:rFonts w:ascii="Times New Roman" w:eastAsia="Times New Roman" w:hAnsi="Times New Roman" w:cs="Times New Roman"/>
                <w:i/>
                <w:szCs w:val="20"/>
                <w:lang w:eastAsia="cs-CZ"/>
              </w:rPr>
            </w:pPr>
            <w:r w:rsidRPr="0005690F">
              <w:rPr>
                <w:rFonts w:ascii="Times New Roman" w:eastAsia="Times New Roman" w:hAnsi="Times New Roman" w:cs="Times New Roman"/>
                <w:szCs w:val="20"/>
                <w:lang w:eastAsia="cs-CZ"/>
              </w:rPr>
              <w:t>2</w:t>
            </w:r>
            <w:r w:rsidRPr="00201CFD">
              <w:rPr>
                <w:rFonts w:ascii="Times New Roman" w:eastAsia="Times New Roman" w:hAnsi="Times New Roman" w:cs="Times New Roman"/>
                <w:i/>
                <w:szCs w:val="20"/>
                <w:lang w:eastAsia="cs-CZ"/>
              </w:rPr>
              <w:t>.1 - Zvýšit počet nových podnikatelských záměrů začínajících a rozvojových podniků</w:t>
            </w:r>
          </w:p>
          <w:p w:rsidR="00751767" w:rsidRPr="00201CFD" w:rsidRDefault="00751767" w:rsidP="00751767">
            <w:pPr>
              <w:ind w:left="355"/>
              <w:rPr>
                <w:rFonts w:ascii="Times New Roman" w:eastAsia="Times New Roman" w:hAnsi="Times New Roman" w:cs="Times New Roman"/>
                <w:i/>
                <w:szCs w:val="20"/>
                <w:lang w:eastAsia="cs-CZ"/>
              </w:rPr>
            </w:pPr>
            <w:r w:rsidRPr="00201CFD">
              <w:rPr>
                <w:rFonts w:ascii="Times New Roman" w:eastAsia="Times New Roman" w:hAnsi="Times New Roman" w:cs="Times New Roman"/>
                <w:i/>
                <w:szCs w:val="20"/>
                <w:lang w:eastAsia="cs-CZ"/>
              </w:rPr>
              <w:t>3.1 - Zvýšit podíl výroby energie z obnovitelných zdrojů na hrubé konečné spotřebě ČR</w:t>
            </w:r>
          </w:p>
          <w:p w:rsidR="00751767" w:rsidRPr="0005690F" w:rsidRDefault="00751767"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Tyto specifické cíle již přímo ve svém názvu obsahují měřitelný parametr (počet, podíl).</w:t>
            </w:r>
          </w:p>
          <w:p w:rsidR="00865D79" w:rsidRPr="0005690F" w:rsidRDefault="00865D79" w:rsidP="00A1343C">
            <w:pPr>
              <w:rPr>
                <w:rFonts w:ascii="Times New Roman" w:eastAsia="Times New Roman" w:hAnsi="Times New Roman" w:cs="Times New Roman"/>
                <w:szCs w:val="20"/>
                <w:lang w:eastAsia="cs-CZ"/>
              </w:rPr>
            </w:pPr>
          </w:p>
          <w:p w:rsidR="00751767" w:rsidRPr="0005690F" w:rsidRDefault="00F81921" w:rsidP="00A1343C">
            <w:pPr>
              <w:rPr>
                <w:rFonts w:ascii="Times New Roman" w:eastAsia="Times New Roman" w:hAnsi="Times New Roman" w:cs="Times New Roman"/>
                <w:szCs w:val="20"/>
                <w:lang w:eastAsia="cs-CZ"/>
              </w:rPr>
            </w:pPr>
            <w:proofErr w:type="spellStart"/>
            <w:r w:rsidRPr="0005690F">
              <w:rPr>
                <w:rFonts w:ascii="Times New Roman" w:eastAsia="Times New Roman" w:hAnsi="Times New Roman" w:cs="Times New Roman"/>
                <w:szCs w:val="20"/>
                <w:lang w:eastAsia="cs-CZ"/>
              </w:rPr>
              <w:t>ii</w:t>
            </w:r>
            <w:proofErr w:type="spellEnd"/>
            <w:r w:rsidRPr="0005690F">
              <w:rPr>
                <w:rFonts w:ascii="Times New Roman" w:eastAsia="Times New Roman" w:hAnsi="Times New Roman" w:cs="Times New Roman"/>
                <w:szCs w:val="20"/>
                <w:lang w:eastAsia="cs-CZ"/>
              </w:rPr>
              <w:t>) p</w:t>
            </w:r>
            <w:r w:rsidR="00751767" w:rsidRPr="0005690F">
              <w:rPr>
                <w:rFonts w:ascii="Times New Roman" w:eastAsia="Times New Roman" w:hAnsi="Times New Roman" w:cs="Times New Roman"/>
                <w:szCs w:val="20"/>
                <w:lang w:eastAsia="cs-CZ"/>
              </w:rPr>
              <w:t xml:space="preserve">řijatelným způsobem jsou </w:t>
            </w:r>
            <w:r w:rsidR="00865D79" w:rsidRPr="0005690F">
              <w:rPr>
                <w:rFonts w:ascii="Times New Roman" w:eastAsia="Times New Roman" w:hAnsi="Times New Roman" w:cs="Times New Roman"/>
                <w:szCs w:val="20"/>
                <w:lang w:eastAsia="cs-CZ"/>
              </w:rPr>
              <w:t xml:space="preserve">z pohledu konkrétnosti a měřitelnosti </w:t>
            </w:r>
            <w:r w:rsidR="00751767" w:rsidRPr="0005690F">
              <w:rPr>
                <w:rFonts w:ascii="Times New Roman" w:eastAsia="Times New Roman" w:hAnsi="Times New Roman" w:cs="Times New Roman"/>
                <w:szCs w:val="20"/>
                <w:lang w:eastAsia="cs-CZ"/>
              </w:rPr>
              <w:t>formulovány</w:t>
            </w:r>
            <w:r w:rsidR="00865D79" w:rsidRPr="0005690F">
              <w:rPr>
                <w:rFonts w:ascii="Times New Roman" w:eastAsia="Times New Roman" w:hAnsi="Times New Roman" w:cs="Times New Roman"/>
                <w:szCs w:val="20"/>
                <w:lang w:eastAsia="cs-CZ"/>
              </w:rPr>
              <w:t xml:space="preserve"> </w:t>
            </w:r>
            <w:r w:rsidR="00751767" w:rsidRPr="0005690F">
              <w:rPr>
                <w:rFonts w:ascii="Times New Roman" w:eastAsia="Times New Roman" w:hAnsi="Times New Roman" w:cs="Times New Roman"/>
                <w:szCs w:val="20"/>
                <w:lang w:eastAsia="cs-CZ"/>
              </w:rPr>
              <w:t>specifické cíle:</w:t>
            </w:r>
          </w:p>
          <w:p w:rsidR="00865D79" w:rsidRPr="00201CFD" w:rsidRDefault="00865D79" w:rsidP="00865D79">
            <w:pPr>
              <w:ind w:left="355"/>
              <w:rPr>
                <w:rFonts w:ascii="Times New Roman" w:eastAsia="Times New Roman" w:hAnsi="Times New Roman" w:cs="Times New Roman"/>
                <w:i/>
                <w:szCs w:val="20"/>
                <w:lang w:eastAsia="cs-CZ"/>
              </w:rPr>
            </w:pPr>
            <w:r w:rsidRPr="00201CFD">
              <w:rPr>
                <w:rFonts w:ascii="Times New Roman" w:eastAsia="Times New Roman" w:hAnsi="Times New Roman" w:cs="Times New Roman"/>
                <w:i/>
                <w:szCs w:val="20"/>
                <w:lang w:eastAsia="cs-CZ"/>
              </w:rPr>
              <w:lastRenderedPageBreak/>
              <w:t>1.1 - Zvýšit inovační výkonnost podniků</w:t>
            </w:r>
          </w:p>
          <w:p w:rsidR="00865D79" w:rsidRPr="00201CFD" w:rsidRDefault="00865D79" w:rsidP="00865D79">
            <w:pPr>
              <w:ind w:left="355"/>
              <w:rPr>
                <w:rFonts w:ascii="Times New Roman" w:eastAsia="Times New Roman" w:hAnsi="Times New Roman" w:cs="Times New Roman"/>
                <w:i/>
                <w:szCs w:val="20"/>
                <w:lang w:eastAsia="cs-CZ"/>
              </w:rPr>
            </w:pPr>
            <w:r w:rsidRPr="00201CFD">
              <w:rPr>
                <w:rFonts w:ascii="Times New Roman" w:eastAsia="Times New Roman" w:hAnsi="Times New Roman" w:cs="Times New Roman"/>
                <w:i/>
                <w:szCs w:val="20"/>
                <w:lang w:eastAsia="cs-CZ"/>
              </w:rPr>
              <w:t>1.2 – Zvýšit intenzitu a účinnost spolupráce ve výzkumu, vývoji a inovacích</w:t>
            </w:r>
          </w:p>
          <w:p w:rsidR="00A5042D" w:rsidRPr="00201CFD" w:rsidRDefault="00A5042D" w:rsidP="00A5042D">
            <w:pPr>
              <w:ind w:left="355"/>
              <w:rPr>
                <w:rFonts w:ascii="Times New Roman" w:eastAsia="Times New Roman" w:hAnsi="Times New Roman" w:cs="Times New Roman"/>
                <w:i/>
                <w:szCs w:val="20"/>
                <w:lang w:eastAsia="cs-CZ"/>
              </w:rPr>
            </w:pPr>
            <w:r w:rsidRPr="00201CFD">
              <w:rPr>
                <w:rFonts w:ascii="Times New Roman" w:eastAsia="Times New Roman" w:hAnsi="Times New Roman" w:cs="Times New Roman"/>
                <w:i/>
                <w:szCs w:val="20"/>
                <w:lang w:eastAsia="cs-CZ"/>
              </w:rPr>
              <w:t>2.2 - Zvýšit internacionalizaci malých a středních podniků</w:t>
            </w:r>
          </w:p>
          <w:p w:rsidR="00651741" w:rsidRPr="00201CFD" w:rsidRDefault="00651741" w:rsidP="00651741">
            <w:pPr>
              <w:ind w:left="355"/>
              <w:rPr>
                <w:rFonts w:ascii="Times New Roman" w:eastAsia="Times New Roman" w:hAnsi="Times New Roman" w:cs="Times New Roman"/>
                <w:i/>
                <w:szCs w:val="20"/>
                <w:lang w:eastAsia="cs-CZ"/>
              </w:rPr>
            </w:pPr>
            <w:r w:rsidRPr="00201CFD">
              <w:rPr>
                <w:rFonts w:ascii="Times New Roman" w:eastAsia="Times New Roman" w:hAnsi="Times New Roman" w:cs="Times New Roman"/>
                <w:i/>
                <w:szCs w:val="20"/>
                <w:lang w:eastAsia="cs-CZ"/>
              </w:rPr>
              <w:t>2.3 – Zvýšit využitelnost infrastruktury pro podnikání</w:t>
            </w:r>
          </w:p>
          <w:p w:rsidR="00865D79" w:rsidRPr="00201CFD" w:rsidRDefault="00865D79" w:rsidP="00865D79">
            <w:pPr>
              <w:ind w:left="355"/>
              <w:rPr>
                <w:rFonts w:ascii="Times New Roman" w:eastAsia="Times New Roman" w:hAnsi="Times New Roman" w:cs="Times New Roman"/>
                <w:i/>
                <w:szCs w:val="20"/>
                <w:lang w:eastAsia="cs-CZ"/>
              </w:rPr>
            </w:pPr>
            <w:r w:rsidRPr="00201CFD">
              <w:rPr>
                <w:rFonts w:ascii="Times New Roman" w:eastAsia="Times New Roman" w:hAnsi="Times New Roman" w:cs="Times New Roman"/>
                <w:i/>
                <w:szCs w:val="20"/>
                <w:lang w:eastAsia="cs-CZ"/>
              </w:rPr>
              <w:t>3.2 – Zvýšit energetickou účinnost podnikatelského sektoru</w:t>
            </w:r>
          </w:p>
          <w:p w:rsidR="00865D79" w:rsidRPr="00201CFD" w:rsidRDefault="00865D79" w:rsidP="00865D79">
            <w:pPr>
              <w:ind w:left="355"/>
              <w:rPr>
                <w:rFonts w:ascii="Times New Roman" w:eastAsia="Times New Roman" w:hAnsi="Times New Roman" w:cs="Times New Roman"/>
                <w:i/>
                <w:szCs w:val="20"/>
                <w:lang w:eastAsia="cs-CZ"/>
              </w:rPr>
            </w:pPr>
            <w:r w:rsidRPr="00201CFD">
              <w:rPr>
                <w:rFonts w:ascii="Times New Roman" w:eastAsia="Times New Roman" w:hAnsi="Times New Roman" w:cs="Times New Roman"/>
                <w:i/>
                <w:szCs w:val="20"/>
                <w:lang w:eastAsia="cs-CZ"/>
              </w:rPr>
              <w:t xml:space="preserve">3.5 – Zvýšit </w:t>
            </w:r>
            <w:r w:rsidR="003845B4" w:rsidRPr="00201CFD">
              <w:rPr>
                <w:rFonts w:ascii="Times New Roman" w:eastAsia="Times New Roman" w:hAnsi="Times New Roman" w:cs="Times New Roman"/>
                <w:i/>
                <w:szCs w:val="20"/>
                <w:lang w:eastAsia="cs-CZ"/>
              </w:rPr>
              <w:t>účinnost</w:t>
            </w:r>
            <w:r w:rsidRPr="00201CFD">
              <w:rPr>
                <w:rFonts w:ascii="Times New Roman" w:eastAsia="Times New Roman" w:hAnsi="Times New Roman" w:cs="Times New Roman"/>
                <w:i/>
                <w:szCs w:val="20"/>
                <w:lang w:eastAsia="cs-CZ"/>
              </w:rPr>
              <w:t xml:space="preserve"> soustav zásobování teplem</w:t>
            </w:r>
          </w:p>
          <w:p w:rsidR="003845B4" w:rsidRPr="00201CFD" w:rsidRDefault="003845B4" w:rsidP="00865D79">
            <w:pPr>
              <w:ind w:left="355"/>
              <w:rPr>
                <w:rFonts w:ascii="Times New Roman" w:eastAsia="Times New Roman" w:hAnsi="Times New Roman" w:cs="Times New Roman"/>
                <w:i/>
                <w:szCs w:val="20"/>
                <w:lang w:eastAsia="cs-CZ"/>
              </w:rPr>
            </w:pPr>
            <w:r w:rsidRPr="00201CFD">
              <w:rPr>
                <w:rFonts w:ascii="Times New Roman" w:eastAsia="Times New Roman" w:hAnsi="Times New Roman" w:cs="Times New Roman"/>
                <w:i/>
                <w:szCs w:val="20"/>
                <w:lang w:eastAsia="cs-CZ"/>
              </w:rPr>
              <w:t xml:space="preserve">3.6 - Posílit energetickou bezpečnost přenosové soustavy </w:t>
            </w:r>
          </w:p>
          <w:p w:rsidR="00865D79" w:rsidRDefault="00865D79" w:rsidP="00865D79">
            <w:pPr>
              <w:ind w:left="355"/>
              <w:rPr>
                <w:rFonts w:ascii="Times New Roman" w:eastAsia="Times New Roman" w:hAnsi="Times New Roman" w:cs="Times New Roman"/>
                <w:i/>
                <w:szCs w:val="20"/>
                <w:lang w:eastAsia="cs-CZ"/>
              </w:rPr>
            </w:pPr>
            <w:r w:rsidRPr="00201CFD">
              <w:rPr>
                <w:rFonts w:ascii="Times New Roman" w:eastAsia="Times New Roman" w:hAnsi="Times New Roman" w:cs="Times New Roman"/>
                <w:i/>
                <w:szCs w:val="20"/>
                <w:lang w:eastAsia="cs-CZ"/>
              </w:rPr>
              <w:t>4.1 - Zvětšit pokrytí vysokorychlostním přístupem k</w:t>
            </w:r>
            <w:r w:rsidR="00201CFD">
              <w:rPr>
                <w:rFonts w:ascii="Times New Roman" w:eastAsia="Times New Roman" w:hAnsi="Times New Roman" w:cs="Times New Roman"/>
                <w:i/>
                <w:szCs w:val="20"/>
                <w:lang w:eastAsia="cs-CZ"/>
              </w:rPr>
              <w:t> </w:t>
            </w:r>
            <w:r w:rsidRPr="00201CFD">
              <w:rPr>
                <w:rFonts w:ascii="Times New Roman" w:eastAsia="Times New Roman" w:hAnsi="Times New Roman" w:cs="Times New Roman"/>
                <w:i/>
                <w:szCs w:val="20"/>
                <w:lang w:eastAsia="cs-CZ"/>
              </w:rPr>
              <w:t>internetu</w:t>
            </w:r>
          </w:p>
          <w:p w:rsidR="00201CFD" w:rsidRPr="00201CFD" w:rsidRDefault="00201CFD" w:rsidP="00201CFD">
            <w:pPr>
              <w:ind w:left="355"/>
              <w:rPr>
                <w:rFonts w:ascii="Times New Roman" w:eastAsia="Times New Roman" w:hAnsi="Times New Roman" w:cs="Times New Roman"/>
                <w:i/>
                <w:szCs w:val="20"/>
                <w:lang w:eastAsia="cs-CZ"/>
              </w:rPr>
            </w:pPr>
            <w:r w:rsidRPr="00201CFD">
              <w:rPr>
                <w:rFonts w:ascii="Times New Roman" w:eastAsia="Times New Roman" w:hAnsi="Times New Roman" w:cs="Times New Roman"/>
                <w:i/>
                <w:szCs w:val="20"/>
                <w:lang w:eastAsia="cs-CZ"/>
              </w:rPr>
              <w:t>5.1 – Zajištění řádného a efektivního řízení a administrace operačního programu</w:t>
            </w:r>
          </w:p>
          <w:p w:rsidR="00201CFD" w:rsidRPr="0005690F" w:rsidRDefault="00201CFD" w:rsidP="00201CFD">
            <w:pPr>
              <w:ind w:left="355"/>
              <w:rPr>
                <w:rFonts w:ascii="Times New Roman" w:eastAsia="Times New Roman" w:hAnsi="Times New Roman" w:cs="Times New Roman"/>
                <w:szCs w:val="20"/>
                <w:lang w:eastAsia="cs-CZ"/>
              </w:rPr>
            </w:pPr>
            <w:r w:rsidRPr="00201CFD">
              <w:rPr>
                <w:rFonts w:ascii="Times New Roman" w:eastAsia="Times New Roman" w:hAnsi="Times New Roman" w:cs="Times New Roman"/>
                <w:i/>
                <w:szCs w:val="20"/>
                <w:lang w:eastAsia="cs-CZ"/>
              </w:rPr>
              <w:t>5.2 – Zajištění informovanosti, publicity a absorpční kapacity operačního programu</w:t>
            </w:r>
          </w:p>
          <w:p w:rsidR="00865D79" w:rsidRPr="0005690F" w:rsidRDefault="00417183" w:rsidP="00865D79">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S využitím</w:t>
            </w:r>
            <w:r w:rsidR="00865D79" w:rsidRPr="0005690F">
              <w:rPr>
                <w:rFonts w:ascii="Times New Roman" w:eastAsia="Times New Roman" w:hAnsi="Times New Roman" w:cs="Times New Roman"/>
                <w:szCs w:val="20"/>
                <w:lang w:eastAsia="cs-CZ"/>
              </w:rPr>
              <w:t xml:space="preserve"> vhodných </w:t>
            </w:r>
            <w:r w:rsidR="00651741">
              <w:rPr>
                <w:rFonts w:ascii="Times New Roman" w:eastAsia="Times New Roman" w:hAnsi="Times New Roman" w:cs="Times New Roman"/>
                <w:szCs w:val="20"/>
                <w:lang w:eastAsia="cs-CZ"/>
              </w:rPr>
              <w:t>ukazatelů</w:t>
            </w:r>
            <w:r w:rsidR="00865D79" w:rsidRPr="0005690F">
              <w:rPr>
                <w:rFonts w:ascii="Times New Roman" w:eastAsia="Times New Roman" w:hAnsi="Times New Roman" w:cs="Times New Roman"/>
                <w:szCs w:val="20"/>
                <w:lang w:eastAsia="cs-CZ"/>
              </w:rPr>
              <w:t xml:space="preserve"> </w:t>
            </w:r>
            <w:r w:rsidR="009E5BE4" w:rsidRPr="009E5BE4">
              <w:rPr>
                <w:rFonts w:ascii="Times New Roman" w:eastAsia="Times New Roman" w:hAnsi="Times New Roman" w:cs="Times New Roman"/>
                <w:szCs w:val="20"/>
                <w:lang w:eastAsia="cs-CZ"/>
              </w:rPr>
              <w:t xml:space="preserve">je </w:t>
            </w:r>
            <w:r w:rsidR="00796461">
              <w:rPr>
                <w:rFonts w:ascii="Times New Roman" w:eastAsia="Times New Roman" w:hAnsi="Times New Roman" w:cs="Times New Roman"/>
                <w:szCs w:val="20"/>
                <w:lang w:eastAsia="cs-CZ"/>
              </w:rPr>
              <w:t>možné</w:t>
            </w:r>
            <w:r w:rsidR="00865D79" w:rsidRPr="0005690F">
              <w:rPr>
                <w:rFonts w:ascii="Times New Roman" w:eastAsia="Times New Roman" w:hAnsi="Times New Roman" w:cs="Times New Roman"/>
                <w:szCs w:val="20"/>
                <w:lang w:eastAsia="cs-CZ"/>
              </w:rPr>
              <w:t xml:space="preserve"> tyto specifické cíle považovat za relativně dobře měřitelné.</w:t>
            </w:r>
          </w:p>
          <w:p w:rsidR="00442A0B" w:rsidRPr="0005690F" w:rsidRDefault="00442A0B" w:rsidP="00865D79">
            <w:pPr>
              <w:rPr>
                <w:rFonts w:ascii="Times New Roman" w:eastAsia="Times New Roman" w:hAnsi="Times New Roman" w:cs="Times New Roman"/>
                <w:szCs w:val="20"/>
                <w:lang w:eastAsia="cs-CZ"/>
              </w:rPr>
            </w:pPr>
          </w:p>
          <w:p w:rsidR="00442A0B" w:rsidRPr="0005690F" w:rsidRDefault="00F81921" w:rsidP="00865D79">
            <w:pPr>
              <w:rPr>
                <w:rFonts w:ascii="Times New Roman" w:eastAsia="Times New Roman" w:hAnsi="Times New Roman" w:cs="Times New Roman"/>
                <w:szCs w:val="20"/>
                <w:lang w:eastAsia="cs-CZ"/>
              </w:rPr>
            </w:pPr>
            <w:proofErr w:type="spellStart"/>
            <w:r w:rsidRPr="0005690F">
              <w:rPr>
                <w:rFonts w:ascii="Times New Roman" w:eastAsia="Times New Roman" w:hAnsi="Times New Roman" w:cs="Times New Roman"/>
                <w:szCs w:val="20"/>
                <w:lang w:eastAsia="cs-CZ"/>
              </w:rPr>
              <w:t>iii</w:t>
            </w:r>
            <w:proofErr w:type="spellEnd"/>
            <w:r w:rsidRPr="0005690F">
              <w:rPr>
                <w:rFonts w:ascii="Times New Roman" w:eastAsia="Times New Roman" w:hAnsi="Times New Roman" w:cs="Times New Roman"/>
                <w:szCs w:val="20"/>
                <w:lang w:eastAsia="cs-CZ"/>
              </w:rPr>
              <w:t>) z</w:t>
            </w:r>
            <w:r w:rsidR="00442A0B" w:rsidRPr="0005690F">
              <w:rPr>
                <w:rFonts w:ascii="Times New Roman" w:eastAsia="Times New Roman" w:hAnsi="Times New Roman" w:cs="Times New Roman"/>
                <w:szCs w:val="20"/>
                <w:lang w:eastAsia="cs-CZ"/>
              </w:rPr>
              <w:t xml:space="preserve">a </w:t>
            </w:r>
            <w:r w:rsidR="00A5042D" w:rsidRPr="0005690F">
              <w:rPr>
                <w:rFonts w:ascii="Times New Roman" w:eastAsia="Times New Roman" w:hAnsi="Times New Roman" w:cs="Times New Roman"/>
                <w:szCs w:val="20"/>
                <w:lang w:eastAsia="cs-CZ"/>
              </w:rPr>
              <w:t xml:space="preserve">poněkud </w:t>
            </w:r>
            <w:r w:rsidR="00442A0B" w:rsidRPr="0005690F">
              <w:rPr>
                <w:rFonts w:ascii="Times New Roman" w:eastAsia="Times New Roman" w:hAnsi="Times New Roman" w:cs="Times New Roman"/>
                <w:szCs w:val="20"/>
                <w:lang w:eastAsia="cs-CZ"/>
              </w:rPr>
              <w:t>problematické</w:t>
            </w:r>
            <w:r w:rsidR="00F85B82">
              <w:rPr>
                <w:rFonts w:ascii="Times New Roman" w:eastAsia="Times New Roman" w:hAnsi="Times New Roman" w:cs="Times New Roman"/>
                <w:szCs w:val="20"/>
                <w:lang w:eastAsia="cs-CZ"/>
              </w:rPr>
              <w:t xml:space="preserve"> </w:t>
            </w:r>
            <w:r w:rsidR="00442A0B" w:rsidRPr="0005690F">
              <w:rPr>
                <w:rFonts w:ascii="Times New Roman" w:eastAsia="Times New Roman" w:hAnsi="Times New Roman" w:cs="Times New Roman"/>
                <w:szCs w:val="20"/>
                <w:lang w:eastAsia="cs-CZ"/>
              </w:rPr>
              <w:t>z pohledu konkrétnosti a měřitelnosti považuje hodnotitel formulované specifické cíle:</w:t>
            </w:r>
          </w:p>
          <w:p w:rsidR="00442A0B" w:rsidRPr="00201CFD" w:rsidRDefault="00442A0B" w:rsidP="00442A0B">
            <w:pPr>
              <w:ind w:left="355"/>
              <w:rPr>
                <w:rFonts w:ascii="Times New Roman" w:eastAsia="Times New Roman" w:hAnsi="Times New Roman" w:cs="Times New Roman"/>
                <w:i/>
                <w:szCs w:val="20"/>
                <w:lang w:eastAsia="cs-CZ"/>
              </w:rPr>
            </w:pPr>
            <w:r w:rsidRPr="00201CFD">
              <w:rPr>
                <w:rFonts w:ascii="Times New Roman" w:eastAsia="Times New Roman" w:hAnsi="Times New Roman" w:cs="Times New Roman"/>
                <w:i/>
                <w:szCs w:val="20"/>
                <w:lang w:eastAsia="cs-CZ"/>
              </w:rPr>
              <w:t>2.4 - Zkvalitnit infrastrukturu pro rozvoj lidských zdrojů v podnikatelském sektoru s důrazem na technické odborné vzdělávání</w:t>
            </w:r>
          </w:p>
          <w:p w:rsidR="00130EAF" w:rsidRPr="00201CFD" w:rsidRDefault="00130EAF" w:rsidP="00130EAF">
            <w:pPr>
              <w:ind w:left="355"/>
              <w:rPr>
                <w:rFonts w:ascii="Times New Roman" w:eastAsia="Times New Roman" w:hAnsi="Times New Roman" w:cs="Times New Roman"/>
                <w:i/>
                <w:szCs w:val="20"/>
                <w:lang w:eastAsia="cs-CZ"/>
              </w:rPr>
            </w:pPr>
            <w:r w:rsidRPr="00201CFD">
              <w:rPr>
                <w:rFonts w:ascii="Times New Roman" w:eastAsia="Times New Roman" w:hAnsi="Times New Roman" w:cs="Times New Roman"/>
                <w:i/>
                <w:szCs w:val="20"/>
                <w:lang w:eastAsia="cs-CZ"/>
              </w:rPr>
              <w:t>3.3 – Zvýšit aplikaci prvků inteligentních sítí v distribučních soustavách</w:t>
            </w:r>
          </w:p>
          <w:p w:rsidR="00417183" w:rsidRPr="00201CFD" w:rsidRDefault="00417183" w:rsidP="00417183">
            <w:pPr>
              <w:ind w:left="355"/>
              <w:rPr>
                <w:rFonts w:ascii="Times New Roman" w:eastAsia="Times New Roman" w:hAnsi="Times New Roman" w:cs="Times New Roman"/>
                <w:i/>
                <w:szCs w:val="20"/>
                <w:lang w:eastAsia="cs-CZ"/>
              </w:rPr>
            </w:pPr>
            <w:r w:rsidRPr="00201CFD">
              <w:rPr>
                <w:rFonts w:ascii="Times New Roman" w:eastAsia="Times New Roman" w:hAnsi="Times New Roman" w:cs="Times New Roman"/>
                <w:i/>
                <w:szCs w:val="20"/>
                <w:lang w:eastAsia="cs-CZ"/>
              </w:rPr>
              <w:t>3.4 -  Uplatnit ve větší míře nízkouhlíkové technologie v oblasti nakládání energií a při využívání druhotných surovin</w:t>
            </w:r>
          </w:p>
          <w:p w:rsidR="00442A0B" w:rsidRPr="00201CFD" w:rsidRDefault="00442A0B" w:rsidP="00442A0B">
            <w:pPr>
              <w:ind w:left="355"/>
              <w:rPr>
                <w:rFonts w:ascii="Times New Roman" w:eastAsia="Times New Roman" w:hAnsi="Times New Roman" w:cs="Times New Roman"/>
                <w:i/>
                <w:szCs w:val="20"/>
                <w:lang w:eastAsia="cs-CZ"/>
              </w:rPr>
            </w:pPr>
            <w:r w:rsidRPr="00201CFD">
              <w:rPr>
                <w:rFonts w:ascii="Times New Roman" w:eastAsia="Times New Roman" w:hAnsi="Times New Roman" w:cs="Times New Roman"/>
                <w:i/>
                <w:szCs w:val="20"/>
                <w:lang w:eastAsia="cs-CZ"/>
              </w:rPr>
              <w:t>4.2 – Zvýšit úroveň nejmodernějších a pokročilých ICT</w:t>
            </w:r>
          </w:p>
          <w:p w:rsidR="007273FC" w:rsidRPr="0005690F" w:rsidRDefault="00B21AA8" w:rsidP="00865D79">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Zde hodnotitel doporučuje další zpřesnění</w:t>
            </w:r>
            <w:r w:rsidR="00651741">
              <w:rPr>
                <w:rFonts w:ascii="Times New Roman" w:eastAsia="Times New Roman" w:hAnsi="Times New Roman" w:cs="Times New Roman"/>
                <w:szCs w:val="20"/>
                <w:lang w:eastAsia="cs-CZ"/>
              </w:rPr>
              <w:t xml:space="preserve">, </w:t>
            </w:r>
            <w:r w:rsidR="00112FF7">
              <w:rPr>
                <w:rFonts w:ascii="Times New Roman" w:eastAsia="Times New Roman" w:hAnsi="Times New Roman" w:cs="Times New Roman"/>
                <w:szCs w:val="20"/>
                <w:lang w:eastAsia="cs-CZ"/>
              </w:rPr>
              <w:t xml:space="preserve">včetně například úprav </w:t>
            </w:r>
            <w:r w:rsidR="00651741">
              <w:rPr>
                <w:rFonts w:ascii="Times New Roman" w:eastAsia="Times New Roman" w:hAnsi="Times New Roman" w:cs="Times New Roman"/>
                <w:szCs w:val="20"/>
                <w:lang w:eastAsia="cs-CZ"/>
              </w:rPr>
              <w:t>názvů SC</w:t>
            </w:r>
            <w:r w:rsidR="00F85B82">
              <w:rPr>
                <w:rFonts w:ascii="Times New Roman" w:eastAsia="Times New Roman" w:hAnsi="Times New Roman" w:cs="Times New Roman"/>
                <w:szCs w:val="20"/>
                <w:lang w:eastAsia="cs-CZ"/>
              </w:rPr>
              <w:t xml:space="preserve">, </w:t>
            </w:r>
            <w:r w:rsidR="009E5BE4" w:rsidRPr="009E5BE4">
              <w:rPr>
                <w:rFonts w:ascii="Times New Roman" w:eastAsia="Times New Roman" w:hAnsi="Times New Roman" w:cs="Times New Roman"/>
                <w:szCs w:val="20"/>
                <w:lang w:eastAsia="cs-CZ"/>
              </w:rPr>
              <w:t>což dle vyjádření zpracovatele bude u SC 2.4 a 4.2 v další verzi OP provedeno.</w:t>
            </w:r>
            <w:r w:rsidRPr="0005690F">
              <w:rPr>
                <w:rFonts w:ascii="Times New Roman" w:eastAsia="Times New Roman" w:hAnsi="Times New Roman" w:cs="Times New Roman"/>
                <w:szCs w:val="20"/>
                <w:lang w:eastAsia="cs-CZ"/>
              </w:rPr>
              <w:t xml:space="preserve"> </w:t>
            </w:r>
          </w:p>
          <w:p w:rsidR="00B21AA8" w:rsidRPr="0005690F" w:rsidRDefault="00B21AA8" w:rsidP="00865D79">
            <w:pPr>
              <w:rPr>
                <w:rFonts w:ascii="Times New Roman" w:eastAsia="Times New Roman" w:hAnsi="Times New Roman" w:cs="Times New Roman"/>
                <w:szCs w:val="20"/>
                <w:lang w:eastAsia="cs-CZ"/>
              </w:rPr>
            </w:pPr>
          </w:p>
          <w:p w:rsidR="00FB64BD" w:rsidRPr="0005690F" w:rsidRDefault="00AC4780" w:rsidP="00112FF7">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S</w:t>
            </w:r>
            <w:r w:rsidR="00641EB5" w:rsidRPr="0005690F">
              <w:rPr>
                <w:rFonts w:ascii="Times New Roman" w:eastAsia="Times New Roman" w:hAnsi="Times New Roman" w:cs="Times New Roman"/>
                <w:szCs w:val="20"/>
                <w:lang w:eastAsia="cs-CZ"/>
              </w:rPr>
              <w:t>pecifické cíle OP PIK</w:t>
            </w:r>
            <w:r w:rsidR="00651741">
              <w:rPr>
                <w:rFonts w:ascii="Times New Roman" w:eastAsia="Times New Roman" w:hAnsi="Times New Roman" w:cs="Times New Roman"/>
                <w:szCs w:val="20"/>
                <w:lang w:eastAsia="cs-CZ"/>
              </w:rPr>
              <w:t>, zejména</w:t>
            </w:r>
            <w:r w:rsidR="00F81921" w:rsidRPr="0005690F">
              <w:rPr>
                <w:rFonts w:ascii="Times New Roman" w:eastAsia="Times New Roman" w:hAnsi="Times New Roman" w:cs="Times New Roman"/>
                <w:szCs w:val="20"/>
                <w:lang w:eastAsia="cs-CZ"/>
              </w:rPr>
              <w:t xml:space="preserve"> </w:t>
            </w:r>
            <w:r w:rsidR="00112FF7">
              <w:rPr>
                <w:rFonts w:ascii="Times New Roman" w:eastAsia="Times New Roman" w:hAnsi="Times New Roman" w:cs="Times New Roman"/>
                <w:szCs w:val="20"/>
                <w:lang w:eastAsia="cs-CZ"/>
              </w:rPr>
              <w:t xml:space="preserve">ty </w:t>
            </w:r>
            <w:r w:rsidR="00F81921" w:rsidRPr="0005690F">
              <w:rPr>
                <w:rFonts w:ascii="Times New Roman" w:eastAsia="Times New Roman" w:hAnsi="Times New Roman" w:cs="Times New Roman"/>
                <w:szCs w:val="20"/>
                <w:lang w:eastAsia="cs-CZ"/>
              </w:rPr>
              <w:t xml:space="preserve">uvedené v bodech i) a </w:t>
            </w:r>
            <w:proofErr w:type="spellStart"/>
            <w:r w:rsidR="00F81921" w:rsidRPr="0005690F">
              <w:rPr>
                <w:rFonts w:ascii="Times New Roman" w:eastAsia="Times New Roman" w:hAnsi="Times New Roman" w:cs="Times New Roman"/>
                <w:szCs w:val="20"/>
                <w:lang w:eastAsia="cs-CZ"/>
              </w:rPr>
              <w:t>ii</w:t>
            </w:r>
            <w:proofErr w:type="spellEnd"/>
            <w:r w:rsidR="00F81921" w:rsidRPr="0005690F">
              <w:rPr>
                <w:rFonts w:ascii="Times New Roman" w:eastAsia="Times New Roman" w:hAnsi="Times New Roman" w:cs="Times New Roman"/>
                <w:szCs w:val="20"/>
                <w:lang w:eastAsia="cs-CZ"/>
              </w:rPr>
              <w:t>)</w:t>
            </w:r>
            <w:r w:rsidR="00112FF7">
              <w:rPr>
                <w:rFonts w:ascii="Times New Roman" w:eastAsia="Times New Roman" w:hAnsi="Times New Roman" w:cs="Times New Roman"/>
                <w:szCs w:val="20"/>
                <w:lang w:eastAsia="cs-CZ"/>
              </w:rPr>
              <w:t>,</w:t>
            </w:r>
            <w:r w:rsidR="00F81921" w:rsidRPr="0005690F">
              <w:rPr>
                <w:rFonts w:ascii="Times New Roman" w:eastAsia="Times New Roman" w:hAnsi="Times New Roman" w:cs="Times New Roman"/>
                <w:szCs w:val="20"/>
                <w:lang w:eastAsia="cs-CZ"/>
              </w:rPr>
              <w:t xml:space="preserve"> </w:t>
            </w:r>
            <w:r w:rsidR="00641EB5" w:rsidRPr="0005690F">
              <w:rPr>
                <w:rFonts w:ascii="Times New Roman" w:eastAsia="Times New Roman" w:hAnsi="Times New Roman" w:cs="Times New Roman"/>
                <w:szCs w:val="20"/>
                <w:lang w:eastAsia="cs-CZ"/>
              </w:rPr>
              <w:t>lze považovat za d</w:t>
            </w:r>
            <w:r w:rsidR="007273FC" w:rsidRPr="0005690F">
              <w:rPr>
                <w:rFonts w:ascii="Times New Roman" w:eastAsia="Times New Roman" w:hAnsi="Times New Roman" w:cs="Times New Roman"/>
                <w:szCs w:val="20"/>
                <w:lang w:eastAsia="cs-CZ"/>
              </w:rPr>
              <w:t>osažiteln</w:t>
            </w:r>
            <w:r w:rsidR="00641EB5" w:rsidRPr="0005690F">
              <w:rPr>
                <w:rFonts w:ascii="Times New Roman" w:eastAsia="Times New Roman" w:hAnsi="Times New Roman" w:cs="Times New Roman"/>
                <w:szCs w:val="20"/>
                <w:lang w:eastAsia="cs-CZ"/>
              </w:rPr>
              <w:t xml:space="preserve">é, ovšem </w:t>
            </w:r>
            <w:r w:rsidR="00E3482A" w:rsidRPr="0005690F">
              <w:rPr>
                <w:rFonts w:ascii="Times New Roman" w:eastAsia="Times New Roman" w:hAnsi="Times New Roman" w:cs="Times New Roman"/>
                <w:szCs w:val="20"/>
                <w:lang w:eastAsia="cs-CZ"/>
              </w:rPr>
              <w:t xml:space="preserve">jejich </w:t>
            </w:r>
            <w:r w:rsidR="00651741">
              <w:rPr>
                <w:rFonts w:ascii="Times New Roman" w:eastAsia="Times New Roman" w:hAnsi="Times New Roman" w:cs="Times New Roman"/>
                <w:szCs w:val="20"/>
                <w:lang w:eastAsia="cs-CZ"/>
              </w:rPr>
              <w:t>(ne)dosažení</w:t>
            </w:r>
            <w:r w:rsidR="00E3482A" w:rsidRPr="0005690F">
              <w:rPr>
                <w:rFonts w:ascii="Times New Roman" w:eastAsia="Times New Roman" w:hAnsi="Times New Roman" w:cs="Times New Roman"/>
                <w:szCs w:val="20"/>
                <w:lang w:eastAsia="cs-CZ"/>
              </w:rPr>
              <w:t xml:space="preserve"> </w:t>
            </w:r>
            <w:r w:rsidR="00641EB5" w:rsidRPr="0005690F">
              <w:rPr>
                <w:rFonts w:ascii="Times New Roman" w:eastAsia="Times New Roman" w:hAnsi="Times New Roman" w:cs="Times New Roman"/>
                <w:szCs w:val="20"/>
                <w:lang w:eastAsia="cs-CZ"/>
              </w:rPr>
              <w:t>m</w:t>
            </w:r>
            <w:r w:rsidR="00E3482A" w:rsidRPr="0005690F">
              <w:rPr>
                <w:rFonts w:ascii="Times New Roman" w:eastAsia="Times New Roman" w:hAnsi="Times New Roman" w:cs="Times New Roman"/>
                <w:szCs w:val="20"/>
                <w:lang w:eastAsia="cs-CZ"/>
              </w:rPr>
              <w:t xml:space="preserve">ůže </w:t>
            </w:r>
            <w:r w:rsidR="00641EB5" w:rsidRPr="0005690F">
              <w:rPr>
                <w:rFonts w:ascii="Times New Roman" w:eastAsia="Times New Roman" w:hAnsi="Times New Roman" w:cs="Times New Roman"/>
                <w:szCs w:val="20"/>
                <w:lang w:eastAsia="cs-CZ"/>
              </w:rPr>
              <w:t>být</w:t>
            </w:r>
            <w:r w:rsidR="00651741">
              <w:rPr>
                <w:rFonts w:ascii="Times New Roman" w:eastAsia="Times New Roman" w:hAnsi="Times New Roman" w:cs="Times New Roman"/>
                <w:szCs w:val="20"/>
                <w:lang w:eastAsia="cs-CZ"/>
              </w:rPr>
              <w:t>, resp. bude</w:t>
            </w:r>
            <w:r w:rsidR="00641EB5" w:rsidRPr="0005690F">
              <w:rPr>
                <w:rFonts w:ascii="Times New Roman" w:eastAsia="Times New Roman" w:hAnsi="Times New Roman" w:cs="Times New Roman"/>
                <w:szCs w:val="20"/>
                <w:lang w:eastAsia="cs-CZ"/>
              </w:rPr>
              <w:t xml:space="preserve"> </w:t>
            </w:r>
            <w:r w:rsidR="007273FC" w:rsidRPr="0005690F">
              <w:rPr>
                <w:rFonts w:ascii="Times New Roman" w:eastAsia="Times New Roman" w:hAnsi="Times New Roman" w:cs="Times New Roman"/>
                <w:szCs w:val="20"/>
                <w:lang w:eastAsia="cs-CZ"/>
              </w:rPr>
              <w:t>ovlivněn</w:t>
            </w:r>
            <w:r w:rsidR="00E3482A" w:rsidRPr="0005690F">
              <w:rPr>
                <w:rFonts w:ascii="Times New Roman" w:eastAsia="Times New Roman" w:hAnsi="Times New Roman" w:cs="Times New Roman"/>
                <w:szCs w:val="20"/>
                <w:lang w:eastAsia="cs-CZ"/>
              </w:rPr>
              <w:t>o</w:t>
            </w:r>
            <w:r w:rsidR="007273FC" w:rsidRPr="0005690F">
              <w:rPr>
                <w:rFonts w:ascii="Times New Roman" w:eastAsia="Times New Roman" w:hAnsi="Times New Roman" w:cs="Times New Roman"/>
                <w:szCs w:val="20"/>
                <w:lang w:eastAsia="cs-CZ"/>
              </w:rPr>
              <w:t xml:space="preserve"> působením</w:t>
            </w:r>
            <w:r w:rsidR="00641EB5" w:rsidRPr="0005690F">
              <w:rPr>
                <w:rFonts w:ascii="Times New Roman" w:eastAsia="Times New Roman" w:hAnsi="Times New Roman" w:cs="Times New Roman"/>
                <w:szCs w:val="20"/>
                <w:lang w:eastAsia="cs-CZ"/>
              </w:rPr>
              <w:t xml:space="preserve"> dalších</w:t>
            </w:r>
            <w:r w:rsidR="007273FC" w:rsidRPr="0005690F">
              <w:rPr>
                <w:rFonts w:ascii="Times New Roman" w:eastAsia="Times New Roman" w:hAnsi="Times New Roman" w:cs="Times New Roman"/>
                <w:szCs w:val="20"/>
                <w:lang w:eastAsia="cs-CZ"/>
              </w:rPr>
              <w:t xml:space="preserve"> faktorů</w:t>
            </w:r>
            <w:r w:rsidR="00651741">
              <w:rPr>
                <w:rFonts w:ascii="Times New Roman" w:eastAsia="Times New Roman" w:hAnsi="Times New Roman" w:cs="Times New Roman"/>
                <w:szCs w:val="20"/>
                <w:lang w:eastAsia="cs-CZ"/>
              </w:rPr>
              <w:t xml:space="preserve"> mimo OP PIK</w:t>
            </w:r>
            <w:r w:rsidR="00641EB5" w:rsidRPr="0005690F">
              <w:rPr>
                <w:rFonts w:ascii="Times New Roman" w:eastAsia="Times New Roman" w:hAnsi="Times New Roman" w:cs="Times New Roman"/>
                <w:szCs w:val="20"/>
                <w:lang w:eastAsia="cs-CZ"/>
              </w:rPr>
              <w:t xml:space="preserve">. Výčet těchto dalších faktorů </w:t>
            </w:r>
            <w:r w:rsidR="00651741">
              <w:rPr>
                <w:rFonts w:ascii="Times New Roman" w:eastAsia="Times New Roman" w:hAnsi="Times New Roman" w:cs="Times New Roman"/>
                <w:szCs w:val="20"/>
                <w:lang w:eastAsia="cs-CZ"/>
              </w:rPr>
              <w:t>byl částečně doplněn v nepovinné příloze č. 1, nicméně hodnotitel doporučuje tyto faktory více provázat na jednotlivé SC a také je dále zpřes</w:t>
            </w:r>
            <w:r w:rsidR="00112FF7">
              <w:rPr>
                <w:rFonts w:ascii="Times New Roman" w:eastAsia="Times New Roman" w:hAnsi="Times New Roman" w:cs="Times New Roman"/>
                <w:szCs w:val="20"/>
                <w:lang w:eastAsia="cs-CZ"/>
              </w:rPr>
              <w:t>nit</w:t>
            </w:r>
            <w:r w:rsidR="00651741">
              <w:rPr>
                <w:rFonts w:ascii="Times New Roman" w:eastAsia="Times New Roman" w:hAnsi="Times New Roman" w:cs="Times New Roman"/>
                <w:szCs w:val="20"/>
                <w:lang w:eastAsia="cs-CZ"/>
              </w:rPr>
              <w:t xml:space="preserve">. </w:t>
            </w:r>
            <w:r w:rsidR="00641EB5" w:rsidRPr="0005690F">
              <w:rPr>
                <w:rFonts w:ascii="Times New Roman" w:eastAsia="Times New Roman" w:hAnsi="Times New Roman" w:cs="Times New Roman"/>
                <w:szCs w:val="20"/>
                <w:lang w:eastAsia="cs-CZ"/>
              </w:rPr>
              <w:t xml:space="preserve"> </w:t>
            </w:r>
            <w:r w:rsidR="007273FC" w:rsidRPr="0005690F">
              <w:rPr>
                <w:rFonts w:ascii="Times New Roman" w:eastAsia="Times New Roman" w:hAnsi="Times New Roman" w:cs="Times New Roman"/>
                <w:szCs w:val="20"/>
                <w:lang w:eastAsia="cs-CZ"/>
              </w:rPr>
              <w:t xml:space="preserve">  </w:t>
            </w:r>
            <w:r w:rsidR="00442A0B" w:rsidRPr="0005690F">
              <w:rPr>
                <w:rFonts w:ascii="Times New Roman" w:eastAsia="Times New Roman" w:hAnsi="Times New Roman" w:cs="Times New Roman"/>
                <w:szCs w:val="20"/>
                <w:lang w:eastAsia="cs-CZ"/>
              </w:rPr>
              <w:t xml:space="preserve">  </w:t>
            </w:r>
            <w:r w:rsidR="00524F40" w:rsidRPr="0005690F">
              <w:rPr>
                <w:rFonts w:ascii="Times New Roman" w:eastAsia="Times New Roman" w:hAnsi="Times New Roman" w:cs="Times New Roman"/>
                <w:szCs w:val="20"/>
                <w:lang w:eastAsia="cs-CZ"/>
              </w:rPr>
              <w:t xml:space="preserve"> </w:t>
            </w:r>
          </w:p>
        </w:tc>
      </w:tr>
      <w:tr w:rsidR="00471AC7" w:rsidRPr="0005690F" w:rsidTr="00274A5F">
        <w:trPr>
          <w:trHeight w:val="540"/>
        </w:trPr>
        <w:tc>
          <w:tcPr>
            <w:tcW w:w="880" w:type="dxa"/>
            <w:shd w:val="clear" w:color="000000" w:fill="C5D9F1"/>
            <w:hideMark/>
          </w:tcPr>
          <w:p w:rsidR="00471AC7" w:rsidRPr="0005690F" w:rsidRDefault="00471AC7"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lastRenderedPageBreak/>
              <w:t>01.9</w:t>
            </w:r>
          </w:p>
        </w:tc>
        <w:tc>
          <w:tcPr>
            <w:tcW w:w="2823" w:type="dxa"/>
            <w:shd w:val="clear" w:color="000000" w:fill="C5D9F1"/>
            <w:hideMark/>
          </w:tcPr>
          <w:p w:rsidR="00471AC7" w:rsidRPr="0005690F" w:rsidRDefault="00471AC7"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Jsou specifické cíle programu stanoveny tak, že je naplňován princip podpory fungujícího trhu?</w:t>
            </w:r>
          </w:p>
        </w:tc>
        <w:tc>
          <w:tcPr>
            <w:tcW w:w="1559" w:type="dxa"/>
            <w:shd w:val="clear" w:color="000000" w:fill="C5D9F1"/>
            <w:vAlign w:val="center"/>
            <w:hideMark/>
          </w:tcPr>
          <w:p w:rsidR="00471AC7" w:rsidRPr="0005690F" w:rsidRDefault="00333833" w:rsidP="00A1343C">
            <w:pPr>
              <w:jc w:val="cente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S</w:t>
            </w:r>
            <w:r w:rsidR="00A31900" w:rsidRPr="0005690F">
              <w:rPr>
                <w:rFonts w:ascii="Times New Roman" w:eastAsia="Times New Roman" w:hAnsi="Times New Roman" w:cs="Times New Roman"/>
                <w:szCs w:val="20"/>
                <w:lang w:eastAsia="cs-CZ"/>
              </w:rPr>
              <w:t>A</w:t>
            </w:r>
          </w:p>
        </w:tc>
        <w:tc>
          <w:tcPr>
            <w:tcW w:w="3969" w:type="dxa"/>
            <w:shd w:val="clear" w:color="000000" w:fill="C5D9F1"/>
            <w:hideMark/>
          </w:tcPr>
          <w:p w:rsidR="00912A45" w:rsidRPr="0005690F" w:rsidRDefault="00912A45" w:rsidP="00912A45">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Naplňování principu podpory fungujícího trhu spočívá v tom, že pr</w:t>
            </w:r>
            <w:r w:rsidR="00FD7C46" w:rsidRPr="0005690F">
              <w:rPr>
                <w:rFonts w:ascii="Times New Roman" w:eastAsia="Times New Roman" w:hAnsi="Times New Roman" w:cs="Times New Roman"/>
                <w:szCs w:val="20"/>
                <w:lang w:eastAsia="cs-CZ"/>
              </w:rPr>
              <w:t>ogram</w:t>
            </w:r>
            <w:r w:rsidRPr="0005690F">
              <w:rPr>
                <w:rFonts w:ascii="Times New Roman" w:eastAsia="Times New Roman" w:hAnsi="Times New Roman" w:cs="Times New Roman"/>
                <w:szCs w:val="20"/>
                <w:lang w:eastAsia="cs-CZ"/>
              </w:rPr>
              <w:t xml:space="preserve"> podporuje především ta odvětví a sektory, kde dochází k selhání trhu, či kde tržní prostředí neexistuje</w:t>
            </w:r>
            <w:r w:rsidR="00FD7C46" w:rsidRPr="0005690F">
              <w:rPr>
                <w:rFonts w:ascii="Times New Roman" w:eastAsia="Times New Roman" w:hAnsi="Times New Roman" w:cs="Times New Roman"/>
                <w:szCs w:val="20"/>
                <w:lang w:eastAsia="cs-CZ"/>
              </w:rPr>
              <w:t xml:space="preserve"> a </w:t>
            </w:r>
            <w:r w:rsidR="00FD7C46" w:rsidRPr="0005690F">
              <w:rPr>
                <w:rFonts w:ascii="Times New Roman" w:eastAsia="Times New Roman" w:hAnsi="Times New Roman" w:cs="Times New Roman"/>
                <w:szCs w:val="20"/>
                <w:lang w:eastAsia="cs-CZ"/>
              </w:rPr>
              <w:lastRenderedPageBreak/>
              <w:t>zároveň musí být</w:t>
            </w:r>
            <w:r w:rsidRPr="0005690F">
              <w:rPr>
                <w:rFonts w:ascii="Times New Roman" w:eastAsia="Times New Roman" w:hAnsi="Times New Roman" w:cs="Times New Roman"/>
                <w:szCs w:val="20"/>
                <w:lang w:eastAsia="cs-CZ"/>
              </w:rPr>
              <w:t xml:space="preserve"> vždy zvažována forma podpory (dotace či návratné zdroje)</w:t>
            </w:r>
            <w:r w:rsidR="00FD7C46" w:rsidRPr="0005690F">
              <w:rPr>
                <w:rFonts w:ascii="Times New Roman" w:eastAsia="Times New Roman" w:hAnsi="Times New Roman" w:cs="Times New Roman"/>
                <w:szCs w:val="20"/>
                <w:lang w:eastAsia="cs-CZ"/>
              </w:rPr>
              <w:t>, přičemž by n</w:t>
            </w:r>
            <w:r w:rsidRPr="0005690F">
              <w:rPr>
                <w:rFonts w:ascii="Times New Roman" w:eastAsia="Times New Roman" w:hAnsi="Times New Roman" w:cs="Times New Roman"/>
                <w:szCs w:val="20"/>
                <w:lang w:eastAsia="cs-CZ"/>
              </w:rPr>
              <w:t>emělo docházet k vytlačování soukromého kapitálu</w:t>
            </w:r>
            <w:r w:rsidR="00FD7C46" w:rsidRPr="0005690F">
              <w:rPr>
                <w:rFonts w:ascii="Times New Roman" w:eastAsia="Times New Roman" w:hAnsi="Times New Roman" w:cs="Times New Roman"/>
                <w:szCs w:val="20"/>
                <w:lang w:eastAsia="cs-CZ"/>
              </w:rPr>
              <w:t xml:space="preserve">. </w:t>
            </w:r>
          </w:p>
          <w:p w:rsidR="00791F87" w:rsidRPr="0005690F" w:rsidRDefault="00791F87" w:rsidP="00912A45">
            <w:pPr>
              <w:rPr>
                <w:rFonts w:ascii="Times New Roman" w:eastAsia="Times New Roman" w:hAnsi="Times New Roman" w:cs="Times New Roman"/>
                <w:szCs w:val="20"/>
                <w:lang w:eastAsia="cs-CZ"/>
              </w:rPr>
            </w:pPr>
          </w:p>
          <w:p w:rsidR="00FD7C46" w:rsidRPr="0005690F" w:rsidRDefault="00FD7C46" w:rsidP="00912A45">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Výběr nejvhodnějších forem podpory pro specifické cíle OP PIK</w:t>
            </w:r>
            <w:r w:rsidR="005614A8" w:rsidRPr="0005690F">
              <w:rPr>
                <w:rFonts w:ascii="Times New Roman" w:eastAsia="Times New Roman" w:hAnsi="Times New Roman" w:cs="Times New Roman"/>
                <w:szCs w:val="20"/>
                <w:lang w:eastAsia="cs-CZ"/>
              </w:rPr>
              <w:t xml:space="preserve"> zatím není uzavřen –</w:t>
            </w:r>
            <w:r w:rsidRPr="0005690F">
              <w:rPr>
                <w:rFonts w:ascii="Times New Roman" w:eastAsia="Times New Roman" w:hAnsi="Times New Roman" w:cs="Times New Roman"/>
                <w:szCs w:val="20"/>
                <w:lang w:eastAsia="cs-CZ"/>
              </w:rPr>
              <w:t xml:space="preserve"> </w:t>
            </w:r>
            <w:r w:rsidR="005614A8" w:rsidRPr="0005690F">
              <w:rPr>
                <w:rFonts w:ascii="Times New Roman" w:eastAsia="Times New Roman" w:hAnsi="Times New Roman" w:cs="Times New Roman"/>
                <w:szCs w:val="20"/>
                <w:lang w:eastAsia="cs-CZ"/>
              </w:rPr>
              <w:t xml:space="preserve">významnou úlohu by zde </w:t>
            </w:r>
            <w:proofErr w:type="gramStart"/>
            <w:r w:rsidR="005614A8" w:rsidRPr="0005690F">
              <w:rPr>
                <w:rFonts w:ascii="Times New Roman" w:eastAsia="Times New Roman" w:hAnsi="Times New Roman" w:cs="Times New Roman"/>
                <w:szCs w:val="20"/>
                <w:lang w:eastAsia="cs-CZ"/>
              </w:rPr>
              <w:t>měly</w:t>
            </w:r>
            <w:proofErr w:type="gramEnd"/>
            <w:r w:rsidR="005614A8" w:rsidRPr="0005690F">
              <w:rPr>
                <w:rFonts w:ascii="Times New Roman" w:eastAsia="Times New Roman" w:hAnsi="Times New Roman" w:cs="Times New Roman"/>
                <w:szCs w:val="20"/>
                <w:lang w:eastAsia="cs-CZ"/>
              </w:rPr>
              <w:t xml:space="preserve"> hrát</w:t>
            </w:r>
            <w:r w:rsidRPr="0005690F">
              <w:rPr>
                <w:rFonts w:ascii="Times New Roman" w:eastAsia="Times New Roman" w:hAnsi="Times New Roman" w:cs="Times New Roman"/>
                <w:szCs w:val="20"/>
                <w:lang w:eastAsia="cs-CZ"/>
              </w:rPr>
              <w:t xml:space="preserve"> výsledk</w:t>
            </w:r>
            <w:r w:rsidR="005614A8" w:rsidRPr="0005690F">
              <w:rPr>
                <w:rFonts w:ascii="Times New Roman" w:eastAsia="Times New Roman" w:hAnsi="Times New Roman" w:cs="Times New Roman"/>
                <w:szCs w:val="20"/>
                <w:lang w:eastAsia="cs-CZ"/>
              </w:rPr>
              <w:t>y</w:t>
            </w:r>
            <w:r w:rsidRPr="0005690F">
              <w:rPr>
                <w:rFonts w:ascii="Times New Roman" w:eastAsia="Times New Roman" w:hAnsi="Times New Roman" w:cs="Times New Roman"/>
                <w:szCs w:val="20"/>
                <w:lang w:eastAsia="cs-CZ"/>
              </w:rPr>
              <w:t xml:space="preserve"> </w:t>
            </w:r>
            <w:r w:rsidR="00A5042D" w:rsidRPr="0005690F">
              <w:rPr>
                <w:rFonts w:ascii="Times New Roman" w:eastAsia="Times New Roman" w:hAnsi="Times New Roman" w:cs="Times New Roman"/>
                <w:szCs w:val="20"/>
                <w:lang w:eastAsia="cs-CZ"/>
              </w:rPr>
              <w:t>předběžného posouzení</w:t>
            </w:r>
            <w:r w:rsidRPr="0005690F">
              <w:rPr>
                <w:rFonts w:ascii="Times New Roman" w:eastAsia="Times New Roman" w:hAnsi="Times New Roman" w:cs="Times New Roman"/>
                <w:szCs w:val="20"/>
                <w:lang w:eastAsia="cs-CZ"/>
              </w:rPr>
              <w:t xml:space="preserve"> finančních nástrojů OP PIK dle čl. 3</w:t>
            </w:r>
            <w:r w:rsidR="00A5042D" w:rsidRPr="0005690F">
              <w:rPr>
                <w:rFonts w:ascii="Times New Roman" w:eastAsia="Times New Roman" w:hAnsi="Times New Roman" w:cs="Times New Roman"/>
                <w:szCs w:val="20"/>
                <w:lang w:eastAsia="cs-CZ"/>
              </w:rPr>
              <w:t>7</w:t>
            </w:r>
            <w:r w:rsidRPr="0005690F">
              <w:rPr>
                <w:rFonts w:ascii="Times New Roman" w:eastAsia="Times New Roman" w:hAnsi="Times New Roman" w:cs="Times New Roman"/>
                <w:szCs w:val="20"/>
                <w:lang w:eastAsia="cs-CZ"/>
              </w:rPr>
              <w:t xml:space="preserve"> </w:t>
            </w:r>
            <w:r w:rsidR="00A5042D" w:rsidRPr="0005690F">
              <w:rPr>
                <w:rFonts w:ascii="Times New Roman" w:eastAsia="Times New Roman" w:hAnsi="Times New Roman" w:cs="Times New Roman"/>
                <w:szCs w:val="20"/>
                <w:lang w:eastAsia="cs-CZ"/>
              </w:rPr>
              <w:t>O</w:t>
            </w:r>
            <w:r w:rsidRPr="0005690F">
              <w:rPr>
                <w:rFonts w:ascii="Times New Roman" w:eastAsia="Times New Roman" w:hAnsi="Times New Roman" w:cs="Times New Roman"/>
                <w:szCs w:val="20"/>
                <w:lang w:eastAsia="cs-CZ"/>
              </w:rPr>
              <w:t>becného nařízení, kter</w:t>
            </w:r>
            <w:r w:rsidR="00A5042D" w:rsidRPr="0005690F">
              <w:rPr>
                <w:rFonts w:ascii="Times New Roman" w:eastAsia="Times New Roman" w:hAnsi="Times New Roman" w:cs="Times New Roman"/>
                <w:szCs w:val="20"/>
                <w:lang w:eastAsia="cs-CZ"/>
              </w:rPr>
              <w:t>é</w:t>
            </w:r>
            <w:r w:rsidRPr="0005690F">
              <w:rPr>
                <w:rFonts w:ascii="Times New Roman" w:eastAsia="Times New Roman" w:hAnsi="Times New Roman" w:cs="Times New Roman"/>
                <w:szCs w:val="20"/>
                <w:lang w:eastAsia="cs-CZ"/>
              </w:rPr>
              <w:t xml:space="preserve"> ovšem zatím nebyl</w:t>
            </w:r>
            <w:r w:rsidR="00A5042D" w:rsidRPr="0005690F">
              <w:rPr>
                <w:rFonts w:ascii="Times New Roman" w:eastAsia="Times New Roman" w:hAnsi="Times New Roman" w:cs="Times New Roman"/>
                <w:szCs w:val="20"/>
                <w:lang w:eastAsia="cs-CZ"/>
              </w:rPr>
              <w:t>o</w:t>
            </w:r>
            <w:r w:rsidRPr="0005690F">
              <w:rPr>
                <w:rFonts w:ascii="Times New Roman" w:eastAsia="Times New Roman" w:hAnsi="Times New Roman" w:cs="Times New Roman"/>
                <w:szCs w:val="20"/>
                <w:lang w:eastAsia="cs-CZ"/>
              </w:rPr>
              <w:t xml:space="preserve"> zpracován</w:t>
            </w:r>
            <w:r w:rsidR="00A5042D" w:rsidRPr="0005690F">
              <w:rPr>
                <w:rFonts w:ascii="Times New Roman" w:eastAsia="Times New Roman" w:hAnsi="Times New Roman" w:cs="Times New Roman"/>
                <w:szCs w:val="20"/>
                <w:lang w:eastAsia="cs-CZ"/>
              </w:rPr>
              <w:t>o</w:t>
            </w:r>
            <w:r w:rsidRPr="0005690F">
              <w:rPr>
                <w:rFonts w:ascii="Times New Roman" w:eastAsia="Times New Roman" w:hAnsi="Times New Roman" w:cs="Times New Roman"/>
                <w:szCs w:val="20"/>
                <w:lang w:eastAsia="cs-CZ"/>
              </w:rPr>
              <w:t xml:space="preserve">. </w:t>
            </w:r>
            <w:r w:rsidR="005614A8" w:rsidRPr="0005690F">
              <w:rPr>
                <w:rFonts w:ascii="Times New Roman" w:eastAsia="Times New Roman" w:hAnsi="Times New Roman" w:cs="Times New Roman"/>
                <w:szCs w:val="20"/>
                <w:lang w:eastAsia="cs-CZ"/>
              </w:rPr>
              <w:t>I z tohoto důvodu zatím není možné jednoznačně a zcela zodpovědět příslušnou evaluační otázku.</w:t>
            </w:r>
          </w:p>
          <w:p w:rsidR="00471AC7" w:rsidRPr="0005690F" w:rsidRDefault="005614A8" w:rsidP="00112FF7">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 xml:space="preserve">Nicméně, v obecné rovině lze </w:t>
            </w:r>
            <w:r w:rsidR="00A31900" w:rsidRPr="0005690F">
              <w:rPr>
                <w:rFonts w:ascii="Times New Roman" w:eastAsia="Times New Roman" w:hAnsi="Times New Roman" w:cs="Times New Roman"/>
                <w:szCs w:val="20"/>
                <w:lang w:eastAsia="cs-CZ"/>
              </w:rPr>
              <w:t>konstatovat, že specifické cíle</w:t>
            </w:r>
            <w:r w:rsidRPr="0005690F">
              <w:rPr>
                <w:rFonts w:ascii="Times New Roman" w:eastAsia="Times New Roman" w:hAnsi="Times New Roman" w:cs="Times New Roman"/>
                <w:szCs w:val="20"/>
                <w:lang w:eastAsia="cs-CZ"/>
              </w:rPr>
              <w:t xml:space="preserve"> programu</w:t>
            </w:r>
            <w:r w:rsidR="00A31900" w:rsidRPr="0005690F">
              <w:rPr>
                <w:rFonts w:ascii="Times New Roman" w:eastAsia="Times New Roman" w:hAnsi="Times New Roman" w:cs="Times New Roman"/>
                <w:szCs w:val="20"/>
                <w:lang w:eastAsia="cs-CZ"/>
              </w:rPr>
              <w:t xml:space="preserve"> jsou </w:t>
            </w:r>
            <w:r w:rsidR="00276678" w:rsidRPr="0005690F">
              <w:rPr>
                <w:rFonts w:ascii="Times New Roman" w:eastAsia="Times New Roman" w:hAnsi="Times New Roman" w:cs="Times New Roman"/>
                <w:szCs w:val="20"/>
                <w:lang w:eastAsia="cs-CZ"/>
              </w:rPr>
              <w:t xml:space="preserve">koncipovány tak, aby byl respektován </w:t>
            </w:r>
            <w:r w:rsidR="00A31900" w:rsidRPr="0005690F">
              <w:rPr>
                <w:rFonts w:ascii="Times New Roman" w:eastAsia="Times New Roman" w:hAnsi="Times New Roman" w:cs="Times New Roman"/>
                <w:szCs w:val="20"/>
                <w:lang w:eastAsia="cs-CZ"/>
              </w:rPr>
              <w:t>princip podpory fungujícího trhu</w:t>
            </w:r>
            <w:r w:rsidR="00276678" w:rsidRPr="0005690F">
              <w:rPr>
                <w:rFonts w:ascii="Times New Roman" w:eastAsia="Times New Roman" w:hAnsi="Times New Roman" w:cs="Times New Roman"/>
                <w:szCs w:val="20"/>
                <w:lang w:eastAsia="cs-CZ"/>
              </w:rPr>
              <w:t>.</w:t>
            </w:r>
            <w:r w:rsidRPr="0005690F">
              <w:rPr>
                <w:rFonts w:ascii="Times New Roman" w:eastAsia="Times New Roman" w:hAnsi="Times New Roman" w:cs="Times New Roman"/>
                <w:szCs w:val="20"/>
                <w:lang w:eastAsia="cs-CZ"/>
              </w:rPr>
              <w:t xml:space="preserve"> Lze se tak domnívat </w:t>
            </w:r>
            <w:r w:rsidR="00F81921" w:rsidRPr="0005690F">
              <w:rPr>
                <w:rFonts w:ascii="Times New Roman" w:eastAsia="Times New Roman" w:hAnsi="Times New Roman" w:cs="Times New Roman"/>
                <w:szCs w:val="20"/>
                <w:lang w:eastAsia="cs-CZ"/>
              </w:rPr>
              <w:t>jednak</w:t>
            </w:r>
            <w:r w:rsidRPr="0005690F">
              <w:rPr>
                <w:rFonts w:ascii="Times New Roman" w:eastAsia="Times New Roman" w:hAnsi="Times New Roman" w:cs="Times New Roman"/>
                <w:szCs w:val="20"/>
                <w:lang w:eastAsia="cs-CZ"/>
              </w:rPr>
              <w:t xml:space="preserve"> proto, že předmětem intervencí z </w:t>
            </w:r>
            <w:proofErr w:type="gramStart"/>
            <w:r w:rsidRPr="0005690F">
              <w:rPr>
                <w:rFonts w:ascii="Times New Roman" w:eastAsia="Times New Roman" w:hAnsi="Times New Roman" w:cs="Times New Roman"/>
                <w:szCs w:val="20"/>
                <w:lang w:eastAsia="cs-CZ"/>
              </w:rPr>
              <w:t>OP</w:t>
            </w:r>
            <w:proofErr w:type="gramEnd"/>
            <w:r w:rsidRPr="0005690F">
              <w:rPr>
                <w:rFonts w:ascii="Times New Roman" w:eastAsia="Times New Roman" w:hAnsi="Times New Roman" w:cs="Times New Roman"/>
                <w:szCs w:val="20"/>
                <w:lang w:eastAsia="cs-CZ"/>
              </w:rPr>
              <w:t xml:space="preserve"> PIK jsou aktivity, které </w:t>
            </w:r>
            <w:r w:rsidR="00112FF7">
              <w:rPr>
                <w:rFonts w:ascii="Times New Roman" w:eastAsia="Times New Roman" w:hAnsi="Times New Roman" w:cs="Times New Roman"/>
                <w:szCs w:val="20"/>
                <w:lang w:eastAsia="cs-CZ"/>
              </w:rPr>
              <w:t>byly</w:t>
            </w:r>
            <w:r w:rsidRPr="0005690F">
              <w:rPr>
                <w:rFonts w:ascii="Times New Roman" w:eastAsia="Times New Roman" w:hAnsi="Times New Roman" w:cs="Times New Roman"/>
                <w:szCs w:val="20"/>
                <w:lang w:eastAsia="cs-CZ"/>
              </w:rPr>
              <w:t xml:space="preserve"> často podporovány již </w:t>
            </w:r>
            <w:r w:rsidR="00112FF7">
              <w:rPr>
                <w:rFonts w:ascii="Times New Roman" w:eastAsia="Times New Roman" w:hAnsi="Times New Roman" w:cs="Times New Roman"/>
                <w:szCs w:val="20"/>
                <w:lang w:eastAsia="cs-CZ"/>
              </w:rPr>
              <w:t>v předchozím programovacím období</w:t>
            </w:r>
            <w:r w:rsidR="00F81921" w:rsidRPr="0005690F">
              <w:rPr>
                <w:rFonts w:ascii="Times New Roman" w:eastAsia="Times New Roman" w:hAnsi="Times New Roman" w:cs="Times New Roman"/>
                <w:szCs w:val="20"/>
                <w:lang w:eastAsia="cs-CZ"/>
              </w:rPr>
              <w:t>,</w:t>
            </w:r>
            <w:r w:rsidRPr="0005690F">
              <w:rPr>
                <w:rFonts w:ascii="Times New Roman" w:eastAsia="Times New Roman" w:hAnsi="Times New Roman" w:cs="Times New Roman"/>
                <w:szCs w:val="20"/>
                <w:lang w:eastAsia="cs-CZ"/>
              </w:rPr>
              <w:t xml:space="preserve"> a</w:t>
            </w:r>
            <w:r w:rsidR="00F81921" w:rsidRPr="0005690F">
              <w:rPr>
                <w:rFonts w:ascii="Times New Roman" w:eastAsia="Times New Roman" w:hAnsi="Times New Roman" w:cs="Times New Roman"/>
                <w:szCs w:val="20"/>
                <w:lang w:eastAsia="cs-CZ"/>
              </w:rPr>
              <w:t xml:space="preserve"> také proto, že</w:t>
            </w:r>
            <w:r w:rsidRPr="0005690F">
              <w:rPr>
                <w:rFonts w:ascii="Times New Roman" w:eastAsia="Times New Roman" w:hAnsi="Times New Roman" w:cs="Times New Roman"/>
                <w:szCs w:val="20"/>
                <w:lang w:eastAsia="cs-CZ"/>
              </w:rPr>
              <w:t xml:space="preserve"> jsou</w:t>
            </w:r>
            <w:r w:rsidR="00D33519" w:rsidRPr="0005690F">
              <w:rPr>
                <w:rFonts w:ascii="Times New Roman" w:eastAsia="Times New Roman" w:hAnsi="Times New Roman" w:cs="Times New Roman"/>
                <w:szCs w:val="20"/>
                <w:lang w:eastAsia="cs-CZ"/>
              </w:rPr>
              <w:t xml:space="preserve"> vesměs</w:t>
            </w:r>
            <w:r w:rsidRPr="0005690F">
              <w:rPr>
                <w:rFonts w:ascii="Times New Roman" w:eastAsia="Times New Roman" w:hAnsi="Times New Roman" w:cs="Times New Roman"/>
                <w:szCs w:val="20"/>
                <w:lang w:eastAsia="cs-CZ"/>
              </w:rPr>
              <w:t xml:space="preserve"> v souladu s investičními prioritami EFRR - jedná se tak o témata nevylučující </w:t>
            </w:r>
            <w:r w:rsidR="00791F87" w:rsidRPr="0005690F">
              <w:rPr>
                <w:rFonts w:ascii="Times New Roman" w:eastAsia="Times New Roman" w:hAnsi="Times New Roman" w:cs="Times New Roman"/>
                <w:szCs w:val="20"/>
                <w:lang w:eastAsia="cs-CZ"/>
              </w:rPr>
              <w:t xml:space="preserve">veřejnou </w:t>
            </w:r>
            <w:r w:rsidRPr="0005690F">
              <w:rPr>
                <w:rFonts w:ascii="Times New Roman" w:eastAsia="Times New Roman" w:hAnsi="Times New Roman" w:cs="Times New Roman"/>
                <w:szCs w:val="20"/>
                <w:lang w:eastAsia="cs-CZ"/>
              </w:rPr>
              <w:t xml:space="preserve">podporu. </w:t>
            </w:r>
          </w:p>
        </w:tc>
      </w:tr>
      <w:tr w:rsidR="00471AC7" w:rsidRPr="0005690F" w:rsidTr="00274A5F">
        <w:trPr>
          <w:trHeight w:val="810"/>
        </w:trPr>
        <w:tc>
          <w:tcPr>
            <w:tcW w:w="880" w:type="dxa"/>
            <w:shd w:val="clear" w:color="000000" w:fill="C5D9F1"/>
            <w:hideMark/>
          </w:tcPr>
          <w:p w:rsidR="00471AC7" w:rsidRPr="0005690F" w:rsidRDefault="00471AC7"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lastRenderedPageBreak/>
              <w:t>01.10</w:t>
            </w:r>
          </w:p>
        </w:tc>
        <w:tc>
          <w:tcPr>
            <w:tcW w:w="2823" w:type="dxa"/>
            <w:shd w:val="clear" w:color="000000" w:fill="C5D9F1"/>
            <w:hideMark/>
          </w:tcPr>
          <w:p w:rsidR="00471AC7" w:rsidRPr="0005690F" w:rsidRDefault="00471AC7"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V případě, že specifické cíle programu opomíjejí některé významné problémy a potřeby, je tato skutečnost dostatečně zdůvodněna?</w:t>
            </w:r>
          </w:p>
        </w:tc>
        <w:tc>
          <w:tcPr>
            <w:tcW w:w="1559" w:type="dxa"/>
            <w:shd w:val="clear" w:color="000000" w:fill="C5D9F1"/>
            <w:vAlign w:val="center"/>
            <w:hideMark/>
          </w:tcPr>
          <w:p w:rsidR="00471AC7" w:rsidRPr="0005690F" w:rsidRDefault="00112FF7" w:rsidP="00A1343C">
            <w:pPr>
              <w:jc w:val="cente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NR</w:t>
            </w:r>
          </w:p>
        </w:tc>
        <w:tc>
          <w:tcPr>
            <w:tcW w:w="3969" w:type="dxa"/>
            <w:shd w:val="clear" w:color="000000" w:fill="C5D9F1"/>
            <w:hideMark/>
          </w:tcPr>
          <w:p w:rsidR="00A5042D" w:rsidRPr="0005690F" w:rsidRDefault="009E5BE4" w:rsidP="00EA7C4A">
            <w:pPr>
              <w:rPr>
                <w:rFonts w:ascii="Times New Roman" w:eastAsia="Times New Roman" w:hAnsi="Times New Roman" w:cs="Times New Roman"/>
                <w:szCs w:val="20"/>
                <w:lang w:eastAsia="cs-CZ"/>
              </w:rPr>
            </w:pPr>
            <w:r w:rsidRPr="009E5BE4">
              <w:rPr>
                <w:rFonts w:ascii="Times New Roman" w:eastAsia="Times New Roman" w:hAnsi="Times New Roman" w:cs="Times New Roman"/>
                <w:szCs w:val="20"/>
                <w:lang w:eastAsia="cs-CZ"/>
              </w:rPr>
              <w:t>S odkazem na výše uvedené se hodnotitel domnívá, že specifické cíle programu neopomíjejí žádné významné problémy a potřeby identifikované v </w:t>
            </w:r>
            <w:proofErr w:type="spellStart"/>
            <w:proofErr w:type="gramStart"/>
            <w:r w:rsidRPr="009E5BE4">
              <w:rPr>
                <w:rFonts w:ascii="Times New Roman" w:eastAsia="Times New Roman" w:hAnsi="Times New Roman" w:cs="Times New Roman"/>
                <w:szCs w:val="20"/>
                <w:lang w:eastAsia="cs-CZ"/>
              </w:rPr>
              <w:t>DoP</w:t>
            </w:r>
            <w:proofErr w:type="spellEnd"/>
            <w:proofErr w:type="gramEnd"/>
            <w:r w:rsidRPr="009E5BE4">
              <w:rPr>
                <w:rFonts w:ascii="Times New Roman" w:eastAsia="Times New Roman" w:hAnsi="Times New Roman" w:cs="Times New Roman"/>
                <w:szCs w:val="20"/>
                <w:lang w:eastAsia="cs-CZ"/>
              </w:rPr>
              <w:t xml:space="preserve">, které jsou relevantní pro OP PIK. V případě některých SC (např. 2.3, 2.4, 3,4) by bylo účelné doplnit argumentaci v analýze potřeb. </w:t>
            </w:r>
          </w:p>
        </w:tc>
      </w:tr>
    </w:tbl>
    <w:p w:rsidR="00843927" w:rsidRPr="00843927" w:rsidRDefault="00843927" w:rsidP="00843927">
      <w:pPr>
        <w:spacing w:after="120"/>
        <w:rPr>
          <w:rFonts w:cs="Tahoma"/>
          <w:szCs w:val="20"/>
        </w:rPr>
      </w:pPr>
    </w:p>
    <w:p w:rsidR="00A05CA1" w:rsidRPr="004373D8" w:rsidRDefault="004373D8" w:rsidP="004373D8">
      <w:pPr>
        <w:pStyle w:val="Nadpis2"/>
      </w:pPr>
      <w:bookmarkStart w:id="19" w:name="_Toc392583666"/>
      <w:r>
        <w:t>K</w:t>
      </w:r>
      <w:r w:rsidR="00F815BC" w:rsidRPr="004373D8">
        <w:t>oherence</w:t>
      </w:r>
      <w:bookmarkEnd w:id="19"/>
      <w:r w:rsidR="00F815BC" w:rsidRPr="004373D8">
        <w:t xml:space="preserve"> </w:t>
      </w:r>
    </w:p>
    <w:p w:rsidR="00843927" w:rsidRPr="003B233D" w:rsidRDefault="00843927" w:rsidP="00843927">
      <w:pPr>
        <w:spacing w:after="120"/>
        <w:rPr>
          <w:rFonts w:cs="Tahoma"/>
          <w:szCs w:val="20"/>
          <w:u w:val="single"/>
        </w:rPr>
      </w:pPr>
      <w:r w:rsidRPr="003B233D">
        <w:rPr>
          <w:rFonts w:cs="Tahoma"/>
          <w:szCs w:val="20"/>
          <w:u w:val="single"/>
        </w:rPr>
        <w:t>Úkol:</w:t>
      </w:r>
    </w:p>
    <w:p w:rsidR="00843927" w:rsidRPr="00843927" w:rsidRDefault="002C6BB2" w:rsidP="003B233D">
      <w:pPr>
        <w:spacing w:after="120"/>
        <w:rPr>
          <w:rFonts w:cs="Tahoma"/>
          <w:szCs w:val="20"/>
        </w:rPr>
      </w:pPr>
      <w:r>
        <w:rPr>
          <w:rFonts w:cs="Tahoma"/>
          <w:szCs w:val="20"/>
        </w:rPr>
        <w:t>P</w:t>
      </w:r>
      <w:r w:rsidR="00843927" w:rsidRPr="00843927">
        <w:rPr>
          <w:rFonts w:cs="Tahoma"/>
          <w:szCs w:val="20"/>
        </w:rPr>
        <w:t>os</w:t>
      </w:r>
      <w:r>
        <w:rPr>
          <w:rFonts w:cs="Tahoma"/>
          <w:szCs w:val="20"/>
        </w:rPr>
        <w:t>o</w:t>
      </w:r>
      <w:r w:rsidR="00843927">
        <w:rPr>
          <w:rFonts w:cs="Tahoma"/>
          <w:szCs w:val="20"/>
        </w:rPr>
        <w:t>u</w:t>
      </w:r>
      <w:r>
        <w:rPr>
          <w:rFonts w:cs="Tahoma"/>
          <w:szCs w:val="20"/>
        </w:rPr>
        <w:t>dit</w:t>
      </w:r>
      <w:r w:rsidR="00843927" w:rsidRPr="00843927">
        <w:rPr>
          <w:rFonts w:cs="Tahoma"/>
          <w:szCs w:val="20"/>
        </w:rPr>
        <w:t xml:space="preserve">: </w:t>
      </w:r>
    </w:p>
    <w:p w:rsidR="00843927" w:rsidRPr="003B233D" w:rsidRDefault="00843927" w:rsidP="00C6279B">
      <w:pPr>
        <w:pStyle w:val="Odstavecseseznamem"/>
        <w:numPr>
          <w:ilvl w:val="0"/>
          <w:numId w:val="7"/>
        </w:numPr>
        <w:spacing w:after="120"/>
        <w:jc w:val="both"/>
        <w:rPr>
          <w:rFonts w:ascii="Tahoma" w:hAnsi="Tahoma" w:cs="Tahoma"/>
          <w:sz w:val="20"/>
          <w:szCs w:val="20"/>
        </w:rPr>
      </w:pPr>
      <w:r w:rsidRPr="003B233D">
        <w:rPr>
          <w:rFonts w:ascii="Tahoma" w:hAnsi="Tahoma" w:cs="Tahoma"/>
          <w:sz w:val="20"/>
          <w:szCs w:val="20"/>
        </w:rPr>
        <w:t xml:space="preserve">vnitřní koherenci programu: hodnotí se logická návaznost specifických cílů a prioritních os napříč celým programem se zaměřením na plánovanou komplementaritu a očekávané synergie, duplicitní prvky v rámci OP a nastavení vztahů mezi prioritními osami OP. </w:t>
      </w:r>
      <w:r w:rsidR="003B233D" w:rsidRPr="003B233D">
        <w:rPr>
          <w:rFonts w:ascii="Tahoma" w:hAnsi="Tahoma" w:cs="Tahoma"/>
          <w:sz w:val="20"/>
          <w:szCs w:val="20"/>
        </w:rPr>
        <w:t xml:space="preserve">Pozornost je potřeba věnovat také </w:t>
      </w:r>
      <w:r w:rsidRPr="003B233D">
        <w:rPr>
          <w:rFonts w:ascii="Tahoma" w:hAnsi="Tahoma" w:cs="Tahoma"/>
          <w:sz w:val="20"/>
          <w:szCs w:val="20"/>
        </w:rPr>
        <w:t>nastaven</w:t>
      </w:r>
      <w:r w:rsidR="003B233D" w:rsidRPr="003B233D">
        <w:rPr>
          <w:rFonts w:ascii="Tahoma" w:hAnsi="Tahoma" w:cs="Tahoma"/>
          <w:sz w:val="20"/>
          <w:szCs w:val="20"/>
        </w:rPr>
        <w:t>í mechanismů koordina</w:t>
      </w:r>
      <w:r w:rsidRPr="003B233D">
        <w:rPr>
          <w:rFonts w:ascii="Tahoma" w:hAnsi="Tahoma" w:cs="Tahoma"/>
          <w:sz w:val="20"/>
          <w:szCs w:val="20"/>
        </w:rPr>
        <w:t>ce a synergie pr</w:t>
      </w:r>
      <w:r w:rsidR="003B233D" w:rsidRPr="003B233D">
        <w:rPr>
          <w:rFonts w:ascii="Tahoma" w:hAnsi="Tahoma" w:cs="Tahoma"/>
          <w:sz w:val="20"/>
          <w:szCs w:val="20"/>
        </w:rPr>
        <w:t>o</w:t>
      </w:r>
      <w:r w:rsidRPr="003B233D">
        <w:rPr>
          <w:rFonts w:ascii="Tahoma" w:hAnsi="Tahoma" w:cs="Tahoma"/>
          <w:sz w:val="20"/>
          <w:szCs w:val="20"/>
        </w:rPr>
        <w:t xml:space="preserve"> integrované územn</w:t>
      </w:r>
      <w:r w:rsidR="003B233D" w:rsidRPr="003B233D">
        <w:rPr>
          <w:rFonts w:ascii="Tahoma" w:hAnsi="Tahoma" w:cs="Tahoma"/>
          <w:sz w:val="20"/>
          <w:szCs w:val="20"/>
        </w:rPr>
        <w:t>í</w:t>
      </w:r>
      <w:r w:rsidRPr="003B233D">
        <w:rPr>
          <w:rFonts w:ascii="Tahoma" w:hAnsi="Tahoma" w:cs="Tahoma"/>
          <w:sz w:val="20"/>
          <w:szCs w:val="20"/>
        </w:rPr>
        <w:t xml:space="preserve"> invest</w:t>
      </w:r>
      <w:r w:rsidR="003B233D" w:rsidRPr="003B233D">
        <w:rPr>
          <w:rFonts w:ascii="Tahoma" w:hAnsi="Tahoma" w:cs="Tahoma"/>
          <w:sz w:val="20"/>
          <w:szCs w:val="20"/>
        </w:rPr>
        <w:t>ice</w:t>
      </w:r>
      <w:r w:rsidRPr="003B233D">
        <w:rPr>
          <w:rFonts w:ascii="Tahoma" w:hAnsi="Tahoma" w:cs="Tahoma"/>
          <w:sz w:val="20"/>
          <w:szCs w:val="20"/>
        </w:rPr>
        <w:t xml:space="preserve"> a </w:t>
      </w:r>
      <w:r w:rsidR="003B233D" w:rsidRPr="003B233D">
        <w:rPr>
          <w:rFonts w:ascii="Tahoma" w:hAnsi="Tahoma" w:cs="Tahoma"/>
          <w:sz w:val="20"/>
          <w:szCs w:val="20"/>
        </w:rPr>
        <w:t>j</w:t>
      </w:r>
      <w:r w:rsidRPr="003B233D">
        <w:rPr>
          <w:rFonts w:ascii="Tahoma" w:hAnsi="Tahoma" w:cs="Tahoma"/>
          <w:sz w:val="20"/>
          <w:szCs w:val="20"/>
        </w:rPr>
        <w:t>iné integrované strat</w:t>
      </w:r>
      <w:r w:rsidR="003B233D" w:rsidRPr="003B233D">
        <w:rPr>
          <w:rFonts w:ascii="Tahoma" w:hAnsi="Tahoma" w:cs="Tahoma"/>
          <w:sz w:val="20"/>
          <w:szCs w:val="20"/>
        </w:rPr>
        <w:t>egie.</w:t>
      </w:r>
      <w:r w:rsidRPr="003B233D">
        <w:rPr>
          <w:rFonts w:ascii="Tahoma" w:hAnsi="Tahoma" w:cs="Tahoma"/>
          <w:sz w:val="20"/>
          <w:szCs w:val="20"/>
        </w:rPr>
        <w:t xml:space="preserve"> </w:t>
      </w:r>
    </w:p>
    <w:p w:rsidR="00843927" w:rsidRPr="003B233D" w:rsidRDefault="00843927" w:rsidP="00C6279B">
      <w:pPr>
        <w:pStyle w:val="Odstavecseseznamem"/>
        <w:numPr>
          <w:ilvl w:val="0"/>
          <w:numId w:val="7"/>
        </w:numPr>
        <w:spacing w:after="120"/>
        <w:jc w:val="both"/>
        <w:rPr>
          <w:rFonts w:ascii="Tahoma" w:hAnsi="Tahoma" w:cs="Tahoma"/>
          <w:sz w:val="20"/>
          <w:szCs w:val="20"/>
        </w:rPr>
      </w:pPr>
      <w:r w:rsidRPr="003B233D">
        <w:rPr>
          <w:rFonts w:ascii="Tahoma" w:hAnsi="Tahoma" w:cs="Tahoma"/>
          <w:sz w:val="20"/>
          <w:szCs w:val="20"/>
        </w:rPr>
        <w:t>vz</w:t>
      </w:r>
      <w:r w:rsidR="003B233D" w:rsidRPr="003B233D">
        <w:rPr>
          <w:rFonts w:ascii="Tahoma" w:hAnsi="Tahoma" w:cs="Tahoma"/>
          <w:sz w:val="20"/>
          <w:szCs w:val="20"/>
        </w:rPr>
        <w:t xml:space="preserve">tah programu </w:t>
      </w:r>
      <w:r w:rsidRPr="003B233D">
        <w:rPr>
          <w:rFonts w:ascii="Tahoma" w:hAnsi="Tahoma" w:cs="Tahoma"/>
          <w:sz w:val="20"/>
          <w:szCs w:val="20"/>
        </w:rPr>
        <w:t>k ostatn</w:t>
      </w:r>
      <w:r w:rsidR="003B233D" w:rsidRPr="003B233D">
        <w:rPr>
          <w:rFonts w:ascii="Tahoma" w:hAnsi="Tahoma" w:cs="Tahoma"/>
          <w:sz w:val="20"/>
          <w:szCs w:val="20"/>
        </w:rPr>
        <w:t>ím</w:t>
      </w:r>
      <w:r w:rsidRPr="003B233D">
        <w:rPr>
          <w:rFonts w:ascii="Tahoma" w:hAnsi="Tahoma" w:cs="Tahoma"/>
          <w:sz w:val="20"/>
          <w:szCs w:val="20"/>
        </w:rPr>
        <w:t xml:space="preserve"> relevantn</w:t>
      </w:r>
      <w:r w:rsidR="003B233D" w:rsidRPr="003B233D">
        <w:rPr>
          <w:rFonts w:ascii="Tahoma" w:hAnsi="Tahoma" w:cs="Tahoma"/>
          <w:sz w:val="20"/>
          <w:szCs w:val="20"/>
        </w:rPr>
        <w:t>ím</w:t>
      </w:r>
      <w:r w:rsidRPr="003B233D">
        <w:rPr>
          <w:rFonts w:ascii="Tahoma" w:hAnsi="Tahoma" w:cs="Tahoma"/>
          <w:sz w:val="20"/>
          <w:szCs w:val="20"/>
        </w:rPr>
        <w:t xml:space="preserve"> nástroj</w:t>
      </w:r>
      <w:r w:rsidR="003B233D" w:rsidRPr="003B233D">
        <w:rPr>
          <w:rFonts w:ascii="Tahoma" w:hAnsi="Tahoma" w:cs="Tahoma"/>
          <w:sz w:val="20"/>
          <w:szCs w:val="20"/>
        </w:rPr>
        <w:t>ům</w:t>
      </w:r>
      <w:r w:rsidRPr="003B233D">
        <w:rPr>
          <w:rFonts w:ascii="Tahoma" w:hAnsi="Tahoma" w:cs="Tahoma"/>
          <w:sz w:val="20"/>
          <w:szCs w:val="20"/>
        </w:rPr>
        <w:t xml:space="preserve"> a program</w:t>
      </w:r>
      <w:r w:rsidR="003B233D" w:rsidRPr="003B233D">
        <w:rPr>
          <w:rFonts w:ascii="Tahoma" w:hAnsi="Tahoma" w:cs="Tahoma"/>
          <w:sz w:val="20"/>
          <w:szCs w:val="20"/>
        </w:rPr>
        <w:t>ům</w:t>
      </w:r>
      <w:r w:rsidRPr="003B233D">
        <w:rPr>
          <w:rFonts w:ascii="Tahoma" w:hAnsi="Tahoma" w:cs="Tahoma"/>
          <w:sz w:val="20"/>
          <w:szCs w:val="20"/>
        </w:rPr>
        <w:t xml:space="preserve">. </w:t>
      </w:r>
    </w:p>
    <w:p w:rsidR="003B233D" w:rsidRPr="003B233D" w:rsidRDefault="00E06747" w:rsidP="003B233D">
      <w:pPr>
        <w:tabs>
          <w:tab w:val="num" w:pos="720"/>
        </w:tabs>
        <w:spacing w:after="120"/>
        <w:rPr>
          <w:u w:val="single"/>
        </w:rPr>
      </w:pPr>
      <w:r>
        <w:rPr>
          <w:u w:val="single"/>
        </w:rPr>
        <w:t>Východiska</w:t>
      </w:r>
      <w:r w:rsidR="003B233D" w:rsidRPr="003B233D">
        <w:rPr>
          <w:u w:val="single"/>
        </w:rPr>
        <w:t>:</w:t>
      </w:r>
    </w:p>
    <w:p w:rsidR="002D024C" w:rsidRDefault="002D024C" w:rsidP="002D024C">
      <w:pPr>
        <w:spacing w:after="120"/>
        <w:rPr>
          <w:rFonts w:cs="Tahoma"/>
          <w:szCs w:val="20"/>
        </w:rPr>
      </w:pPr>
      <w:r w:rsidRPr="00F81921">
        <w:rPr>
          <w:rFonts w:cs="Tahoma"/>
          <w:szCs w:val="20"/>
        </w:rPr>
        <w:t xml:space="preserve">Východiskem pro hodnocení jsou především </w:t>
      </w:r>
      <w:r w:rsidR="007A2D3C">
        <w:rPr>
          <w:rFonts w:cs="Tahoma"/>
          <w:szCs w:val="20"/>
        </w:rPr>
        <w:t xml:space="preserve">oddíly </w:t>
      </w:r>
      <w:r w:rsidRPr="00F81921">
        <w:rPr>
          <w:rFonts w:cs="Tahoma"/>
          <w:szCs w:val="20"/>
        </w:rPr>
        <w:t>1</w:t>
      </w:r>
      <w:r w:rsidR="004966EF" w:rsidRPr="00F81921">
        <w:rPr>
          <w:rFonts w:cs="Tahoma"/>
          <w:szCs w:val="20"/>
        </w:rPr>
        <w:t xml:space="preserve">, </w:t>
      </w:r>
      <w:r w:rsidRPr="00F81921">
        <w:rPr>
          <w:rFonts w:cs="Tahoma"/>
          <w:szCs w:val="20"/>
        </w:rPr>
        <w:t>2</w:t>
      </w:r>
      <w:r w:rsidR="004966EF" w:rsidRPr="00F81921">
        <w:rPr>
          <w:rFonts w:cs="Tahoma"/>
          <w:szCs w:val="20"/>
        </w:rPr>
        <w:t>, 4 a 8</w:t>
      </w:r>
      <w:r w:rsidRPr="00F81921">
        <w:rPr>
          <w:rFonts w:cs="Tahoma"/>
          <w:szCs w:val="20"/>
        </w:rPr>
        <w:t xml:space="preserve"> textu programu a také </w:t>
      </w:r>
      <w:r w:rsidR="00F81921" w:rsidRPr="00F81921">
        <w:rPr>
          <w:rFonts w:cs="Tahoma"/>
          <w:szCs w:val="20"/>
        </w:rPr>
        <w:t>nepovinn</w:t>
      </w:r>
      <w:r w:rsidR="00796461">
        <w:rPr>
          <w:rFonts w:cs="Tahoma"/>
          <w:szCs w:val="20"/>
        </w:rPr>
        <w:t xml:space="preserve">é </w:t>
      </w:r>
      <w:r w:rsidRPr="00F81921">
        <w:rPr>
          <w:rFonts w:cs="Tahoma"/>
          <w:szCs w:val="20"/>
        </w:rPr>
        <w:t>příloh</w:t>
      </w:r>
      <w:r w:rsidR="00796461">
        <w:rPr>
          <w:rFonts w:cs="Tahoma"/>
          <w:szCs w:val="20"/>
        </w:rPr>
        <w:t>y</w:t>
      </w:r>
      <w:r w:rsidR="00034BF2" w:rsidRPr="00F81921">
        <w:rPr>
          <w:rFonts w:cs="Tahoma"/>
          <w:szCs w:val="20"/>
        </w:rPr>
        <w:t xml:space="preserve"> č.</w:t>
      </w:r>
      <w:r w:rsidR="00E06747" w:rsidRPr="00F81921">
        <w:rPr>
          <w:rFonts w:cs="Tahoma"/>
          <w:szCs w:val="20"/>
        </w:rPr>
        <w:t xml:space="preserve"> </w:t>
      </w:r>
      <w:r w:rsidR="00796461">
        <w:rPr>
          <w:rFonts w:cs="Tahoma"/>
          <w:szCs w:val="20"/>
        </w:rPr>
        <w:t xml:space="preserve">2 a </w:t>
      </w:r>
      <w:r w:rsidR="00395794">
        <w:rPr>
          <w:rFonts w:cs="Tahoma"/>
          <w:szCs w:val="20"/>
        </w:rPr>
        <w:t>4</w:t>
      </w:r>
      <w:r w:rsidR="00E06747" w:rsidRPr="00F81921">
        <w:rPr>
          <w:rFonts w:cs="Tahoma"/>
          <w:szCs w:val="20"/>
        </w:rPr>
        <w:t>.</w:t>
      </w:r>
    </w:p>
    <w:p w:rsidR="001B1D32" w:rsidRDefault="004966EF" w:rsidP="002D024C">
      <w:pPr>
        <w:spacing w:after="120"/>
        <w:rPr>
          <w:rFonts w:cs="Tahoma"/>
          <w:szCs w:val="20"/>
        </w:rPr>
      </w:pPr>
      <w:r>
        <w:rPr>
          <w:rFonts w:cs="Tahoma"/>
          <w:szCs w:val="20"/>
        </w:rPr>
        <w:t xml:space="preserve">OP PIK vymezuje čtyři </w:t>
      </w:r>
      <w:r w:rsidR="002C780B">
        <w:rPr>
          <w:rFonts w:cs="Tahoma"/>
          <w:szCs w:val="20"/>
        </w:rPr>
        <w:t>priority</w:t>
      </w:r>
      <w:r w:rsidR="001B1D32">
        <w:rPr>
          <w:rFonts w:cs="Tahoma"/>
          <w:szCs w:val="20"/>
        </w:rPr>
        <w:t xml:space="preserve">, z nichž </w:t>
      </w:r>
      <w:r w:rsidR="00F81921">
        <w:rPr>
          <w:rFonts w:cs="Tahoma"/>
          <w:szCs w:val="20"/>
        </w:rPr>
        <w:t xml:space="preserve">jedna má vazbu na 2 </w:t>
      </w:r>
      <w:r w:rsidR="001B1D32">
        <w:rPr>
          <w:rFonts w:cs="Tahoma"/>
          <w:szCs w:val="20"/>
        </w:rPr>
        <w:t>vybran</w:t>
      </w:r>
      <w:r w:rsidR="00F81921">
        <w:rPr>
          <w:rFonts w:cs="Tahoma"/>
          <w:szCs w:val="20"/>
        </w:rPr>
        <w:t>é</w:t>
      </w:r>
      <w:r w:rsidR="001B1D32">
        <w:rPr>
          <w:rFonts w:cs="Tahoma"/>
          <w:szCs w:val="20"/>
        </w:rPr>
        <w:t xml:space="preserve"> tematick</w:t>
      </w:r>
      <w:r w:rsidR="00F81921">
        <w:rPr>
          <w:rFonts w:cs="Tahoma"/>
          <w:szCs w:val="20"/>
        </w:rPr>
        <w:t>é</w:t>
      </w:r>
      <w:r w:rsidR="001B1D32">
        <w:rPr>
          <w:rFonts w:cs="Tahoma"/>
          <w:szCs w:val="20"/>
        </w:rPr>
        <w:t xml:space="preserve"> cíl</w:t>
      </w:r>
      <w:r w:rsidR="00F81921">
        <w:rPr>
          <w:rFonts w:cs="Tahoma"/>
          <w:szCs w:val="20"/>
        </w:rPr>
        <w:t>e</w:t>
      </w:r>
      <w:r w:rsidR="001B1D32">
        <w:rPr>
          <w:rFonts w:cs="Tahoma"/>
          <w:szCs w:val="20"/>
        </w:rPr>
        <w:t xml:space="preserve"> pro ESIF</w:t>
      </w:r>
      <w:r w:rsidR="00F81921">
        <w:rPr>
          <w:rFonts w:cs="Tahoma"/>
          <w:szCs w:val="20"/>
        </w:rPr>
        <w:t>, zbývají</w:t>
      </w:r>
      <w:r w:rsidR="00A5042D">
        <w:rPr>
          <w:rFonts w:cs="Tahoma"/>
          <w:szCs w:val="20"/>
        </w:rPr>
        <w:t>cí</w:t>
      </w:r>
      <w:r w:rsidR="00F81921">
        <w:rPr>
          <w:rFonts w:cs="Tahoma"/>
          <w:szCs w:val="20"/>
        </w:rPr>
        <w:t xml:space="preserve"> priority mají vazbu vždy na jeden TC</w:t>
      </w:r>
      <w:r w:rsidR="001B1D32">
        <w:rPr>
          <w:rFonts w:cs="Tahoma"/>
          <w:szCs w:val="20"/>
        </w:rPr>
        <w:t>. Na každ</w:t>
      </w:r>
      <w:r w:rsidR="002C780B">
        <w:rPr>
          <w:rFonts w:cs="Tahoma"/>
          <w:szCs w:val="20"/>
        </w:rPr>
        <w:t>ou prioritu OP PIK</w:t>
      </w:r>
      <w:r w:rsidR="001B1D32">
        <w:rPr>
          <w:rFonts w:cs="Tahoma"/>
          <w:szCs w:val="20"/>
        </w:rPr>
        <w:t xml:space="preserve"> pak navazuje jedna věcně zaměřená prioritní osa</w:t>
      </w:r>
      <w:r w:rsidR="00F81921">
        <w:rPr>
          <w:rFonts w:cs="Tahoma"/>
          <w:szCs w:val="20"/>
        </w:rPr>
        <w:t>, přičemž prioritní osa 3 má vazbu na 2 tematické cíle</w:t>
      </w:r>
      <w:r w:rsidR="001B1D32">
        <w:rPr>
          <w:rFonts w:cs="Tahoma"/>
          <w:szCs w:val="20"/>
        </w:rPr>
        <w:t>.</w:t>
      </w:r>
      <w:r w:rsidR="00391A76">
        <w:rPr>
          <w:rFonts w:cs="Tahoma"/>
          <w:szCs w:val="20"/>
        </w:rPr>
        <w:t xml:space="preserve"> </w:t>
      </w:r>
    </w:p>
    <w:p w:rsidR="00391A76" w:rsidRDefault="00391A76" w:rsidP="002D024C">
      <w:pPr>
        <w:spacing w:after="120"/>
        <w:rPr>
          <w:rFonts w:cs="Tahoma"/>
          <w:szCs w:val="20"/>
        </w:rPr>
      </w:pPr>
      <w:r>
        <w:rPr>
          <w:rFonts w:cs="Tahoma"/>
          <w:szCs w:val="20"/>
        </w:rPr>
        <w:t xml:space="preserve">Pro prioritní osu 1 byla vybrána 1 investiční priorita EFRR a definovány 2 specifické cíle, z nichž jeden je zaměřen na zvyšování inovační výkonnosti podniku a druhý na zvýšení intenzity spolupráce ve </w:t>
      </w:r>
      <w:proofErr w:type="spellStart"/>
      <w:r>
        <w:rPr>
          <w:rFonts w:cs="Tahoma"/>
          <w:szCs w:val="20"/>
        </w:rPr>
        <w:t>VVaI</w:t>
      </w:r>
      <w:proofErr w:type="spellEnd"/>
      <w:r>
        <w:rPr>
          <w:rFonts w:cs="Tahoma"/>
          <w:szCs w:val="20"/>
        </w:rPr>
        <w:t>.</w:t>
      </w:r>
    </w:p>
    <w:p w:rsidR="00391A76" w:rsidRDefault="00391A76" w:rsidP="002D024C">
      <w:pPr>
        <w:spacing w:after="120"/>
        <w:rPr>
          <w:rFonts w:cs="Tahoma"/>
          <w:szCs w:val="20"/>
        </w:rPr>
      </w:pPr>
      <w:r>
        <w:rPr>
          <w:rFonts w:cs="Tahoma"/>
          <w:szCs w:val="20"/>
        </w:rPr>
        <w:lastRenderedPageBreak/>
        <w:t>Prioritní osa 2 obsahuje celkem 3 investiční priority a 4 specifické cíle, kdy 2 specifické cíle jsou definovány v návaznosti na investiční prioritu zaměřenou na podporu budování a rozšiřování vyspělých kapacit pro rozvoj produktů a služeb.</w:t>
      </w:r>
    </w:p>
    <w:p w:rsidR="00823EEC" w:rsidRDefault="00391A76" w:rsidP="002D024C">
      <w:pPr>
        <w:spacing w:after="120"/>
        <w:rPr>
          <w:rFonts w:cs="Tahoma"/>
          <w:szCs w:val="20"/>
        </w:rPr>
      </w:pPr>
      <w:r>
        <w:rPr>
          <w:rFonts w:cs="Tahoma"/>
          <w:szCs w:val="20"/>
        </w:rPr>
        <w:t>Pro prioritní osu 3 byl</w:t>
      </w:r>
      <w:r w:rsidR="00CF60EE">
        <w:rPr>
          <w:rFonts w:cs="Tahoma"/>
          <w:szCs w:val="20"/>
        </w:rPr>
        <w:t>o</w:t>
      </w:r>
      <w:r>
        <w:rPr>
          <w:rFonts w:cs="Tahoma"/>
          <w:szCs w:val="20"/>
        </w:rPr>
        <w:t xml:space="preserve"> vybrán</w:t>
      </w:r>
      <w:r w:rsidR="006C734D">
        <w:rPr>
          <w:rFonts w:cs="Tahoma"/>
          <w:szCs w:val="20"/>
        </w:rPr>
        <w:t>o</w:t>
      </w:r>
      <w:r w:rsidR="00823EEC">
        <w:rPr>
          <w:rFonts w:cs="Tahoma"/>
          <w:szCs w:val="20"/>
        </w:rPr>
        <w:t xml:space="preserve"> celkem</w:t>
      </w:r>
      <w:r>
        <w:rPr>
          <w:rFonts w:cs="Tahoma"/>
          <w:szCs w:val="20"/>
        </w:rPr>
        <w:t xml:space="preserve"> </w:t>
      </w:r>
      <w:r w:rsidR="006C734D">
        <w:rPr>
          <w:rFonts w:cs="Tahoma"/>
          <w:szCs w:val="20"/>
        </w:rPr>
        <w:t>6</w:t>
      </w:r>
      <w:r>
        <w:rPr>
          <w:rFonts w:cs="Tahoma"/>
          <w:szCs w:val="20"/>
        </w:rPr>
        <w:t xml:space="preserve"> investiční</w:t>
      </w:r>
      <w:r w:rsidR="006C734D">
        <w:rPr>
          <w:rFonts w:cs="Tahoma"/>
          <w:szCs w:val="20"/>
        </w:rPr>
        <w:t>ch</w:t>
      </w:r>
      <w:r w:rsidR="00CF60EE">
        <w:rPr>
          <w:rFonts w:cs="Tahoma"/>
          <w:szCs w:val="20"/>
        </w:rPr>
        <w:t xml:space="preserve"> priorit</w:t>
      </w:r>
      <w:r>
        <w:rPr>
          <w:rFonts w:cs="Tahoma"/>
          <w:szCs w:val="20"/>
        </w:rPr>
        <w:t xml:space="preserve"> a definován</w:t>
      </w:r>
      <w:r w:rsidR="006C734D">
        <w:rPr>
          <w:rFonts w:cs="Tahoma"/>
          <w:szCs w:val="20"/>
        </w:rPr>
        <w:t>o 6</w:t>
      </w:r>
      <w:r>
        <w:rPr>
          <w:rFonts w:cs="Tahoma"/>
          <w:szCs w:val="20"/>
        </w:rPr>
        <w:t xml:space="preserve"> specifick</w:t>
      </w:r>
      <w:r w:rsidR="00CF60EE">
        <w:rPr>
          <w:rFonts w:cs="Tahoma"/>
          <w:szCs w:val="20"/>
        </w:rPr>
        <w:t>ých</w:t>
      </w:r>
      <w:r>
        <w:rPr>
          <w:rFonts w:cs="Tahoma"/>
          <w:szCs w:val="20"/>
        </w:rPr>
        <w:t xml:space="preserve"> cíl</w:t>
      </w:r>
      <w:r w:rsidR="00CF60EE">
        <w:rPr>
          <w:rFonts w:cs="Tahoma"/>
          <w:szCs w:val="20"/>
        </w:rPr>
        <w:t>ů</w:t>
      </w:r>
      <w:r>
        <w:rPr>
          <w:rFonts w:cs="Tahoma"/>
          <w:szCs w:val="20"/>
        </w:rPr>
        <w:t>, po jednom v každé investiční prioritě.</w:t>
      </w:r>
    </w:p>
    <w:p w:rsidR="00823EEC" w:rsidRDefault="00823EEC" w:rsidP="002D024C">
      <w:pPr>
        <w:spacing w:after="120"/>
        <w:rPr>
          <w:rFonts w:cs="Tahoma"/>
          <w:szCs w:val="20"/>
        </w:rPr>
      </w:pPr>
      <w:r>
        <w:rPr>
          <w:rFonts w:cs="Tahoma"/>
          <w:szCs w:val="20"/>
        </w:rPr>
        <w:t>Prioritní osa 4 obsahuje 2 investiční priority a na ně navazující 2 specifické cíle.</w:t>
      </w:r>
    </w:p>
    <w:p w:rsidR="002C780B" w:rsidRDefault="002C780B" w:rsidP="002D024C">
      <w:pPr>
        <w:spacing w:after="120"/>
        <w:rPr>
          <w:rFonts w:cs="Tahoma"/>
          <w:szCs w:val="20"/>
        </w:rPr>
      </w:pPr>
      <w:r>
        <w:rPr>
          <w:rFonts w:cs="Tahoma"/>
          <w:szCs w:val="20"/>
        </w:rPr>
        <w:t>Prioritní osa 5 je zaměřena na technickou pomoc a obsahuje 2 specifické cíle.</w:t>
      </w:r>
    </w:p>
    <w:p w:rsidR="00823EEC" w:rsidRPr="00CB6AC9" w:rsidRDefault="007A2D3C" w:rsidP="002D024C">
      <w:pPr>
        <w:spacing w:after="120"/>
        <w:rPr>
          <w:rFonts w:cs="Tahoma"/>
          <w:szCs w:val="20"/>
        </w:rPr>
      </w:pPr>
      <w:r>
        <w:rPr>
          <w:rFonts w:cs="Tahoma"/>
          <w:szCs w:val="20"/>
        </w:rPr>
        <w:t>V oddíle</w:t>
      </w:r>
      <w:r w:rsidR="00823EEC" w:rsidRPr="00CB6AC9">
        <w:rPr>
          <w:rFonts w:cs="Tahoma"/>
          <w:szCs w:val="20"/>
        </w:rPr>
        <w:t xml:space="preserve"> 4 textu OP PIK jsou nastíněny mechanismy koordinace a synergie pro integrované územní investice a další integrované strategie, a to podle jednotlivých prioritních os OP PIK.</w:t>
      </w:r>
    </w:p>
    <w:p w:rsidR="00E06747" w:rsidRDefault="007A2D3C" w:rsidP="002D024C">
      <w:pPr>
        <w:spacing w:after="120"/>
        <w:rPr>
          <w:rFonts w:cs="Tahoma"/>
          <w:szCs w:val="20"/>
        </w:rPr>
      </w:pPr>
      <w:r>
        <w:rPr>
          <w:rFonts w:cs="Tahoma"/>
          <w:szCs w:val="20"/>
        </w:rPr>
        <w:t>Oddíl</w:t>
      </w:r>
      <w:r w:rsidR="00823EEC" w:rsidRPr="00CB6AC9">
        <w:rPr>
          <w:rFonts w:cs="Tahoma"/>
          <w:szCs w:val="20"/>
        </w:rPr>
        <w:t xml:space="preserve"> 8 textu programu popisuje způsob zajištění koordinace s ostatními ESIF</w:t>
      </w:r>
      <w:r w:rsidR="009B3FED" w:rsidRPr="00CB6AC9">
        <w:rPr>
          <w:rFonts w:cs="Tahoma"/>
          <w:szCs w:val="20"/>
        </w:rPr>
        <w:t xml:space="preserve"> a</w:t>
      </w:r>
      <w:r w:rsidR="00823EEC" w:rsidRPr="00CB6AC9">
        <w:rPr>
          <w:rFonts w:cs="Tahoma"/>
          <w:szCs w:val="20"/>
        </w:rPr>
        <w:t xml:space="preserve"> relevantními </w:t>
      </w:r>
      <w:r w:rsidR="009B3FED" w:rsidRPr="00CB6AC9">
        <w:rPr>
          <w:rFonts w:cs="Tahoma"/>
          <w:szCs w:val="20"/>
        </w:rPr>
        <w:t xml:space="preserve">národními </w:t>
      </w:r>
      <w:r w:rsidR="00823EEC" w:rsidRPr="00CB6AC9">
        <w:rPr>
          <w:rFonts w:cs="Tahoma"/>
          <w:szCs w:val="20"/>
        </w:rPr>
        <w:t>nástroji</w:t>
      </w:r>
      <w:r w:rsidR="00852A7A" w:rsidRPr="00CB6AC9">
        <w:rPr>
          <w:rFonts w:cs="Tahoma"/>
          <w:szCs w:val="20"/>
        </w:rPr>
        <w:t xml:space="preserve">, přičemž </w:t>
      </w:r>
      <w:r w:rsidR="00CB6AC9">
        <w:rPr>
          <w:rFonts w:cs="Tahoma"/>
          <w:szCs w:val="20"/>
        </w:rPr>
        <w:t>b</w:t>
      </w:r>
      <w:r w:rsidR="00CB6AC9" w:rsidRPr="00CB6AC9">
        <w:rPr>
          <w:rFonts w:cs="Tahoma"/>
          <w:szCs w:val="20"/>
        </w:rPr>
        <w:t xml:space="preserve">ližší specifikace identifikovaných komplementárních a synergických vazeb je součástí </w:t>
      </w:r>
      <w:r w:rsidR="006C734D">
        <w:rPr>
          <w:rFonts w:cs="Tahoma"/>
          <w:szCs w:val="20"/>
        </w:rPr>
        <w:t xml:space="preserve">nepovinné </w:t>
      </w:r>
      <w:r w:rsidR="00CB6AC9" w:rsidRPr="00CB6AC9">
        <w:rPr>
          <w:rFonts w:cs="Tahoma"/>
          <w:szCs w:val="20"/>
        </w:rPr>
        <w:t xml:space="preserve">přílohy č. </w:t>
      </w:r>
      <w:r w:rsidR="00395794">
        <w:rPr>
          <w:rFonts w:cs="Tahoma"/>
          <w:szCs w:val="20"/>
        </w:rPr>
        <w:t>4</w:t>
      </w:r>
      <w:r w:rsidR="00CB6AC9" w:rsidRPr="00CB6AC9">
        <w:rPr>
          <w:rFonts w:cs="Tahoma"/>
          <w:szCs w:val="20"/>
        </w:rPr>
        <w:t xml:space="preserve">. </w:t>
      </w:r>
    </w:p>
    <w:p w:rsidR="00E06747" w:rsidRPr="00843927" w:rsidRDefault="00E06747" w:rsidP="00E06747">
      <w:pPr>
        <w:tabs>
          <w:tab w:val="num" w:pos="720"/>
        </w:tabs>
        <w:spacing w:after="120"/>
        <w:rPr>
          <w:u w:val="single"/>
        </w:rPr>
      </w:pPr>
      <w:r w:rsidRPr="00843927">
        <w:rPr>
          <w:u w:val="single"/>
        </w:rPr>
        <w:t>Zjištění</w:t>
      </w:r>
      <w:r>
        <w:rPr>
          <w:u w:val="single"/>
        </w:rPr>
        <w:t xml:space="preserve"> v návaznosti na evaluační otázky a úkoly</w:t>
      </w:r>
      <w:r w:rsidRPr="00843927">
        <w:rPr>
          <w:u w:val="single"/>
        </w:rPr>
        <w:t>:</w:t>
      </w:r>
    </w:p>
    <w:tbl>
      <w:tblPr>
        <w:tblW w:w="9231"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80"/>
        <w:gridCol w:w="3248"/>
        <w:gridCol w:w="1276"/>
        <w:gridCol w:w="3827"/>
      </w:tblGrid>
      <w:tr w:rsidR="00276678" w:rsidRPr="0005690F" w:rsidTr="006A64E4">
        <w:trPr>
          <w:trHeight w:val="1350"/>
          <w:tblHeader/>
        </w:trPr>
        <w:tc>
          <w:tcPr>
            <w:tcW w:w="880" w:type="dxa"/>
            <w:shd w:val="clear" w:color="000000" w:fill="BFBFBF"/>
            <w:vAlign w:val="center"/>
            <w:hideMark/>
          </w:tcPr>
          <w:p w:rsidR="00276678" w:rsidRPr="0005690F" w:rsidRDefault="00276678" w:rsidP="00276678">
            <w:pPr>
              <w:jc w:val="center"/>
              <w:rPr>
                <w:rFonts w:ascii="Times New Roman" w:eastAsia="Times New Roman" w:hAnsi="Times New Roman" w:cs="Times New Roman"/>
                <w:b/>
                <w:bCs/>
                <w:szCs w:val="20"/>
                <w:lang w:eastAsia="cs-CZ"/>
              </w:rPr>
            </w:pPr>
            <w:proofErr w:type="spellStart"/>
            <w:r w:rsidRPr="0005690F">
              <w:rPr>
                <w:rFonts w:ascii="Times New Roman" w:eastAsia="Times New Roman" w:hAnsi="Times New Roman" w:cs="Times New Roman"/>
                <w:b/>
                <w:bCs/>
                <w:szCs w:val="20"/>
                <w:lang w:eastAsia="cs-CZ"/>
              </w:rPr>
              <w:t>Poř</w:t>
            </w:r>
            <w:proofErr w:type="spellEnd"/>
            <w:r w:rsidRPr="0005690F">
              <w:rPr>
                <w:rFonts w:ascii="Times New Roman" w:eastAsia="Times New Roman" w:hAnsi="Times New Roman" w:cs="Times New Roman"/>
                <w:b/>
                <w:bCs/>
                <w:szCs w:val="20"/>
                <w:lang w:eastAsia="cs-CZ"/>
              </w:rPr>
              <w:t>. č.</w:t>
            </w:r>
          </w:p>
        </w:tc>
        <w:tc>
          <w:tcPr>
            <w:tcW w:w="3248" w:type="dxa"/>
            <w:shd w:val="clear" w:color="000000" w:fill="BFBFBF"/>
            <w:vAlign w:val="center"/>
            <w:hideMark/>
          </w:tcPr>
          <w:p w:rsidR="00276678" w:rsidRPr="0005690F" w:rsidRDefault="00276678" w:rsidP="00276678">
            <w:pPr>
              <w:jc w:val="center"/>
              <w:rPr>
                <w:rFonts w:ascii="Times New Roman" w:eastAsia="Times New Roman" w:hAnsi="Times New Roman" w:cs="Times New Roman"/>
                <w:b/>
                <w:bCs/>
                <w:szCs w:val="20"/>
                <w:lang w:eastAsia="cs-CZ"/>
              </w:rPr>
            </w:pPr>
            <w:r w:rsidRPr="0005690F">
              <w:rPr>
                <w:rFonts w:ascii="Times New Roman" w:eastAsia="Times New Roman" w:hAnsi="Times New Roman" w:cs="Times New Roman"/>
                <w:b/>
                <w:bCs/>
                <w:szCs w:val="20"/>
                <w:lang w:eastAsia="cs-CZ"/>
              </w:rPr>
              <w:t>Evaluační otázka / úkol</w:t>
            </w:r>
          </w:p>
        </w:tc>
        <w:tc>
          <w:tcPr>
            <w:tcW w:w="1276" w:type="dxa"/>
            <w:shd w:val="clear" w:color="000000" w:fill="BFBFBF"/>
            <w:vAlign w:val="center"/>
            <w:hideMark/>
          </w:tcPr>
          <w:p w:rsidR="00276678" w:rsidRPr="0005690F" w:rsidRDefault="00276678" w:rsidP="00A1343C">
            <w:pPr>
              <w:jc w:val="center"/>
              <w:rPr>
                <w:rFonts w:ascii="Times New Roman" w:eastAsia="Times New Roman" w:hAnsi="Times New Roman" w:cs="Times New Roman"/>
                <w:b/>
                <w:bCs/>
                <w:szCs w:val="20"/>
                <w:lang w:eastAsia="cs-CZ"/>
              </w:rPr>
            </w:pPr>
            <w:r w:rsidRPr="0005690F">
              <w:rPr>
                <w:rFonts w:ascii="Times New Roman" w:eastAsia="Times New Roman" w:hAnsi="Times New Roman" w:cs="Times New Roman"/>
                <w:b/>
                <w:bCs/>
                <w:szCs w:val="20"/>
                <w:lang w:eastAsia="cs-CZ"/>
              </w:rPr>
              <w:t>Zhodnocení</w:t>
            </w:r>
            <w:r w:rsidRPr="0005690F">
              <w:rPr>
                <w:rFonts w:ascii="Times New Roman" w:eastAsia="Times New Roman" w:hAnsi="Times New Roman" w:cs="Times New Roman"/>
                <w:b/>
                <w:bCs/>
                <w:szCs w:val="20"/>
                <w:lang w:eastAsia="cs-CZ"/>
              </w:rPr>
              <w:br/>
            </w:r>
            <w:r w:rsidRPr="0005690F">
              <w:rPr>
                <w:rFonts w:ascii="Times New Roman" w:eastAsia="Times New Roman" w:hAnsi="Times New Roman" w:cs="Times New Roman"/>
                <w:szCs w:val="20"/>
                <w:lang w:eastAsia="cs-CZ"/>
              </w:rPr>
              <w:t>(A - Ano, SA - Spíše ano, SN - Spíše ne, N - Ne, NR - Není relevantní)</w:t>
            </w:r>
          </w:p>
        </w:tc>
        <w:tc>
          <w:tcPr>
            <w:tcW w:w="3827" w:type="dxa"/>
            <w:shd w:val="clear" w:color="000000" w:fill="BFBFBF"/>
            <w:vAlign w:val="center"/>
            <w:hideMark/>
          </w:tcPr>
          <w:p w:rsidR="00276678" w:rsidRPr="0005690F" w:rsidRDefault="00276678" w:rsidP="00276678">
            <w:pPr>
              <w:jc w:val="center"/>
              <w:rPr>
                <w:rFonts w:ascii="Times New Roman" w:eastAsia="Times New Roman" w:hAnsi="Times New Roman" w:cs="Times New Roman"/>
                <w:b/>
                <w:bCs/>
                <w:szCs w:val="20"/>
                <w:lang w:eastAsia="cs-CZ"/>
              </w:rPr>
            </w:pPr>
            <w:r w:rsidRPr="0005690F">
              <w:rPr>
                <w:rFonts w:ascii="Times New Roman" w:eastAsia="Times New Roman" w:hAnsi="Times New Roman" w:cs="Times New Roman"/>
                <w:b/>
                <w:bCs/>
                <w:szCs w:val="20"/>
                <w:lang w:eastAsia="cs-CZ"/>
              </w:rPr>
              <w:t>Komentář, doporučení</w:t>
            </w:r>
          </w:p>
        </w:tc>
      </w:tr>
      <w:tr w:rsidR="00276678" w:rsidRPr="0005690F" w:rsidTr="006A64E4">
        <w:trPr>
          <w:trHeight w:val="1080"/>
        </w:trPr>
        <w:tc>
          <w:tcPr>
            <w:tcW w:w="880" w:type="dxa"/>
            <w:shd w:val="clear" w:color="000000" w:fill="8DB4E3"/>
            <w:hideMark/>
          </w:tcPr>
          <w:p w:rsidR="00276678" w:rsidRPr="0005690F" w:rsidRDefault="00276678"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01.11</w:t>
            </w:r>
          </w:p>
        </w:tc>
        <w:tc>
          <w:tcPr>
            <w:tcW w:w="3248" w:type="dxa"/>
            <w:shd w:val="clear" w:color="000000" w:fill="8DB4E3"/>
            <w:hideMark/>
          </w:tcPr>
          <w:p w:rsidR="00276678" w:rsidRPr="0005690F" w:rsidRDefault="00276678"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Jsou specifické cíle programu (jak v rámci jednotlivých prioritních os, tak cíle různých prioritních os) koherentní, tzn. je mezi jednotlivými cíli programu zajištěna komplementarita a synergie a naopak je zajištěno, že cíle nejsou v rozporu?</w:t>
            </w:r>
          </w:p>
        </w:tc>
        <w:tc>
          <w:tcPr>
            <w:tcW w:w="1276" w:type="dxa"/>
            <w:shd w:val="clear" w:color="000000" w:fill="8DB4E3"/>
            <w:vAlign w:val="center"/>
            <w:hideMark/>
          </w:tcPr>
          <w:p w:rsidR="00276678" w:rsidRPr="0005690F" w:rsidRDefault="00E85B4D" w:rsidP="00A1343C">
            <w:pPr>
              <w:jc w:val="cente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S</w:t>
            </w:r>
            <w:r w:rsidR="004151C3" w:rsidRPr="0005690F">
              <w:rPr>
                <w:rFonts w:ascii="Times New Roman" w:eastAsia="Times New Roman" w:hAnsi="Times New Roman" w:cs="Times New Roman"/>
                <w:szCs w:val="20"/>
                <w:lang w:eastAsia="cs-CZ"/>
              </w:rPr>
              <w:t>A</w:t>
            </w:r>
          </w:p>
        </w:tc>
        <w:tc>
          <w:tcPr>
            <w:tcW w:w="3827" w:type="dxa"/>
            <w:shd w:val="clear" w:color="000000" w:fill="8DB4E3"/>
            <w:hideMark/>
          </w:tcPr>
          <w:p w:rsidR="00276678" w:rsidRPr="0005690F" w:rsidRDefault="004151C3"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 xml:space="preserve">OP PIK lze považovat za vnitřně koherentní. Má poměrně jasný nosný spojující společný prvek definovaných problémů, kterým je konkurenceschopnost a udržitelnost české ekonomiky. </w:t>
            </w:r>
            <w:r w:rsidR="00CB6AC9" w:rsidRPr="0005690F">
              <w:rPr>
                <w:rFonts w:ascii="Times New Roman" w:eastAsia="Times New Roman" w:hAnsi="Times New Roman" w:cs="Times New Roman"/>
                <w:szCs w:val="20"/>
                <w:lang w:eastAsia="cs-CZ"/>
              </w:rPr>
              <w:t>P</w:t>
            </w:r>
            <w:r w:rsidRPr="0005690F">
              <w:rPr>
                <w:rFonts w:ascii="Times New Roman" w:eastAsia="Times New Roman" w:hAnsi="Times New Roman" w:cs="Times New Roman"/>
                <w:szCs w:val="20"/>
                <w:lang w:eastAsia="cs-CZ"/>
              </w:rPr>
              <w:t>rioritní osy se zaměřují na hlavní příčiny problémů, které je možné řešit intervencemi fondů ESIF a jejichž řešení zároveň podmiňuje naplnění cíle OP PIK.</w:t>
            </w:r>
          </w:p>
          <w:p w:rsidR="004151C3" w:rsidRPr="0005690F" w:rsidRDefault="004151C3" w:rsidP="00A1343C">
            <w:pPr>
              <w:rPr>
                <w:rFonts w:ascii="Times New Roman" w:eastAsia="Times New Roman" w:hAnsi="Times New Roman" w:cs="Times New Roman"/>
                <w:szCs w:val="20"/>
                <w:lang w:eastAsia="cs-CZ"/>
              </w:rPr>
            </w:pPr>
          </w:p>
          <w:p w:rsidR="00F059FC" w:rsidRDefault="00CA3726"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V platnosti zůstává předchozí doporučení h</w:t>
            </w:r>
            <w:r w:rsidR="004151C3" w:rsidRPr="0005690F">
              <w:rPr>
                <w:rFonts w:ascii="Times New Roman" w:eastAsia="Times New Roman" w:hAnsi="Times New Roman" w:cs="Times New Roman"/>
                <w:szCs w:val="20"/>
                <w:lang w:eastAsia="cs-CZ"/>
              </w:rPr>
              <w:t>odnotite</w:t>
            </w:r>
            <w:r w:rsidRPr="0005690F">
              <w:rPr>
                <w:rFonts w:ascii="Times New Roman" w:eastAsia="Times New Roman" w:hAnsi="Times New Roman" w:cs="Times New Roman"/>
                <w:szCs w:val="20"/>
                <w:lang w:eastAsia="cs-CZ"/>
              </w:rPr>
              <w:t>le</w:t>
            </w:r>
            <w:r w:rsidR="004151C3" w:rsidRPr="0005690F">
              <w:rPr>
                <w:rFonts w:ascii="Times New Roman" w:eastAsia="Times New Roman" w:hAnsi="Times New Roman" w:cs="Times New Roman"/>
                <w:szCs w:val="20"/>
                <w:lang w:eastAsia="cs-CZ"/>
              </w:rPr>
              <w:t>, že text OP PIK by měl obsahovat popisy komplementarit a synergií mezi prioritními osami a specifickými cíli</w:t>
            </w:r>
            <w:r w:rsidR="003002D1" w:rsidRPr="0005690F">
              <w:rPr>
                <w:rFonts w:ascii="Times New Roman" w:eastAsia="Times New Roman" w:hAnsi="Times New Roman" w:cs="Times New Roman"/>
                <w:szCs w:val="20"/>
                <w:lang w:eastAsia="cs-CZ"/>
              </w:rPr>
              <w:t xml:space="preserve"> OP PIK</w:t>
            </w:r>
            <w:r w:rsidR="00796461">
              <w:rPr>
                <w:rFonts w:ascii="Times New Roman" w:eastAsia="Times New Roman" w:hAnsi="Times New Roman" w:cs="Times New Roman"/>
                <w:szCs w:val="20"/>
                <w:lang w:eastAsia="cs-CZ"/>
              </w:rPr>
              <w:t xml:space="preserve"> (vnitřní koherence programu)</w:t>
            </w:r>
            <w:r w:rsidR="004151C3" w:rsidRPr="0005690F">
              <w:rPr>
                <w:rFonts w:ascii="Times New Roman" w:eastAsia="Times New Roman" w:hAnsi="Times New Roman" w:cs="Times New Roman"/>
                <w:szCs w:val="20"/>
                <w:lang w:eastAsia="cs-CZ"/>
              </w:rPr>
              <w:t xml:space="preserve">. </w:t>
            </w:r>
            <w:r w:rsidR="0069341A" w:rsidRPr="0005690F">
              <w:rPr>
                <w:rFonts w:ascii="Times New Roman" w:eastAsia="Times New Roman" w:hAnsi="Times New Roman" w:cs="Times New Roman"/>
                <w:szCs w:val="20"/>
                <w:lang w:eastAsia="cs-CZ"/>
              </w:rPr>
              <w:t xml:space="preserve">V nové verzi dokumentu byla sice v oddílu 8 a v příloze č. 2 doplněna pasáž nastiňující vazby mezi prioritními osami 1 a 2 („Inovace a podnikání“), ovšem chybí bližší popis vazeb a synergií i mezi dalšími prioritními osami a specifickými cíli OP PIK. </w:t>
            </w:r>
          </w:p>
          <w:p w:rsidR="004151C3" w:rsidRPr="0005690F" w:rsidRDefault="0069341A"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 xml:space="preserve">Dle názoru hodnotitele by měly být popsány synergie především u těch specifických cílů, které se váží ke stejné investiční prioritě (tj. SC 1.1 a 1.2 a také SC 2.3 a 2.4), ale i u těch, které se váží ke stejnému tematickému cíli. </w:t>
            </w:r>
            <w:r w:rsidR="00F059FC">
              <w:rPr>
                <w:rFonts w:ascii="Times New Roman" w:eastAsia="Times New Roman" w:hAnsi="Times New Roman" w:cs="Times New Roman"/>
                <w:szCs w:val="20"/>
                <w:lang w:eastAsia="cs-CZ"/>
              </w:rPr>
              <w:t>Zde jsou j</w:t>
            </w:r>
            <w:r w:rsidRPr="0005690F">
              <w:rPr>
                <w:rFonts w:ascii="Times New Roman" w:eastAsia="Times New Roman" w:hAnsi="Times New Roman" w:cs="Times New Roman"/>
                <w:szCs w:val="20"/>
                <w:lang w:eastAsia="cs-CZ"/>
              </w:rPr>
              <w:t>edním z</w:t>
            </w:r>
            <w:r w:rsidR="00112FF7">
              <w:rPr>
                <w:rFonts w:ascii="Times New Roman" w:eastAsia="Times New Roman" w:hAnsi="Times New Roman" w:cs="Times New Roman"/>
                <w:szCs w:val="20"/>
                <w:lang w:eastAsia="cs-CZ"/>
              </w:rPr>
              <w:t xml:space="preserve"> možných </w:t>
            </w:r>
            <w:r w:rsidRPr="0005690F">
              <w:rPr>
                <w:rFonts w:ascii="Times New Roman" w:eastAsia="Times New Roman" w:hAnsi="Times New Roman" w:cs="Times New Roman"/>
                <w:szCs w:val="20"/>
                <w:lang w:eastAsia="cs-CZ"/>
              </w:rPr>
              <w:t>příkladů bezpochyby specifické cíle prioritní osy 3</w:t>
            </w:r>
            <w:r w:rsidR="00F059FC">
              <w:rPr>
                <w:rFonts w:ascii="Times New Roman" w:eastAsia="Times New Roman" w:hAnsi="Times New Roman" w:cs="Times New Roman"/>
                <w:szCs w:val="20"/>
                <w:lang w:eastAsia="cs-CZ"/>
              </w:rPr>
              <w:t xml:space="preserve">, kdy </w:t>
            </w:r>
            <w:r w:rsidR="00112FF7">
              <w:rPr>
                <w:rFonts w:ascii="Times New Roman" w:eastAsia="Times New Roman" w:hAnsi="Times New Roman" w:cs="Times New Roman"/>
                <w:szCs w:val="20"/>
                <w:lang w:eastAsia="cs-CZ"/>
              </w:rPr>
              <w:t>existují</w:t>
            </w:r>
            <w:r w:rsidR="00F059FC">
              <w:rPr>
                <w:rFonts w:ascii="Times New Roman" w:eastAsia="Times New Roman" w:hAnsi="Times New Roman" w:cs="Times New Roman"/>
                <w:szCs w:val="20"/>
                <w:lang w:eastAsia="cs-CZ"/>
              </w:rPr>
              <w:t xml:space="preserve"> dle názoru hodnotitele </w:t>
            </w:r>
            <w:r w:rsidRPr="0005690F">
              <w:rPr>
                <w:rFonts w:ascii="Times New Roman" w:eastAsia="Times New Roman" w:hAnsi="Times New Roman" w:cs="Times New Roman"/>
                <w:szCs w:val="20"/>
                <w:lang w:eastAsia="cs-CZ"/>
              </w:rPr>
              <w:t>evidentní synergie mezi SC 3.1 a 3.3 a potaž</w:t>
            </w:r>
            <w:r w:rsidR="00F059FC">
              <w:rPr>
                <w:rFonts w:ascii="Times New Roman" w:eastAsia="Times New Roman" w:hAnsi="Times New Roman" w:cs="Times New Roman"/>
                <w:szCs w:val="20"/>
                <w:lang w:eastAsia="cs-CZ"/>
              </w:rPr>
              <w:t>mo 3.6, mezi SC 3.2 a 3.5 apod.</w:t>
            </w:r>
            <w:r w:rsidRPr="0005690F">
              <w:rPr>
                <w:rFonts w:ascii="Times New Roman" w:eastAsia="Times New Roman" w:hAnsi="Times New Roman" w:cs="Times New Roman"/>
                <w:szCs w:val="20"/>
                <w:lang w:eastAsia="cs-CZ"/>
              </w:rPr>
              <w:t xml:space="preserve"> Komplementarity a synergie mezi prioritními osami a specifickými cíli OP PIK </w:t>
            </w:r>
            <w:r w:rsidR="00395794">
              <w:rPr>
                <w:rFonts w:ascii="Times New Roman" w:eastAsia="Times New Roman" w:hAnsi="Times New Roman" w:cs="Times New Roman"/>
                <w:szCs w:val="20"/>
                <w:lang w:eastAsia="cs-CZ"/>
              </w:rPr>
              <w:t xml:space="preserve">by bylo vhodné </w:t>
            </w:r>
            <w:r w:rsidRPr="0005690F">
              <w:rPr>
                <w:rFonts w:ascii="Times New Roman" w:eastAsia="Times New Roman" w:hAnsi="Times New Roman" w:cs="Times New Roman"/>
                <w:szCs w:val="20"/>
                <w:lang w:eastAsia="cs-CZ"/>
              </w:rPr>
              <w:t>více rozvést a popsa</w:t>
            </w:r>
            <w:r w:rsidR="004151C3" w:rsidRPr="0005690F">
              <w:rPr>
                <w:rFonts w:ascii="Times New Roman" w:eastAsia="Times New Roman" w:hAnsi="Times New Roman" w:cs="Times New Roman"/>
                <w:szCs w:val="20"/>
                <w:lang w:eastAsia="cs-CZ"/>
              </w:rPr>
              <w:t>t, neboť představuj</w:t>
            </w:r>
            <w:r w:rsidRPr="0005690F">
              <w:rPr>
                <w:rFonts w:ascii="Times New Roman" w:eastAsia="Times New Roman" w:hAnsi="Times New Roman" w:cs="Times New Roman"/>
                <w:szCs w:val="20"/>
                <w:lang w:eastAsia="cs-CZ"/>
              </w:rPr>
              <w:t>í</w:t>
            </w:r>
            <w:r w:rsidR="004151C3" w:rsidRPr="0005690F">
              <w:rPr>
                <w:rFonts w:ascii="Times New Roman" w:eastAsia="Times New Roman" w:hAnsi="Times New Roman" w:cs="Times New Roman"/>
                <w:szCs w:val="20"/>
                <w:lang w:eastAsia="cs-CZ"/>
              </w:rPr>
              <w:t xml:space="preserve"> </w:t>
            </w:r>
            <w:r w:rsidR="007260D2" w:rsidRPr="0005690F">
              <w:rPr>
                <w:rFonts w:ascii="Times New Roman" w:eastAsia="Times New Roman" w:hAnsi="Times New Roman" w:cs="Times New Roman"/>
                <w:szCs w:val="20"/>
                <w:lang w:eastAsia="cs-CZ"/>
              </w:rPr>
              <w:t>významný předpoklad</w:t>
            </w:r>
            <w:r w:rsidR="004151C3" w:rsidRPr="0005690F">
              <w:rPr>
                <w:rFonts w:ascii="Times New Roman" w:eastAsia="Times New Roman" w:hAnsi="Times New Roman" w:cs="Times New Roman"/>
                <w:szCs w:val="20"/>
                <w:lang w:eastAsia="cs-CZ"/>
              </w:rPr>
              <w:t xml:space="preserve"> úspěšné implementac</w:t>
            </w:r>
            <w:r w:rsidR="003002D1" w:rsidRPr="0005690F">
              <w:rPr>
                <w:rFonts w:ascii="Times New Roman" w:eastAsia="Times New Roman" w:hAnsi="Times New Roman" w:cs="Times New Roman"/>
                <w:szCs w:val="20"/>
                <w:lang w:eastAsia="cs-CZ"/>
              </w:rPr>
              <w:t>e</w:t>
            </w:r>
            <w:r w:rsidR="004151C3" w:rsidRPr="0005690F">
              <w:rPr>
                <w:rFonts w:ascii="Times New Roman" w:eastAsia="Times New Roman" w:hAnsi="Times New Roman" w:cs="Times New Roman"/>
                <w:szCs w:val="20"/>
                <w:lang w:eastAsia="cs-CZ"/>
              </w:rPr>
              <w:t xml:space="preserve"> programu jako celku.</w:t>
            </w:r>
            <w:r w:rsidR="00034BF2" w:rsidRPr="0005690F">
              <w:rPr>
                <w:rFonts w:ascii="Times New Roman" w:eastAsia="Times New Roman" w:hAnsi="Times New Roman" w:cs="Times New Roman"/>
                <w:szCs w:val="20"/>
                <w:lang w:eastAsia="cs-CZ"/>
              </w:rPr>
              <w:t xml:space="preserve"> </w:t>
            </w:r>
            <w:r w:rsidR="00CB6AC9" w:rsidRPr="0005690F">
              <w:rPr>
                <w:rFonts w:ascii="Times New Roman" w:eastAsia="Times New Roman" w:hAnsi="Times New Roman" w:cs="Times New Roman"/>
                <w:szCs w:val="20"/>
                <w:lang w:eastAsia="cs-CZ"/>
              </w:rPr>
              <w:t xml:space="preserve">Téma </w:t>
            </w:r>
            <w:r w:rsidR="00C1614A" w:rsidRPr="0005690F">
              <w:rPr>
                <w:rFonts w:ascii="Times New Roman" w:eastAsia="Times New Roman" w:hAnsi="Times New Roman" w:cs="Times New Roman"/>
                <w:szCs w:val="20"/>
                <w:lang w:eastAsia="cs-CZ"/>
              </w:rPr>
              <w:t>by bylo</w:t>
            </w:r>
            <w:r w:rsidR="00CB6AC9" w:rsidRPr="0005690F">
              <w:rPr>
                <w:rFonts w:ascii="Times New Roman" w:eastAsia="Times New Roman" w:hAnsi="Times New Roman" w:cs="Times New Roman"/>
                <w:szCs w:val="20"/>
                <w:lang w:eastAsia="cs-CZ"/>
              </w:rPr>
              <w:t xml:space="preserve"> možné</w:t>
            </w:r>
            <w:r w:rsidR="00034BF2" w:rsidRPr="0005690F">
              <w:rPr>
                <w:rFonts w:ascii="Times New Roman" w:eastAsia="Times New Roman" w:hAnsi="Times New Roman" w:cs="Times New Roman"/>
                <w:szCs w:val="20"/>
                <w:lang w:eastAsia="cs-CZ"/>
              </w:rPr>
              <w:t xml:space="preserve"> zpracovat </w:t>
            </w:r>
            <w:r w:rsidR="00C1614A" w:rsidRPr="0005690F">
              <w:rPr>
                <w:rFonts w:ascii="Times New Roman" w:eastAsia="Times New Roman" w:hAnsi="Times New Roman" w:cs="Times New Roman"/>
                <w:szCs w:val="20"/>
                <w:lang w:eastAsia="cs-CZ"/>
              </w:rPr>
              <w:t xml:space="preserve">například </w:t>
            </w:r>
            <w:r w:rsidR="00034BF2" w:rsidRPr="0005690F">
              <w:rPr>
                <w:rFonts w:ascii="Times New Roman" w:eastAsia="Times New Roman" w:hAnsi="Times New Roman" w:cs="Times New Roman"/>
                <w:szCs w:val="20"/>
                <w:lang w:eastAsia="cs-CZ"/>
              </w:rPr>
              <w:t>formou sa</w:t>
            </w:r>
            <w:r w:rsidR="00C1614A" w:rsidRPr="0005690F">
              <w:rPr>
                <w:rFonts w:ascii="Times New Roman" w:eastAsia="Times New Roman" w:hAnsi="Times New Roman" w:cs="Times New Roman"/>
                <w:szCs w:val="20"/>
                <w:lang w:eastAsia="cs-CZ"/>
              </w:rPr>
              <w:t xml:space="preserve">mostatného </w:t>
            </w:r>
            <w:r w:rsidR="00C1614A" w:rsidRPr="0005690F">
              <w:rPr>
                <w:rFonts w:ascii="Times New Roman" w:eastAsia="Times New Roman" w:hAnsi="Times New Roman" w:cs="Times New Roman"/>
                <w:szCs w:val="20"/>
                <w:lang w:eastAsia="cs-CZ"/>
              </w:rPr>
              <w:lastRenderedPageBreak/>
              <w:t>textu/přílohy obdobným způsobem</w:t>
            </w:r>
            <w:r w:rsidR="00034BF2" w:rsidRPr="0005690F">
              <w:rPr>
                <w:rFonts w:ascii="Times New Roman" w:eastAsia="Times New Roman" w:hAnsi="Times New Roman" w:cs="Times New Roman"/>
                <w:szCs w:val="20"/>
                <w:lang w:eastAsia="cs-CZ"/>
              </w:rPr>
              <w:t>, jako jsou zpracovány synergie a komplementarity s jinými fond</w:t>
            </w:r>
            <w:r w:rsidR="00A1529D" w:rsidRPr="0005690F">
              <w:rPr>
                <w:rFonts w:ascii="Times New Roman" w:eastAsia="Times New Roman" w:hAnsi="Times New Roman" w:cs="Times New Roman"/>
                <w:szCs w:val="20"/>
                <w:lang w:eastAsia="cs-CZ"/>
              </w:rPr>
              <w:t>y a dalšími podpůrnými nástroji</w:t>
            </w:r>
            <w:r w:rsidR="00034BF2" w:rsidRPr="0005690F">
              <w:rPr>
                <w:rFonts w:ascii="Times New Roman" w:eastAsia="Times New Roman" w:hAnsi="Times New Roman" w:cs="Times New Roman"/>
                <w:szCs w:val="20"/>
                <w:lang w:eastAsia="cs-CZ"/>
              </w:rPr>
              <w:t>.</w:t>
            </w:r>
          </w:p>
          <w:p w:rsidR="0069341A" w:rsidRPr="0005690F" w:rsidRDefault="0069341A" w:rsidP="0069341A">
            <w:pPr>
              <w:rPr>
                <w:rFonts w:ascii="Times New Roman" w:eastAsia="Times New Roman" w:hAnsi="Times New Roman" w:cs="Times New Roman"/>
                <w:szCs w:val="20"/>
                <w:lang w:eastAsia="cs-CZ"/>
              </w:rPr>
            </w:pPr>
          </w:p>
          <w:p w:rsidR="00395794" w:rsidRDefault="007A2D3C" w:rsidP="00A726EB">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 xml:space="preserve">Hodnotitel identifikoval v textu programu také některá témata, která by mohla dle jeho názoru indikovat potencionální překryv na úrovni specifických cílů, a doporučuje proto blíže popsat a vysvětlit hraniční oblasti. Jedním z těchto témat jsou </w:t>
            </w:r>
            <w:r w:rsidRPr="00F059FC">
              <w:rPr>
                <w:rFonts w:ascii="Times New Roman" w:eastAsia="Times New Roman" w:hAnsi="Times New Roman" w:cs="Times New Roman"/>
                <w:i/>
                <w:szCs w:val="20"/>
                <w:lang w:eastAsia="cs-CZ"/>
              </w:rPr>
              <w:t>služby pro podnikání</w:t>
            </w:r>
            <w:r w:rsidRPr="0005690F">
              <w:rPr>
                <w:rFonts w:ascii="Times New Roman" w:eastAsia="Times New Roman" w:hAnsi="Times New Roman" w:cs="Times New Roman"/>
                <w:szCs w:val="20"/>
                <w:lang w:eastAsia="cs-CZ"/>
              </w:rPr>
              <w:t xml:space="preserve">, které jsou v programu obsaženy ve třech specifických cílech (1.2, 2.1 a 2.2), ovšem komplementarity mezi jednotlivými specifickými cíli </w:t>
            </w:r>
            <w:r w:rsidR="009E5BE4" w:rsidRPr="009E5BE4">
              <w:rPr>
                <w:rFonts w:ascii="Times New Roman" w:eastAsia="Times New Roman" w:hAnsi="Times New Roman" w:cs="Times New Roman"/>
                <w:szCs w:val="20"/>
                <w:lang w:eastAsia="cs-CZ"/>
              </w:rPr>
              <w:t xml:space="preserve">ještě nejsou – i přes dílčí upřesnění na základě předchozích doporučení ex-ante -  zcela jednoznačně vymezené. Jedná se např. </w:t>
            </w:r>
            <w:r w:rsidR="00461D98">
              <w:rPr>
                <w:rFonts w:ascii="Times New Roman" w:eastAsia="Times New Roman" w:hAnsi="Times New Roman" w:cs="Times New Roman"/>
                <w:szCs w:val="20"/>
                <w:lang w:eastAsia="cs-CZ"/>
              </w:rPr>
              <w:t xml:space="preserve">o </w:t>
            </w:r>
            <w:r w:rsidR="009E5BE4" w:rsidRPr="009E5BE4">
              <w:rPr>
                <w:rFonts w:ascii="Times New Roman" w:eastAsia="Times New Roman" w:hAnsi="Times New Roman" w:cs="Times New Roman"/>
                <w:szCs w:val="20"/>
                <w:lang w:eastAsia="cs-CZ"/>
              </w:rPr>
              <w:t>dělicí linie mezi „základními poradenskými službami“ (SC 2.1) a „sofistikovanými poradenskými službami“ (SC 2.2).</w:t>
            </w:r>
            <w:r w:rsidR="00395794">
              <w:rPr>
                <w:rFonts w:ascii="Times New Roman" w:eastAsia="Times New Roman" w:hAnsi="Times New Roman" w:cs="Times New Roman"/>
                <w:szCs w:val="20"/>
                <w:lang w:eastAsia="cs-CZ"/>
              </w:rPr>
              <w:t xml:space="preserve"> </w:t>
            </w:r>
          </w:p>
          <w:p w:rsidR="009F7CD4" w:rsidRPr="0005690F" w:rsidRDefault="007A2D3C" w:rsidP="00A726EB">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Dalším příkladem může být</w:t>
            </w:r>
            <w:r w:rsidR="00F059FC">
              <w:rPr>
                <w:rFonts w:ascii="Times New Roman" w:eastAsia="Times New Roman" w:hAnsi="Times New Roman" w:cs="Times New Roman"/>
                <w:szCs w:val="20"/>
                <w:lang w:eastAsia="cs-CZ"/>
              </w:rPr>
              <w:t xml:space="preserve"> téma</w:t>
            </w:r>
            <w:r w:rsidRPr="0005690F">
              <w:rPr>
                <w:rFonts w:ascii="Times New Roman" w:eastAsia="Times New Roman" w:hAnsi="Times New Roman" w:cs="Times New Roman"/>
                <w:szCs w:val="20"/>
                <w:lang w:eastAsia="cs-CZ"/>
              </w:rPr>
              <w:t xml:space="preserve"> </w:t>
            </w:r>
            <w:r w:rsidRPr="00F059FC">
              <w:rPr>
                <w:rFonts w:ascii="Times New Roman" w:eastAsia="Times New Roman" w:hAnsi="Times New Roman" w:cs="Times New Roman"/>
                <w:i/>
                <w:szCs w:val="20"/>
                <w:lang w:eastAsia="cs-CZ"/>
              </w:rPr>
              <w:t>infrastruktura pro podnikání</w:t>
            </w:r>
            <w:r w:rsidRPr="0005690F">
              <w:rPr>
                <w:rFonts w:ascii="Times New Roman" w:eastAsia="Times New Roman" w:hAnsi="Times New Roman" w:cs="Times New Roman"/>
                <w:szCs w:val="20"/>
                <w:lang w:eastAsia="cs-CZ"/>
              </w:rPr>
              <w:t xml:space="preserve"> (SC 1.2, 2.1 a 2.3), kdy SC 2.1 uvádí v popisu podporovaných aktivit jako typové projekty takové, které jsou spojené s (pořízením či) rekonstrukcí budov, přičemž SC 2.3 obdobným způsobem podporuje modernizaci výrobních provozů a rekonstrukce zastaralé podnikatelské infrastruktury.</w:t>
            </w:r>
            <w:r w:rsidR="009F7CD4" w:rsidRPr="0005690F">
              <w:rPr>
                <w:rFonts w:ascii="Times New Roman" w:eastAsia="Times New Roman" w:hAnsi="Times New Roman" w:cs="Times New Roman"/>
                <w:szCs w:val="20"/>
                <w:lang w:eastAsia="cs-CZ"/>
              </w:rPr>
              <w:t xml:space="preserve"> </w:t>
            </w:r>
          </w:p>
          <w:p w:rsidR="004151C3" w:rsidRPr="0005690F" w:rsidRDefault="009F7CD4" w:rsidP="00461D98">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Ne</w:t>
            </w:r>
            <w:r w:rsidR="00F059FC">
              <w:rPr>
                <w:rFonts w:ascii="Times New Roman" w:eastAsia="Times New Roman" w:hAnsi="Times New Roman" w:cs="Times New Roman"/>
                <w:szCs w:val="20"/>
                <w:lang w:eastAsia="cs-CZ"/>
              </w:rPr>
              <w:t xml:space="preserve"> zcela jasná</w:t>
            </w:r>
            <w:r w:rsidRPr="0005690F">
              <w:rPr>
                <w:rFonts w:ascii="Times New Roman" w:eastAsia="Times New Roman" w:hAnsi="Times New Roman" w:cs="Times New Roman"/>
                <w:szCs w:val="20"/>
                <w:lang w:eastAsia="cs-CZ"/>
              </w:rPr>
              <w:t xml:space="preserve"> je rovněž hraniční oblast mezi SC 1.1 a SC 3.4. Dle názoru hodnotitel</w:t>
            </w:r>
            <w:r w:rsidR="000B0162" w:rsidRPr="0005690F">
              <w:rPr>
                <w:rFonts w:ascii="Times New Roman" w:eastAsia="Times New Roman" w:hAnsi="Times New Roman" w:cs="Times New Roman"/>
                <w:szCs w:val="20"/>
                <w:lang w:eastAsia="cs-CZ"/>
              </w:rPr>
              <w:t>e</w:t>
            </w:r>
            <w:r w:rsidRPr="0005690F">
              <w:rPr>
                <w:rFonts w:ascii="Times New Roman" w:eastAsia="Times New Roman" w:hAnsi="Times New Roman" w:cs="Times New Roman"/>
                <w:szCs w:val="20"/>
                <w:lang w:eastAsia="cs-CZ"/>
              </w:rPr>
              <w:t xml:space="preserve"> je možn</w:t>
            </w:r>
            <w:r w:rsidR="00B21AA8" w:rsidRPr="0005690F">
              <w:rPr>
                <w:rFonts w:ascii="Times New Roman" w:eastAsia="Times New Roman" w:hAnsi="Times New Roman" w:cs="Times New Roman"/>
                <w:szCs w:val="20"/>
                <w:lang w:eastAsia="cs-CZ"/>
              </w:rPr>
              <w:t>o podporovat</w:t>
            </w:r>
            <w:r w:rsidRPr="0005690F">
              <w:rPr>
                <w:rFonts w:ascii="Times New Roman" w:eastAsia="Times New Roman" w:hAnsi="Times New Roman" w:cs="Times New Roman"/>
                <w:szCs w:val="20"/>
                <w:lang w:eastAsia="cs-CZ"/>
              </w:rPr>
              <w:t xml:space="preserve"> zavádění inovativních nízkouhlíkových technologií (</w:t>
            </w:r>
            <w:r w:rsidR="00B21AA8" w:rsidRPr="0005690F">
              <w:rPr>
                <w:rFonts w:ascii="Times New Roman" w:eastAsia="Times New Roman" w:hAnsi="Times New Roman" w:cs="Times New Roman"/>
                <w:szCs w:val="20"/>
                <w:lang w:eastAsia="cs-CZ"/>
              </w:rPr>
              <w:t xml:space="preserve">nyní </w:t>
            </w:r>
            <w:r w:rsidRPr="0005690F">
              <w:rPr>
                <w:rFonts w:ascii="Times New Roman" w:eastAsia="Times New Roman" w:hAnsi="Times New Roman" w:cs="Times New Roman"/>
                <w:szCs w:val="20"/>
                <w:lang w:eastAsia="cs-CZ"/>
              </w:rPr>
              <w:t xml:space="preserve">SC 3.4) i v rámci SC </w:t>
            </w:r>
            <w:r w:rsidRPr="00461D98">
              <w:rPr>
                <w:rFonts w:ascii="Times New Roman" w:eastAsia="Times New Roman" w:hAnsi="Times New Roman" w:cs="Times New Roman"/>
                <w:szCs w:val="20"/>
                <w:lang w:eastAsia="cs-CZ"/>
              </w:rPr>
              <w:t>1.1</w:t>
            </w:r>
            <w:r w:rsidR="009E5BE4" w:rsidRPr="009E5BE4">
              <w:rPr>
                <w:rFonts w:ascii="Times New Roman" w:eastAsia="Times New Roman" w:hAnsi="Times New Roman" w:cs="Times New Roman"/>
                <w:szCs w:val="20"/>
                <w:lang w:eastAsia="cs-CZ"/>
              </w:rPr>
              <w:t>, což bude dle vyjádření zpracovatele dále řešeno.</w:t>
            </w:r>
            <w:r w:rsidRPr="0005690F">
              <w:rPr>
                <w:rFonts w:ascii="Times New Roman" w:eastAsia="Times New Roman" w:hAnsi="Times New Roman" w:cs="Times New Roman"/>
                <w:szCs w:val="20"/>
                <w:lang w:eastAsia="cs-CZ"/>
              </w:rPr>
              <w:t xml:space="preserve">    </w:t>
            </w:r>
          </w:p>
        </w:tc>
      </w:tr>
      <w:tr w:rsidR="00276678" w:rsidRPr="0005690F" w:rsidTr="006A64E4">
        <w:trPr>
          <w:trHeight w:val="302"/>
        </w:trPr>
        <w:tc>
          <w:tcPr>
            <w:tcW w:w="880" w:type="dxa"/>
            <w:shd w:val="clear" w:color="000000" w:fill="8DB4E3"/>
            <w:hideMark/>
          </w:tcPr>
          <w:p w:rsidR="00276678" w:rsidRPr="0005690F" w:rsidRDefault="00276678"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lastRenderedPageBreak/>
              <w:t>01.12</w:t>
            </w:r>
          </w:p>
        </w:tc>
        <w:tc>
          <w:tcPr>
            <w:tcW w:w="3248" w:type="dxa"/>
            <w:shd w:val="clear" w:color="000000" w:fill="8DB4E3"/>
            <w:hideMark/>
          </w:tcPr>
          <w:p w:rsidR="00276678" w:rsidRPr="0005690F" w:rsidRDefault="00276678"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Jsou zajištěny hraniční oblasti s ostatními programy fondů SSR, resp. ESIF?</w:t>
            </w:r>
          </w:p>
        </w:tc>
        <w:tc>
          <w:tcPr>
            <w:tcW w:w="1276" w:type="dxa"/>
            <w:shd w:val="clear" w:color="000000" w:fill="8DB4E3"/>
            <w:vAlign w:val="center"/>
            <w:hideMark/>
          </w:tcPr>
          <w:p w:rsidR="00276678" w:rsidRPr="0005690F" w:rsidRDefault="004C298D" w:rsidP="00A1343C">
            <w:pPr>
              <w:jc w:val="cente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S</w:t>
            </w:r>
            <w:r w:rsidR="004151C3" w:rsidRPr="0005690F">
              <w:rPr>
                <w:rFonts w:ascii="Times New Roman" w:eastAsia="Times New Roman" w:hAnsi="Times New Roman" w:cs="Times New Roman"/>
                <w:szCs w:val="20"/>
                <w:lang w:eastAsia="cs-CZ"/>
              </w:rPr>
              <w:t>A</w:t>
            </w:r>
          </w:p>
        </w:tc>
        <w:tc>
          <w:tcPr>
            <w:tcW w:w="3827" w:type="dxa"/>
            <w:shd w:val="clear" w:color="000000" w:fill="8DB4E3"/>
            <w:hideMark/>
          </w:tcPr>
          <w:p w:rsidR="006C734D" w:rsidRPr="0005690F" w:rsidRDefault="00B3555F" w:rsidP="00CA3726">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Zajištění koordinace s ostatními ES</w:t>
            </w:r>
            <w:r w:rsidR="00806D90" w:rsidRPr="0005690F">
              <w:rPr>
                <w:rFonts w:ascii="Times New Roman" w:eastAsia="Times New Roman" w:hAnsi="Times New Roman" w:cs="Times New Roman"/>
                <w:szCs w:val="20"/>
                <w:lang w:eastAsia="cs-CZ"/>
              </w:rPr>
              <w:t>I</w:t>
            </w:r>
            <w:r w:rsidRPr="0005690F">
              <w:rPr>
                <w:rFonts w:ascii="Times New Roman" w:eastAsia="Times New Roman" w:hAnsi="Times New Roman" w:cs="Times New Roman"/>
                <w:szCs w:val="20"/>
                <w:lang w:eastAsia="cs-CZ"/>
              </w:rPr>
              <w:t xml:space="preserve">F </w:t>
            </w:r>
            <w:r w:rsidR="00806D90" w:rsidRPr="0005690F">
              <w:rPr>
                <w:rFonts w:ascii="Times New Roman" w:eastAsia="Times New Roman" w:hAnsi="Times New Roman" w:cs="Times New Roman"/>
                <w:szCs w:val="20"/>
                <w:lang w:eastAsia="cs-CZ"/>
              </w:rPr>
              <w:t>je p</w:t>
            </w:r>
            <w:r w:rsidR="004151C3" w:rsidRPr="0005690F">
              <w:rPr>
                <w:rFonts w:ascii="Times New Roman" w:eastAsia="Times New Roman" w:hAnsi="Times New Roman" w:cs="Times New Roman"/>
                <w:szCs w:val="20"/>
                <w:lang w:eastAsia="cs-CZ"/>
              </w:rPr>
              <w:t>opsán</w:t>
            </w:r>
            <w:r w:rsidR="00806D90" w:rsidRPr="0005690F">
              <w:rPr>
                <w:rFonts w:ascii="Times New Roman" w:eastAsia="Times New Roman" w:hAnsi="Times New Roman" w:cs="Times New Roman"/>
                <w:szCs w:val="20"/>
                <w:lang w:eastAsia="cs-CZ"/>
              </w:rPr>
              <w:t>o</w:t>
            </w:r>
            <w:r w:rsidR="004151C3" w:rsidRPr="0005690F">
              <w:rPr>
                <w:rFonts w:ascii="Times New Roman" w:eastAsia="Times New Roman" w:hAnsi="Times New Roman" w:cs="Times New Roman"/>
                <w:szCs w:val="20"/>
                <w:lang w:eastAsia="cs-CZ"/>
              </w:rPr>
              <w:t xml:space="preserve"> </w:t>
            </w:r>
            <w:r w:rsidR="00A1529D" w:rsidRPr="0005690F">
              <w:rPr>
                <w:rFonts w:ascii="Times New Roman" w:eastAsia="Times New Roman" w:hAnsi="Times New Roman" w:cs="Times New Roman"/>
                <w:szCs w:val="20"/>
                <w:lang w:eastAsia="cs-CZ"/>
              </w:rPr>
              <w:t>v</w:t>
            </w:r>
            <w:r w:rsidR="007A2D3C" w:rsidRPr="0005690F">
              <w:rPr>
                <w:rFonts w:ascii="Times New Roman" w:eastAsia="Times New Roman" w:hAnsi="Times New Roman" w:cs="Times New Roman"/>
                <w:szCs w:val="20"/>
                <w:lang w:eastAsia="cs-CZ"/>
              </w:rPr>
              <w:t xml:space="preserve"> oddíle</w:t>
            </w:r>
            <w:r w:rsidR="00A1529D" w:rsidRPr="0005690F">
              <w:rPr>
                <w:rFonts w:ascii="Times New Roman" w:eastAsia="Times New Roman" w:hAnsi="Times New Roman" w:cs="Times New Roman"/>
                <w:szCs w:val="20"/>
                <w:lang w:eastAsia="cs-CZ"/>
              </w:rPr>
              <w:t xml:space="preserve"> 8 textu programu a </w:t>
            </w:r>
            <w:r w:rsidR="004151C3" w:rsidRPr="0005690F">
              <w:rPr>
                <w:rFonts w:ascii="Times New Roman" w:eastAsia="Times New Roman" w:hAnsi="Times New Roman" w:cs="Times New Roman"/>
                <w:szCs w:val="20"/>
                <w:lang w:eastAsia="cs-CZ"/>
              </w:rPr>
              <w:t>v</w:t>
            </w:r>
            <w:r w:rsidR="006C734D" w:rsidRPr="0005690F">
              <w:rPr>
                <w:rFonts w:ascii="Times New Roman" w:eastAsia="Times New Roman" w:hAnsi="Times New Roman" w:cs="Times New Roman"/>
                <w:szCs w:val="20"/>
                <w:lang w:eastAsia="cs-CZ"/>
              </w:rPr>
              <w:t xml:space="preserve"> nepovinné</w:t>
            </w:r>
            <w:r w:rsidR="004151C3" w:rsidRPr="0005690F">
              <w:rPr>
                <w:rFonts w:ascii="Times New Roman" w:eastAsia="Times New Roman" w:hAnsi="Times New Roman" w:cs="Times New Roman"/>
                <w:szCs w:val="20"/>
                <w:lang w:eastAsia="cs-CZ"/>
              </w:rPr>
              <w:t> příloze č.</w:t>
            </w:r>
            <w:r w:rsidR="00F31A01" w:rsidRPr="0005690F">
              <w:rPr>
                <w:rFonts w:ascii="Times New Roman" w:eastAsia="Times New Roman" w:hAnsi="Times New Roman" w:cs="Times New Roman"/>
                <w:szCs w:val="20"/>
                <w:lang w:eastAsia="cs-CZ"/>
              </w:rPr>
              <w:t xml:space="preserve"> </w:t>
            </w:r>
            <w:r w:rsidR="00853EA4">
              <w:rPr>
                <w:rFonts w:ascii="Times New Roman" w:eastAsia="Times New Roman" w:hAnsi="Times New Roman" w:cs="Times New Roman"/>
                <w:szCs w:val="20"/>
                <w:lang w:eastAsia="cs-CZ"/>
              </w:rPr>
              <w:t>4</w:t>
            </w:r>
            <w:r w:rsidR="004151C3" w:rsidRPr="0005690F">
              <w:rPr>
                <w:rFonts w:ascii="Times New Roman" w:eastAsia="Times New Roman" w:hAnsi="Times New Roman" w:cs="Times New Roman"/>
                <w:szCs w:val="20"/>
                <w:lang w:eastAsia="cs-CZ"/>
              </w:rPr>
              <w:t xml:space="preserve">. </w:t>
            </w:r>
          </w:p>
          <w:p w:rsidR="00C53FA1" w:rsidRDefault="006C734D" w:rsidP="006C734D">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Všechny hraniční oblasti dosud</w:t>
            </w:r>
            <w:r w:rsidR="00CA3726" w:rsidRPr="0005690F">
              <w:rPr>
                <w:rFonts w:ascii="Times New Roman" w:eastAsia="Times New Roman" w:hAnsi="Times New Roman" w:cs="Times New Roman"/>
                <w:szCs w:val="20"/>
                <w:lang w:eastAsia="cs-CZ"/>
              </w:rPr>
              <w:t xml:space="preserve"> nejsou zcela dořešené a vyjasněné, nicméně h</w:t>
            </w:r>
            <w:r w:rsidR="004151C3" w:rsidRPr="0005690F">
              <w:rPr>
                <w:rFonts w:ascii="Times New Roman" w:eastAsia="Times New Roman" w:hAnsi="Times New Roman" w:cs="Times New Roman"/>
                <w:szCs w:val="20"/>
                <w:lang w:eastAsia="cs-CZ"/>
              </w:rPr>
              <w:t xml:space="preserve">odnotitel se domnívá, že tomuto tématu je věnována dostatečná pozornost </w:t>
            </w:r>
            <w:r w:rsidR="002D41E1" w:rsidRPr="0005690F">
              <w:rPr>
                <w:rFonts w:ascii="Times New Roman" w:eastAsia="Times New Roman" w:hAnsi="Times New Roman" w:cs="Times New Roman"/>
                <w:szCs w:val="20"/>
                <w:lang w:eastAsia="cs-CZ"/>
              </w:rPr>
              <w:t xml:space="preserve">jak </w:t>
            </w:r>
            <w:r w:rsidR="004151C3" w:rsidRPr="0005690F">
              <w:rPr>
                <w:rFonts w:ascii="Times New Roman" w:eastAsia="Times New Roman" w:hAnsi="Times New Roman" w:cs="Times New Roman"/>
                <w:szCs w:val="20"/>
                <w:lang w:eastAsia="cs-CZ"/>
              </w:rPr>
              <w:t>ze strany MMR-NOK, tak jednotlivých řídících orgánů</w:t>
            </w:r>
            <w:r w:rsidR="00E75FA8" w:rsidRPr="0005690F">
              <w:rPr>
                <w:rFonts w:ascii="Times New Roman" w:eastAsia="Times New Roman" w:hAnsi="Times New Roman" w:cs="Times New Roman"/>
                <w:szCs w:val="20"/>
                <w:lang w:eastAsia="cs-CZ"/>
              </w:rPr>
              <w:t>,</w:t>
            </w:r>
            <w:r w:rsidR="004151C3" w:rsidRPr="0005690F">
              <w:rPr>
                <w:rFonts w:ascii="Times New Roman" w:eastAsia="Times New Roman" w:hAnsi="Times New Roman" w:cs="Times New Roman"/>
                <w:szCs w:val="20"/>
                <w:lang w:eastAsia="cs-CZ"/>
              </w:rPr>
              <w:t xml:space="preserve"> a postupně se daří </w:t>
            </w:r>
            <w:r w:rsidR="00E75FA8" w:rsidRPr="0005690F">
              <w:rPr>
                <w:rFonts w:ascii="Times New Roman" w:eastAsia="Times New Roman" w:hAnsi="Times New Roman" w:cs="Times New Roman"/>
                <w:szCs w:val="20"/>
                <w:lang w:eastAsia="cs-CZ"/>
              </w:rPr>
              <w:t>– v souladu s Akčním plánem hraničních oblastí v pr</w:t>
            </w:r>
            <w:r w:rsidR="00F31A01" w:rsidRPr="0005690F">
              <w:rPr>
                <w:rFonts w:ascii="Times New Roman" w:eastAsia="Times New Roman" w:hAnsi="Times New Roman" w:cs="Times New Roman"/>
                <w:szCs w:val="20"/>
                <w:lang w:eastAsia="cs-CZ"/>
              </w:rPr>
              <w:t>ogramovém období 2014</w:t>
            </w:r>
            <w:r w:rsidR="002D41E1" w:rsidRPr="0005690F">
              <w:rPr>
                <w:rFonts w:ascii="Times New Roman" w:eastAsia="Times New Roman" w:hAnsi="Times New Roman" w:cs="Times New Roman"/>
                <w:szCs w:val="20"/>
                <w:lang w:eastAsia="cs-CZ"/>
              </w:rPr>
              <w:t xml:space="preserve">–2020 </w:t>
            </w:r>
            <w:r w:rsidR="00CA3726" w:rsidRPr="0005690F">
              <w:rPr>
                <w:rFonts w:ascii="Times New Roman" w:eastAsia="Times New Roman" w:hAnsi="Times New Roman" w:cs="Times New Roman"/>
                <w:szCs w:val="20"/>
                <w:lang w:eastAsia="cs-CZ"/>
              </w:rPr>
              <w:t>řešit a optimalizovat hraniční</w:t>
            </w:r>
            <w:r w:rsidR="00E75FA8" w:rsidRPr="0005690F">
              <w:rPr>
                <w:rFonts w:ascii="Times New Roman" w:eastAsia="Times New Roman" w:hAnsi="Times New Roman" w:cs="Times New Roman"/>
                <w:szCs w:val="20"/>
                <w:lang w:eastAsia="cs-CZ"/>
              </w:rPr>
              <w:t xml:space="preserve"> oblast</w:t>
            </w:r>
            <w:r w:rsidR="00CA3726" w:rsidRPr="0005690F">
              <w:rPr>
                <w:rFonts w:ascii="Times New Roman" w:eastAsia="Times New Roman" w:hAnsi="Times New Roman" w:cs="Times New Roman"/>
                <w:szCs w:val="20"/>
                <w:lang w:eastAsia="cs-CZ"/>
              </w:rPr>
              <w:t>i</w:t>
            </w:r>
            <w:r w:rsidR="00E75FA8" w:rsidRPr="0005690F">
              <w:rPr>
                <w:rFonts w:ascii="Times New Roman" w:eastAsia="Times New Roman" w:hAnsi="Times New Roman" w:cs="Times New Roman"/>
                <w:szCs w:val="20"/>
                <w:lang w:eastAsia="cs-CZ"/>
              </w:rPr>
              <w:t xml:space="preserve">. </w:t>
            </w:r>
            <w:r w:rsidR="00CA3726" w:rsidRPr="0005690F">
              <w:rPr>
                <w:rFonts w:ascii="Times New Roman" w:eastAsia="Times New Roman" w:hAnsi="Times New Roman" w:cs="Times New Roman"/>
                <w:szCs w:val="20"/>
                <w:lang w:eastAsia="cs-CZ"/>
              </w:rPr>
              <w:t xml:space="preserve">Významnou </w:t>
            </w:r>
            <w:r w:rsidR="00E75FA8" w:rsidRPr="0005690F">
              <w:rPr>
                <w:rFonts w:ascii="Times New Roman" w:eastAsia="Times New Roman" w:hAnsi="Times New Roman" w:cs="Times New Roman"/>
                <w:szCs w:val="20"/>
                <w:lang w:eastAsia="cs-CZ"/>
              </w:rPr>
              <w:t>měrou k tomu přispívají i zkušenosti z předchozích programových období.</w:t>
            </w:r>
            <w:r w:rsidR="002B7BB8" w:rsidRPr="0005690F">
              <w:rPr>
                <w:rFonts w:ascii="Times New Roman" w:eastAsia="Times New Roman" w:hAnsi="Times New Roman" w:cs="Times New Roman"/>
                <w:szCs w:val="20"/>
                <w:lang w:eastAsia="cs-CZ"/>
              </w:rPr>
              <w:t xml:space="preserve"> </w:t>
            </w:r>
          </w:p>
          <w:p w:rsidR="00112FF7" w:rsidRDefault="00112FF7" w:rsidP="00112FF7">
            <w:pPr>
              <w:rPr>
                <w:rFonts w:ascii="Times New Roman" w:eastAsia="Times New Roman" w:hAnsi="Times New Roman" w:cs="Times New Roman"/>
                <w:szCs w:val="20"/>
                <w:lang w:eastAsia="cs-CZ"/>
              </w:rPr>
            </w:pPr>
          </w:p>
          <w:p w:rsidR="00112FF7" w:rsidRPr="0005690F" w:rsidRDefault="00112FF7" w:rsidP="00112FF7">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Hodnotitel doporučuje doplnit rovněž popis zajištění koordinace s operačním programem nadnárodní spolupráce </w:t>
            </w:r>
            <w:proofErr w:type="spellStart"/>
            <w:r>
              <w:rPr>
                <w:rFonts w:ascii="Times New Roman" w:eastAsia="Times New Roman" w:hAnsi="Times New Roman" w:cs="Times New Roman"/>
                <w:szCs w:val="20"/>
                <w:lang w:eastAsia="cs-CZ"/>
              </w:rPr>
              <w:t>Danube</w:t>
            </w:r>
            <w:proofErr w:type="spellEnd"/>
            <w:r>
              <w:rPr>
                <w:rFonts w:ascii="Times New Roman" w:eastAsia="Times New Roman" w:hAnsi="Times New Roman" w:cs="Times New Roman"/>
                <w:szCs w:val="20"/>
                <w:lang w:eastAsia="cs-CZ"/>
              </w:rPr>
              <w:t xml:space="preserve"> 2020, mezi </w:t>
            </w:r>
            <w:r>
              <w:rPr>
                <w:rFonts w:ascii="Times New Roman" w:eastAsia="Times New Roman" w:hAnsi="Times New Roman" w:cs="Times New Roman"/>
                <w:szCs w:val="20"/>
                <w:lang w:eastAsia="cs-CZ"/>
              </w:rPr>
              <w:lastRenderedPageBreak/>
              <w:t>jehož priority patří</w:t>
            </w:r>
            <w:r w:rsidRPr="00201CFD">
              <w:rPr>
                <w:rFonts w:ascii="Times New Roman" w:eastAsia="Times New Roman" w:hAnsi="Times New Roman" w:cs="Times New Roman"/>
                <w:szCs w:val="20"/>
                <w:lang w:eastAsia="cs-CZ"/>
              </w:rPr>
              <w:t xml:space="preserve"> i oblast mezinárodní institucionální spolupráce</w:t>
            </w:r>
            <w:r>
              <w:rPr>
                <w:rFonts w:ascii="Times New Roman" w:eastAsia="Times New Roman" w:hAnsi="Times New Roman" w:cs="Times New Roman"/>
                <w:szCs w:val="20"/>
                <w:lang w:eastAsia="cs-CZ"/>
              </w:rPr>
              <w:t xml:space="preserve"> v podpoře ekonomického rozvoje.</w:t>
            </w:r>
          </w:p>
        </w:tc>
      </w:tr>
      <w:tr w:rsidR="00276678" w:rsidRPr="0005690F" w:rsidTr="006A64E4">
        <w:trPr>
          <w:trHeight w:val="443"/>
        </w:trPr>
        <w:tc>
          <w:tcPr>
            <w:tcW w:w="880" w:type="dxa"/>
            <w:shd w:val="clear" w:color="000000" w:fill="8DB4E3"/>
            <w:hideMark/>
          </w:tcPr>
          <w:p w:rsidR="00276678" w:rsidRPr="0005690F" w:rsidRDefault="00276678"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lastRenderedPageBreak/>
              <w:t>01.13</w:t>
            </w:r>
          </w:p>
        </w:tc>
        <w:tc>
          <w:tcPr>
            <w:tcW w:w="3248" w:type="dxa"/>
            <w:shd w:val="clear" w:color="000000" w:fill="8DB4E3"/>
            <w:hideMark/>
          </w:tcPr>
          <w:p w:rsidR="00276678" w:rsidRPr="0005690F" w:rsidRDefault="00276678"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Jsou v programu identifikovány jiné relevantní nástroje a dostatečně vymezen vztah programu (cílů a aktivit) k těmto jiným nástrojům?</w:t>
            </w:r>
          </w:p>
        </w:tc>
        <w:tc>
          <w:tcPr>
            <w:tcW w:w="1276" w:type="dxa"/>
            <w:shd w:val="clear" w:color="000000" w:fill="8DB4E3"/>
            <w:vAlign w:val="center"/>
            <w:hideMark/>
          </w:tcPr>
          <w:p w:rsidR="00276678" w:rsidRPr="0005690F" w:rsidRDefault="007B13F4" w:rsidP="00A1343C">
            <w:pPr>
              <w:jc w:val="cente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A</w:t>
            </w:r>
          </w:p>
        </w:tc>
        <w:tc>
          <w:tcPr>
            <w:tcW w:w="3827" w:type="dxa"/>
            <w:shd w:val="clear" w:color="000000" w:fill="8DB4E3"/>
            <w:hideMark/>
          </w:tcPr>
          <w:p w:rsidR="00B3555F" w:rsidRDefault="00A1529D" w:rsidP="00201CFD">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Zajištění koordinace s jinými relevantními nástroji je popsáno v </w:t>
            </w:r>
            <w:r w:rsidR="007A2D3C" w:rsidRPr="0005690F">
              <w:rPr>
                <w:rFonts w:ascii="Times New Roman" w:eastAsia="Times New Roman" w:hAnsi="Times New Roman" w:cs="Times New Roman"/>
                <w:szCs w:val="20"/>
                <w:lang w:eastAsia="cs-CZ"/>
              </w:rPr>
              <w:t>oddíle</w:t>
            </w:r>
            <w:r w:rsidRPr="0005690F">
              <w:rPr>
                <w:rFonts w:ascii="Times New Roman" w:eastAsia="Times New Roman" w:hAnsi="Times New Roman" w:cs="Times New Roman"/>
                <w:szCs w:val="20"/>
                <w:lang w:eastAsia="cs-CZ"/>
              </w:rPr>
              <w:t xml:space="preserve"> 8 textu programu a v</w:t>
            </w:r>
            <w:r w:rsidR="006256EC" w:rsidRPr="0005690F">
              <w:rPr>
                <w:rFonts w:ascii="Times New Roman" w:eastAsia="Times New Roman" w:hAnsi="Times New Roman" w:cs="Times New Roman"/>
                <w:szCs w:val="20"/>
                <w:lang w:eastAsia="cs-CZ"/>
              </w:rPr>
              <w:t xml:space="preserve"> jeho</w:t>
            </w:r>
            <w:r w:rsidRPr="0005690F">
              <w:rPr>
                <w:rFonts w:ascii="Times New Roman" w:eastAsia="Times New Roman" w:hAnsi="Times New Roman" w:cs="Times New Roman"/>
                <w:szCs w:val="20"/>
                <w:lang w:eastAsia="cs-CZ"/>
              </w:rPr>
              <w:t> </w:t>
            </w:r>
            <w:r w:rsidR="006C734D" w:rsidRPr="0005690F">
              <w:rPr>
                <w:rFonts w:ascii="Times New Roman" w:eastAsia="Times New Roman" w:hAnsi="Times New Roman" w:cs="Times New Roman"/>
                <w:szCs w:val="20"/>
                <w:lang w:eastAsia="cs-CZ"/>
              </w:rPr>
              <w:t xml:space="preserve">nepovinné </w:t>
            </w:r>
            <w:r w:rsidRPr="0005690F">
              <w:rPr>
                <w:rFonts w:ascii="Times New Roman" w:eastAsia="Times New Roman" w:hAnsi="Times New Roman" w:cs="Times New Roman"/>
                <w:szCs w:val="20"/>
                <w:lang w:eastAsia="cs-CZ"/>
              </w:rPr>
              <w:t xml:space="preserve">příloze č. </w:t>
            </w:r>
            <w:r w:rsidR="00853EA4">
              <w:rPr>
                <w:rFonts w:ascii="Times New Roman" w:eastAsia="Times New Roman" w:hAnsi="Times New Roman" w:cs="Times New Roman"/>
                <w:szCs w:val="20"/>
                <w:lang w:eastAsia="cs-CZ"/>
              </w:rPr>
              <w:t>4</w:t>
            </w:r>
            <w:r w:rsidRPr="0005690F">
              <w:rPr>
                <w:rFonts w:ascii="Times New Roman" w:eastAsia="Times New Roman" w:hAnsi="Times New Roman" w:cs="Times New Roman"/>
                <w:szCs w:val="20"/>
                <w:lang w:eastAsia="cs-CZ"/>
              </w:rPr>
              <w:t>.</w:t>
            </w:r>
            <w:r w:rsidR="00276678" w:rsidRPr="0005690F">
              <w:rPr>
                <w:rFonts w:ascii="Times New Roman" w:eastAsia="Times New Roman" w:hAnsi="Times New Roman" w:cs="Times New Roman"/>
                <w:szCs w:val="20"/>
                <w:lang w:eastAsia="cs-CZ"/>
              </w:rPr>
              <w:t> </w:t>
            </w:r>
          </w:p>
          <w:p w:rsidR="00201CFD" w:rsidRPr="0005690F" w:rsidRDefault="00201CFD" w:rsidP="00371FBE">
            <w:pPr>
              <w:rPr>
                <w:rFonts w:ascii="Times New Roman" w:eastAsia="Times New Roman" w:hAnsi="Times New Roman" w:cs="Times New Roman"/>
                <w:szCs w:val="20"/>
                <w:lang w:eastAsia="cs-CZ"/>
              </w:rPr>
            </w:pPr>
          </w:p>
        </w:tc>
      </w:tr>
    </w:tbl>
    <w:p w:rsidR="004966EF" w:rsidRPr="00843927" w:rsidRDefault="004966EF" w:rsidP="00843927">
      <w:pPr>
        <w:spacing w:after="120"/>
        <w:rPr>
          <w:rFonts w:cs="Tahoma"/>
          <w:szCs w:val="20"/>
        </w:rPr>
      </w:pPr>
    </w:p>
    <w:p w:rsidR="004373D8" w:rsidRDefault="004373D8" w:rsidP="004373D8">
      <w:pPr>
        <w:pStyle w:val="Nadpis2"/>
      </w:pPr>
      <w:bookmarkStart w:id="20" w:name="_Toc392583667"/>
      <w:r>
        <w:t>V</w:t>
      </w:r>
      <w:r w:rsidRPr="004373D8">
        <w:t>ztah mezi podporovanými akcemi, očekávanými výstupy a výsledky</w:t>
      </w:r>
      <w:bookmarkEnd w:id="20"/>
    </w:p>
    <w:p w:rsidR="003B233D" w:rsidRPr="003B233D" w:rsidRDefault="003B233D" w:rsidP="00573C39">
      <w:pPr>
        <w:tabs>
          <w:tab w:val="num" w:pos="720"/>
        </w:tabs>
        <w:spacing w:after="120"/>
        <w:rPr>
          <w:u w:val="single"/>
        </w:rPr>
      </w:pPr>
      <w:r w:rsidRPr="003B233D">
        <w:rPr>
          <w:u w:val="single"/>
        </w:rPr>
        <w:t>Úkol:</w:t>
      </w:r>
    </w:p>
    <w:p w:rsidR="003B233D" w:rsidRDefault="002C6BB2" w:rsidP="003B233D">
      <w:pPr>
        <w:spacing w:after="120"/>
        <w:rPr>
          <w:rFonts w:cs="Tahoma"/>
          <w:szCs w:val="20"/>
        </w:rPr>
      </w:pPr>
      <w:r>
        <w:rPr>
          <w:rFonts w:cs="Tahoma"/>
          <w:szCs w:val="20"/>
        </w:rPr>
        <w:t>Posoudit</w:t>
      </w:r>
      <w:r w:rsidR="003B233D">
        <w:rPr>
          <w:rFonts w:cs="Tahoma"/>
          <w:szCs w:val="20"/>
        </w:rPr>
        <w:t xml:space="preserve"> </w:t>
      </w:r>
      <w:r w:rsidR="003B233D" w:rsidRPr="003B233D">
        <w:rPr>
          <w:rFonts w:cs="Tahoma"/>
          <w:szCs w:val="20"/>
        </w:rPr>
        <w:t>kvalitu intervenčn</w:t>
      </w:r>
      <w:r w:rsidR="003B233D">
        <w:rPr>
          <w:rFonts w:cs="Tahoma"/>
          <w:szCs w:val="20"/>
        </w:rPr>
        <w:t>í</w:t>
      </w:r>
      <w:r w:rsidR="003B233D" w:rsidRPr="003B233D">
        <w:rPr>
          <w:rFonts w:cs="Tahoma"/>
          <w:szCs w:val="20"/>
        </w:rPr>
        <w:t xml:space="preserve"> logiky OP </w:t>
      </w:r>
      <w:r w:rsidR="003B233D">
        <w:rPr>
          <w:rFonts w:cs="Tahoma"/>
          <w:szCs w:val="20"/>
        </w:rPr>
        <w:t>j</w:t>
      </w:r>
      <w:r w:rsidR="003B233D" w:rsidRPr="003B233D">
        <w:rPr>
          <w:rFonts w:cs="Tahoma"/>
          <w:szCs w:val="20"/>
        </w:rPr>
        <w:t>ako celku a zároveň každ</w:t>
      </w:r>
      <w:r w:rsidR="003B233D">
        <w:rPr>
          <w:rFonts w:cs="Tahoma"/>
          <w:szCs w:val="20"/>
        </w:rPr>
        <w:t>é</w:t>
      </w:r>
      <w:r w:rsidR="003B233D" w:rsidRPr="003B233D">
        <w:rPr>
          <w:rFonts w:cs="Tahoma"/>
          <w:szCs w:val="20"/>
        </w:rPr>
        <w:t xml:space="preserve"> prioritn</w:t>
      </w:r>
      <w:r w:rsidR="003B233D">
        <w:rPr>
          <w:rFonts w:cs="Tahoma"/>
          <w:szCs w:val="20"/>
        </w:rPr>
        <w:t>í</w:t>
      </w:r>
      <w:r w:rsidR="003B233D" w:rsidRPr="003B233D">
        <w:rPr>
          <w:rFonts w:cs="Tahoma"/>
          <w:szCs w:val="20"/>
        </w:rPr>
        <w:t xml:space="preserve"> os</w:t>
      </w:r>
      <w:r w:rsidR="003B233D">
        <w:rPr>
          <w:rFonts w:cs="Tahoma"/>
          <w:szCs w:val="20"/>
        </w:rPr>
        <w:t>y.</w:t>
      </w:r>
    </w:p>
    <w:p w:rsidR="003002D1" w:rsidRPr="003B233D" w:rsidRDefault="003002D1" w:rsidP="003002D1">
      <w:pPr>
        <w:tabs>
          <w:tab w:val="num" w:pos="720"/>
        </w:tabs>
        <w:spacing w:after="120"/>
        <w:rPr>
          <w:u w:val="single"/>
        </w:rPr>
      </w:pPr>
      <w:r>
        <w:rPr>
          <w:u w:val="single"/>
        </w:rPr>
        <w:t>Východiska</w:t>
      </w:r>
      <w:r w:rsidRPr="003B233D">
        <w:rPr>
          <w:u w:val="single"/>
        </w:rPr>
        <w:t>:</w:t>
      </w:r>
    </w:p>
    <w:p w:rsidR="003002D1" w:rsidRDefault="003002D1" w:rsidP="003002D1">
      <w:pPr>
        <w:spacing w:after="120"/>
        <w:rPr>
          <w:rFonts w:cs="Tahoma"/>
          <w:szCs w:val="20"/>
        </w:rPr>
      </w:pPr>
      <w:r>
        <w:rPr>
          <w:rFonts w:cs="Tahoma"/>
          <w:szCs w:val="20"/>
        </w:rPr>
        <w:t xml:space="preserve">Východiskem pro hodnocení jsou především </w:t>
      </w:r>
      <w:r w:rsidR="0069341A">
        <w:rPr>
          <w:rFonts w:cs="Tahoma"/>
          <w:szCs w:val="20"/>
        </w:rPr>
        <w:t>oddíly</w:t>
      </w:r>
      <w:r>
        <w:rPr>
          <w:rFonts w:cs="Tahoma"/>
          <w:szCs w:val="20"/>
        </w:rPr>
        <w:t xml:space="preserve"> 1 a 2</w:t>
      </w:r>
      <w:r w:rsidR="0069341A">
        <w:rPr>
          <w:rFonts w:cs="Tahoma"/>
          <w:szCs w:val="20"/>
        </w:rPr>
        <w:t xml:space="preserve"> textu operačního programu</w:t>
      </w:r>
      <w:r w:rsidR="00853EA4">
        <w:rPr>
          <w:rFonts w:cs="Tahoma"/>
          <w:szCs w:val="20"/>
        </w:rPr>
        <w:t xml:space="preserve"> a také nepovinná příloha č. 1.</w:t>
      </w:r>
    </w:p>
    <w:p w:rsidR="003002D1" w:rsidRPr="00843927" w:rsidRDefault="003002D1" w:rsidP="003002D1">
      <w:pPr>
        <w:tabs>
          <w:tab w:val="num" w:pos="720"/>
        </w:tabs>
        <w:spacing w:after="120"/>
        <w:rPr>
          <w:u w:val="single"/>
        </w:rPr>
      </w:pPr>
      <w:r w:rsidRPr="00843927">
        <w:rPr>
          <w:u w:val="single"/>
        </w:rPr>
        <w:t>Zjištění</w:t>
      </w:r>
      <w:r>
        <w:rPr>
          <w:u w:val="single"/>
        </w:rPr>
        <w:t xml:space="preserve"> v návaznosti na evaluační otázky a úkoly</w:t>
      </w:r>
      <w:r w:rsidRPr="00843927">
        <w:rPr>
          <w:u w:val="single"/>
        </w:rPr>
        <w:t>:</w:t>
      </w:r>
    </w:p>
    <w:tbl>
      <w:tblPr>
        <w:tblW w:w="9231"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80"/>
        <w:gridCol w:w="2823"/>
        <w:gridCol w:w="1700"/>
        <w:gridCol w:w="3828"/>
      </w:tblGrid>
      <w:tr w:rsidR="003002D1" w:rsidRPr="0005690F" w:rsidTr="000707AF">
        <w:trPr>
          <w:trHeight w:val="1350"/>
          <w:tblHeader/>
        </w:trPr>
        <w:tc>
          <w:tcPr>
            <w:tcW w:w="880" w:type="dxa"/>
            <w:shd w:val="clear" w:color="000000" w:fill="BFBFBF"/>
            <w:vAlign w:val="center"/>
            <w:hideMark/>
          </w:tcPr>
          <w:p w:rsidR="003002D1" w:rsidRPr="0005690F" w:rsidRDefault="003002D1" w:rsidP="003002D1">
            <w:pPr>
              <w:jc w:val="center"/>
              <w:rPr>
                <w:rFonts w:ascii="Times New Roman" w:eastAsia="Times New Roman" w:hAnsi="Times New Roman" w:cs="Times New Roman"/>
                <w:b/>
                <w:bCs/>
                <w:szCs w:val="20"/>
                <w:lang w:eastAsia="cs-CZ"/>
              </w:rPr>
            </w:pPr>
            <w:proofErr w:type="spellStart"/>
            <w:r w:rsidRPr="0005690F">
              <w:rPr>
                <w:rFonts w:ascii="Times New Roman" w:eastAsia="Times New Roman" w:hAnsi="Times New Roman" w:cs="Times New Roman"/>
                <w:b/>
                <w:bCs/>
                <w:szCs w:val="20"/>
                <w:lang w:eastAsia="cs-CZ"/>
              </w:rPr>
              <w:t>Poř</w:t>
            </w:r>
            <w:proofErr w:type="spellEnd"/>
            <w:r w:rsidRPr="0005690F">
              <w:rPr>
                <w:rFonts w:ascii="Times New Roman" w:eastAsia="Times New Roman" w:hAnsi="Times New Roman" w:cs="Times New Roman"/>
                <w:b/>
                <w:bCs/>
                <w:szCs w:val="20"/>
                <w:lang w:eastAsia="cs-CZ"/>
              </w:rPr>
              <w:t>. č.</w:t>
            </w:r>
          </w:p>
        </w:tc>
        <w:tc>
          <w:tcPr>
            <w:tcW w:w="2823" w:type="dxa"/>
            <w:shd w:val="clear" w:color="000000" w:fill="BFBFBF"/>
            <w:vAlign w:val="center"/>
            <w:hideMark/>
          </w:tcPr>
          <w:p w:rsidR="003002D1" w:rsidRPr="0005690F" w:rsidRDefault="003002D1" w:rsidP="003002D1">
            <w:pPr>
              <w:jc w:val="center"/>
              <w:rPr>
                <w:rFonts w:ascii="Times New Roman" w:eastAsia="Times New Roman" w:hAnsi="Times New Roman" w:cs="Times New Roman"/>
                <w:b/>
                <w:bCs/>
                <w:szCs w:val="20"/>
                <w:lang w:eastAsia="cs-CZ"/>
              </w:rPr>
            </w:pPr>
            <w:r w:rsidRPr="0005690F">
              <w:rPr>
                <w:rFonts w:ascii="Times New Roman" w:eastAsia="Times New Roman" w:hAnsi="Times New Roman" w:cs="Times New Roman"/>
                <w:b/>
                <w:bCs/>
                <w:szCs w:val="20"/>
                <w:lang w:eastAsia="cs-CZ"/>
              </w:rPr>
              <w:t>Evaluační otázka / úkol</w:t>
            </w:r>
          </w:p>
        </w:tc>
        <w:tc>
          <w:tcPr>
            <w:tcW w:w="1700" w:type="dxa"/>
            <w:shd w:val="clear" w:color="000000" w:fill="BFBFBF"/>
            <w:vAlign w:val="center"/>
            <w:hideMark/>
          </w:tcPr>
          <w:p w:rsidR="003002D1" w:rsidRPr="0005690F" w:rsidRDefault="003002D1" w:rsidP="007041AB">
            <w:pPr>
              <w:jc w:val="center"/>
              <w:rPr>
                <w:rFonts w:ascii="Times New Roman" w:eastAsia="Times New Roman" w:hAnsi="Times New Roman" w:cs="Times New Roman"/>
                <w:b/>
                <w:bCs/>
                <w:szCs w:val="20"/>
                <w:lang w:eastAsia="cs-CZ"/>
              </w:rPr>
            </w:pPr>
            <w:r w:rsidRPr="0005690F">
              <w:rPr>
                <w:rFonts w:ascii="Times New Roman" w:eastAsia="Times New Roman" w:hAnsi="Times New Roman" w:cs="Times New Roman"/>
                <w:b/>
                <w:bCs/>
                <w:szCs w:val="20"/>
                <w:lang w:eastAsia="cs-CZ"/>
              </w:rPr>
              <w:t>Zhodnocení</w:t>
            </w:r>
            <w:r w:rsidRPr="0005690F">
              <w:rPr>
                <w:rFonts w:ascii="Times New Roman" w:eastAsia="Times New Roman" w:hAnsi="Times New Roman" w:cs="Times New Roman"/>
                <w:b/>
                <w:bCs/>
                <w:szCs w:val="20"/>
                <w:lang w:eastAsia="cs-CZ"/>
              </w:rPr>
              <w:br/>
            </w:r>
            <w:r w:rsidRPr="0005690F">
              <w:rPr>
                <w:rFonts w:ascii="Times New Roman" w:eastAsia="Times New Roman" w:hAnsi="Times New Roman" w:cs="Times New Roman"/>
                <w:szCs w:val="20"/>
                <w:lang w:eastAsia="cs-CZ"/>
              </w:rPr>
              <w:t>(A - Ano, SA - Spíše ano, SN - Spíše ne, N - Ne, NR - Není relevantní)</w:t>
            </w:r>
          </w:p>
        </w:tc>
        <w:tc>
          <w:tcPr>
            <w:tcW w:w="3828" w:type="dxa"/>
            <w:shd w:val="clear" w:color="000000" w:fill="BFBFBF"/>
            <w:vAlign w:val="center"/>
            <w:hideMark/>
          </w:tcPr>
          <w:p w:rsidR="003002D1" w:rsidRPr="0005690F" w:rsidRDefault="003002D1" w:rsidP="003002D1">
            <w:pPr>
              <w:jc w:val="center"/>
              <w:rPr>
                <w:rFonts w:ascii="Times New Roman" w:eastAsia="Times New Roman" w:hAnsi="Times New Roman" w:cs="Times New Roman"/>
                <w:b/>
                <w:bCs/>
                <w:szCs w:val="20"/>
                <w:lang w:eastAsia="cs-CZ"/>
              </w:rPr>
            </w:pPr>
            <w:r w:rsidRPr="0005690F">
              <w:rPr>
                <w:rFonts w:ascii="Times New Roman" w:eastAsia="Times New Roman" w:hAnsi="Times New Roman" w:cs="Times New Roman"/>
                <w:b/>
                <w:bCs/>
                <w:szCs w:val="20"/>
                <w:lang w:eastAsia="cs-CZ"/>
              </w:rPr>
              <w:t>Komentář, doporučení</w:t>
            </w:r>
          </w:p>
        </w:tc>
      </w:tr>
      <w:tr w:rsidR="003002D1" w:rsidRPr="0005690F" w:rsidTr="000707AF">
        <w:trPr>
          <w:trHeight w:val="540"/>
        </w:trPr>
        <w:tc>
          <w:tcPr>
            <w:tcW w:w="880" w:type="dxa"/>
            <w:shd w:val="clear" w:color="000000" w:fill="C5D9F1"/>
            <w:hideMark/>
          </w:tcPr>
          <w:p w:rsidR="003002D1" w:rsidRPr="0005690F" w:rsidRDefault="003002D1"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01.14</w:t>
            </w:r>
          </w:p>
        </w:tc>
        <w:tc>
          <w:tcPr>
            <w:tcW w:w="2823" w:type="dxa"/>
            <w:shd w:val="clear" w:color="000000" w:fill="C5D9F1"/>
            <w:hideMark/>
          </w:tcPr>
          <w:p w:rsidR="003002D1" w:rsidRPr="0005690F" w:rsidRDefault="003002D1"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Je vyjádřena očekávaná změna, kterou přinese implementace programu?</w:t>
            </w:r>
          </w:p>
        </w:tc>
        <w:tc>
          <w:tcPr>
            <w:tcW w:w="1700" w:type="dxa"/>
            <w:shd w:val="clear" w:color="000000" w:fill="C5D9F1"/>
            <w:vAlign w:val="center"/>
            <w:hideMark/>
          </w:tcPr>
          <w:p w:rsidR="003002D1" w:rsidRPr="0005690F" w:rsidRDefault="006A64E4" w:rsidP="00272FBE">
            <w:pPr>
              <w:jc w:val="cente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SA</w:t>
            </w:r>
          </w:p>
        </w:tc>
        <w:tc>
          <w:tcPr>
            <w:tcW w:w="3828" w:type="dxa"/>
            <w:shd w:val="clear" w:color="000000" w:fill="C5D9F1"/>
            <w:hideMark/>
          </w:tcPr>
          <w:p w:rsidR="002B0777" w:rsidRPr="0005690F" w:rsidRDefault="006A29C5" w:rsidP="000B1279">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 xml:space="preserve">V </w:t>
            </w:r>
            <w:r w:rsidR="00F77A78" w:rsidRPr="0005690F">
              <w:rPr>
                <w:rFonts w:ascii="Times New Roman" w:eastAsia="Times New Roman" w:hAnsi="Times New Roman" w:cs="Times New Roman"/>
                <w:szCs w:val="20"/>
                <w:lang w:eastAsia="cs-CZ"/>
              </w:rPr>
              <w:t>oddíle</w:t>
            </w:r>
            <w:r w:rsidRPr="0005690F">
              <w:rPr>
                <w:rFonts w:ascii="Times New Roman" w:eastAsia="Times New Roman" w:hAnsi="Times New Roman" w:cs="Times New Roman"/>
                <w:szCs w:val="20"/>
                <w:lang w:eastAsia="cs-CZ"/>
              </w:rPr>
              <w:t xml:space="preserve"> 1 textu programu je</w:t>
            </w:r>
            <w:r w:rsidR="00AF0881" w:rsidRPr="0005690F">
              <w:rPr>
                <w:rFonts w:ascii="Times New Roman" w:eastAsia="Times New Roman" w:hAnsi="Times New Roman" w:cs="Times New Roman"/>
                <w:szCs w:val="20"/>
                <w:lang w:eastAsia="cs-CZ"/>
              </w:rPr>
              <w:t xml:space="preserve"> popsán</w:t>
            </w:r>
            <w:r w:rsidRPr="0005690F">
              <w:rPr>
                <w:rFonts w:ascii="Times New Roman" w:eastAsia="Times New Roman" w:hAnsi="Times New Roman" w:cs="Times New Roman"/>
                <w:szCs w:val="20"/>
                <w:lang w:eastAsia="cs-CZ"/>
              </w:rPr>
              <w:t xml:space="preserve"> </w:t>
            </w:r>
            <w:r w:rsidR="00B1792C" w:rsidRPr="0005690F">
              <w:rPr>
                <w:rFonts w:ascii="Times New Roman" w:eastAsia="Times New Roman" w:hAnsi="Times New Roman" w:cs="Times New Roman"/>
                <w:szCs w:val="20"/>
                <w:lang w:eastAsia="cs-CZ"/>
              </w:rPr>
              <w:t xml:space="preserve">cíl </w:t>
            </w:r>
            <w:r w:rsidR="00AF0881" w:rsidRPr="0005690F">
              <w:rPr>
                <w:rFonts w:ascii="Times New Roman" w:eastAsia="Times New Roman" w:hAnsi="Times New Roman" w:cs="Times New Roman"/>
                <w:szCs w:val="20"/>
                <w:lang w:eastAsia="cs-CZ"/>
              </w:rPr>
              <w:t>a</w:t>
            </w:r>
            <w:r w:rsidRPr="0005690F">
              <w:rPr>
                <w:rFonts w:ascii="Times New Roman" w:eastAsia="Times New Roman" w:hAnsi="Times New Roman" w:cs="Times New Roman"/>
                <w:szCs w:val="20"/>
                <w:lang w:eastAsia="cs-CZ"/>
              </w:rPr>
              <w:t xml:space="preserve"> priority </w:t>
            </w:r>
            <w:r w:rsidR="00AF0881" w:rsidRPr="0005690F">
              <w:rPr>
                <w:rFonts w:ascii="Times New Roman" w:eastAsia="Times New Roman" w:hAnsi="Times New Roman" w:cs="Times New Roman"/>
                <w:szCs w:val="20"/>
                <w:lang w:eastAsia="cs-CZ"/>
              </w:rPr>
              <w:t xml:space="preserve">programu, které jsou </w:t>
            </w:r>
            <w:r w:rsidR="00B1792C" w:rsidRPr="0005690F">
              <w:rPr>
                <w:rFonts w:ascii="Times New Roman" w:eastAsia="Times New Roman" w:hAnsi="Times New Roman" w:cs="Times New Roman"/>
                <w:szCs w:val="20"/>
                <w:lang w:eastAsia="cs-CZ"/>
              </w:rPr>
              <w:t>dle názoru hodnotitel</w:t>
            </w:r>
            <w:r w:rsidR="002D41E1" w:rsidRPr="0005690F">
              <w:rPr>
                <w:rFonts w:ascii="Times New Roman" w:eastAsia="Times New Roman" w:hAnsi="Times New Roman" w:cs="Times New Roman"/>
                <w:szCs w:val="20"/>
                <w:lang w:eastAsia="cs-CZ"/>
              </w:rPr>
              <w:t>e</w:t>
            </w:r>
            <w:r w:rsidR="00B1792C" w:rsidRPr="0005690F">
              <w:rPr>
                <w:rFonts w:ascii="Times New Roman" w:eastAsia="Times New Roman" w:hAnsi="Times New Roman" w:cs="Times New Roman"/>
                <w:szCs w:val="20"/>
                <w:lang w:eastAsia="cs-CZ"/>
              </w:rPr>
              <w:t xml:space="preserve"> </w:t>
            </w:r>
            <w:r w:rsidR="00AF0881" w:rsidRPr="0005690F">
              <w:rPr>
                <w:rFonts w:ascii="Times New Roman" w:eastAsia="Times New Roman" w:hAnsi="Times New Roman" w:cs="Times New Roman"/>
                <w:szCs w:val="20"/>
                <w:lang w:eastAsia="cs-CZ"/>
              </w:rPr>
              <w:t xml:space="preserve">vhodně </w:t>
            </w:r>
            <w:r w:rsidR="00B1792C" w:rsidRPr="0005690F">
              <w:rPr>
                <w:rFonts w:ascii="Times New Roman" w:eastAsia="Times New Roman" w:hAnsi="Times New Roman" w:cs="Times New Roman"/>
                <w:szCs w:val="20"/>
                <w:lang w:eastAsia="cs-CZ"/>
              </w:rPr>
              <w:t>formulované</w:t>
            </w:r>
            <w:r w:rsidR="00AF0881" w:rsidRPr="0005690F">
              <w:rPr>
                <w:rFonts w:ascii="Times New Roman" w:eastAsia="Times New Roman" w:hAnsi="Times New Roman" w:cs="Times New Roman"/>
                <w:szCs w:val="20"/>
                <w:lang w:eastAsia="cs-CZ"/>
              </w:rPr>
              <w:t xml:space="preserve"> a vystihují hlavní představy o očekávaných změnách, které by měla implementace programu přinést.</w:t>
            </w:r>
            <w:r w:rsidR="002B0777" w:rsidRPr="0005690F">
              <w:rPr>
                <w:rFonts w:ascii="Times New Roman" w:eastAsia="Times New Roman" w:hAnsi="Times New Roman" w:cs="Times New Roman"/>
                <w:szCs w:val="20"/>
                <w:lang w:eastAsia="cs-CZ"/>
              </w:rPr>
              <w:t xml:space="preserve"> </w:t>
            </w:r>
          </w:p>
          <w:p w:rsidR="00AF0881" w:rsidRPr="0005690F" w:rsidRDefault="002B0777" w:rsidP="000B1279">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 xml:space="preserve">Hodnotitel doporučuje doplnit </w:t>
            </w:r>
            <w:r w:rsidR="00004AEE" w:rsidRPr="0005690F">
              <w:rPr>
                <w:rFonts w:ascii="Times New Roman" w:eastAsia="Times New Roman" w:hAnsi="Times New Roman" w:cs="Times New Roman"/>
                <w:szCs w:val="20"/>
                <w:lang w:eastAsia="cs-CZ"/>
              </w:rPr>
              <w:t xml:space="preserve">strategii programu o </w:t>
            </w:r>
            <w:r w:rsidRPr="0005690F">
              <w:rPr>
                <w:rFonts w:ascii="Times New Roman" w:eastAsia="Times New Roman" w:hAnsi="Times New Roman" w:cs="Times New Roman"/>
                <w:szCs w:val="20"/>
                <w:lang w:eastAsia="cs-CZ"/>
              </w:rPr>
              <w:t xml:space="preserve">popis „posunů“ </w:t>
            </w:r>
            <w:r w:rsidR="00004AEE" w:rsidRPr="0005690F">
              <w:rPr>
                <w:rFonts w:ascii="Times New Roman" w:eastAsia="Times New Roman" w:hAnsi="Times New Roman" w:cs="Times New Roman"/>
                <w:szCs w:val="20"/>
                <w:lang w:eastAsia="cs-CZ"/>
              </w:rPr>
              <w:t>ve strategii OP PIK oproti OPPI.</w:t>
            </w:r>
          </w:p>
          <w:p w:rsidR="00FD6FE4" w:rsidRPr="0005690F" w:rsidRDefault="00FD6FE4" w:rsidP="000B1279">
            <w:pPr>
              <w:rPr>
                <w:rFonts w:ascii="Times New Roman" w:eastAsia="Times New Roman" w:hAnsi="Times New Roman" w:cs="Times New Roman"/>
                <w:szCs w:val="20"/>
                <w:lang w:eastAsia="cs-CZ"/>
              </w:rPr>
            </w:pPr>
          </w:p>
          <w:p w:rsidR="00684B97" w:rsidRDefault="004E677E" w:rsidP="000B1279">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 xml:space="preserve">Hodnotitel </w:t>
            </w:r>
            <w:r w:rsidR="00FD6FE4" w:rsidRPr="0005690F">
              <w:rPr>
                <w:rFonts w:ascii="Times New Roman" w:eastAsia="Times New Roman" w:hAnsi="Times New Roman" w:cs="Times New Roman"/>
                <w:szCs w:val="20"/>
                <w:lang w:eastAsia="cs-CZ"/>
              </w:rPr>
              <w:t xml:space="preserve">konstatuje, </w:t>
            </w:r>
            <w:r w:rsidR="00F9262C" w:rsidRPr="0005690F">
              <w:rPr>
                <w:rFonts w:ascii="Times New Roman" w:eastAsia="Times New Roman" w:hAnsi="Times New Roman" w:cs="Times New Roman"/>
                <w:szCs w:val="20"/>
                <w:lang w:eastAsia="cs-CZ"/>
              </w:rPr>
              <w:t xml:space="preserve">že </w:t>
            </w:r>
            <w:r w:rsidR="00FD6FE4" w:rsidRPr="0005690F">
              <w:rPr>
                <w:rFonts w:ascii="Times New Roman" w:eastAsia="Times New Roman" w:hAnsi="Times New Roman" w:cs="Times New Roman"/>
                <w:szCs w:val="20"/>
                <w:lang w:eastAsia="cs-CZ"/>
              </w:rPr>
              <w:t xml:space="preserve">program obsahuje ve své stávající podobě </w:t>
            </w:r>
            <w:r w:rsidR="00CA3726" w:rsidRPr="0005690F">
              <w:rPr>
                <w:rFonts w:ascii="Times New Roman" w:eastAsia="Times New Roman" w:hAnsi="Times New Roman" w:cs="Times New Roman"/>
                <w:szCs w:val="20"/>
                <w:lang w:eastAsia="cs-CZ"/>
              </w:rPr>
              <w:t xml:space="preserve">některé </w:t>
            </w:r>
            <w:r w:rsidR="00F9262C" w:rsidRPr="0005690F">
              <w:rPr>
                <w:rFonts w:ascii="Times New Roman" w:eastAsia="Times New Roman" w:hAnsi="Times New Roman" w:cs="Times New Roman"/>
                <w:szCs w:val="20"/>
                <w:lang w:eastAsia="cs-CZ"/>
              </w:rPr>
              <w:t>nejasnost</w:t>
            </w:r>
            <w:r w:rsidR="004C298D" w:rsidRPr="0005690F">
              <w:rPr>
                <w:rFonts w:ascii="Times New Roman" w:eastAsia="Times New Roman" w:hAnsi="Times New Roman" w:cs="Times New Roman"/>
                <w:szCs w:val="20"/>
                <w:lang w:eastAsia="cs-CZ"/>
              </w:rPr>
              <w:t>i</w:t>
            </w:r>
            <w:r w:rsidR="00F9262C" w:rsidRPr="0005690F">
              <w:rPr>
                <w:rFonts w:ascii="Times New Roman" w:eastAsia="Times New Roman" w:hAnsi="Times New Roman" w:cs="Times New Roman"/>
                <w:szCs w:val="20"/>
                <w:lang w:eastAsia="cs-CZ"/>
              </w:rPr>
              <w:t xml:space="preserve"> v intervenční logice</w:t>
            </w:r>
            <w:r w:rsidR="00E67E7B" w:rsidRPr="0005690F">
              <w:rPr>
                <w:rFonts w:ascii="Times New Roman" w:eastAsia="Times New Roman" w:hAnsi="Times New Roman" w:cs="Times New Roman"/>
                <w:szCs w:val="20"/>
                <w:lang w:eastAsia="cs-CZ"/>
              </w:rPr>
              <w:t xml:space="preserve"> na úrovni specifických cílů</w:t>
            </w:r>
            <w:r w:rsidR="00FD6FE4" w:rsidRPr="0005690F">
              <w:rPr>
                <w:rFonts w:ascii="Times New Roman" w:eastAsia="Times New Roman" w:hAnsi="Times New Roman" w:cs="Times New Roman"/>
                <w:szCs w:val="20"/>
                <w:lang w:eastAsia="cs-CZ"/>
              </w:rPr>
              <w:t xml:space="preserve">. </w:t>
            </w:r>
            <w:r w:rsidR="00E67E7B" w:rsidRPr="0005690F">
              <w:rPr>
                <w:rFonts w:ascii="Times New Roman" w:eastAsia="Times New Roman" w:hAnsi="Times New Roman" w:cs="Times New Roman"/>
                <w:szCs w:val="20"/>
                <w:lang w:eastAsia="cs-CZ"/>
              </w:rPr>
              <w:t>Především</w:t>
            </w:r>
            <w:r w:rsidR="00FD6FE4" w:rsidRPr="0005690F">
              <w:rPr>
                <w:rFonts w:ascii="Times New Roman" w:eastAsia="Times New Roman" w:hAnsi="Times New Roman" w:cs="Times New Roman"/>
                <w:szCs w:val="20"/>
                <w:lang w:eastAsia="cs-CZ"/>
              </w:rPr>
              <w:t xml:space="preserve"> se jedná o to, že v rámci popisu specifických cílů je často vyjmenován velký počet </w:t>
            </w:r>
            <w:r w:rsidR="00112FF7">
              <w:rPr>
                <w:rFonts w:ascii="Times New Roman" w:eastAsia="Times New Roman" w:hAnsi="Times New Roman" w:cs="Times New Roman"/>
                <w:szCs w:val="20"/>
                <w:lang w:eastAsia="cs-CZ"/>
              </w:rPr>
              <w:t>„V</w:t>
            </w:r>
            <w:r w:rsidR="00FD6FE4" w:rsidRPr="0005690F">
              <w:rPr>
                <w:rFonts w:ascii="Times New Roman" w:eastAsia="Times New Roman" w:hAnsi="Times New Roman" w:cs="Times New Roman"/>
                <w:szCs w:val="20"/>
                <w:lang w:eastAsia="cs-CZ"/>
              </w:rPr>
              <w:t xml:space="preserve">ýsledků, </w:t>
            </w:r>
            <w:r w:rsidR="006A64E4" w:rsidRPr="0005690F">
              <w:rPr>
                <w:rFonts w:ascii="Times New Roman" w:eastAsia="Times New Roman" w:hAnsi="Times New Roman" w:cs="Times New Roman"/>
                <w:szCs w:val="20"/>
                <w:lang w:eastAsia="cs-CZ"/>
              </w:rPr>
              <w:t>kterých chce ČR dosáhnout s podporou Unie</w:t>
            </w:r>
            <w:r w:rsidR="00112FF7">
              <w:rPr>
                <w:rFonts w:ascii="Times New Roman" w:eastAsia="Times New Roman" w:hAnsi="Times New Roman" w:cs="Times New Roman"/>
                <w:szCs w:val="20"/>
                <w:lang w:eastAsia="cs-CZ"/>
              </w:rPr>
              <w:t>“</w:t>
            </w:r>
            <w:r w:rsidR="006A64E4" w:rsidRPr="0005690F">
              <w:rPr>
                <w:rFonts w:ascii="Times New Roman" w:eastAsia="Times New Roman" w:hAnsi="Times New Roman" w:cs="Times New Roman"/>
                <w:szCs w:val="20"/>
                <w:lang w:eastAsia="cs-CZ"/>
              </w:rPr>
              <w:t xml:space="preserve"> (</w:t>
            </w:r>
            <w:proofErr w:type="gramStart"/>
            <w:r w:rsidR="006A64E4" w:rsidRPr="00461D98">
              <w:rPr>
                <w:rFonts w:ascii="Times New Roman" w:eastAsia="Times New Roman" w:hAnsi="Times New Roman" w:cs="Times New Roman"/>
                <w:szCs w:val="20"/>
                <w:lang w:eastAsia="cs-CZ"/>
              </w:rPr>
              <w:t>kap. 2.A.</w:t>
            </w:r>
            <w:proofErr w:type="gramEnd"/>
            <w:r w:rsidR="006A64E4" w:rsidRPr="00461D98">
              <w:rPr>
                <w:rFonts w:ascii="Times New Roman" w:eastAsia="Times New Roman" w:hAnsi="Times New Roman" w:cs="Times New Roman"/>
                <w:szCs w:val="20"/>
                <w:lang w:eastAsia="cs-CZ"/>
              </w:rPr>
              <w:t>5)</w:t>
            </w:r>
            <w:r w:rsidR="00FD6FE4" w:rsidRPr="00461D98">
              <w:rPr>
                <w:rFonts w:ascii="Times New Roman" w:eastAsia="Times New Roman" w:hAnsi="Times New Roman" w:cs="Times New Roman"/>
                <w:szCs w:val="20"/>
                <w:lang w:eastAsia="cs-CZ"/>
              </w:rPr>
              <w:t xml:space="preserve">, </w:t>
            </w:r>
            <w:r w:rsidR="009E5BE4" w:rsidRPr="009E5BE4">
              <w:rPr>
                <w:rFonts w:ascii="Times New Roman" w:eastAsia="Times New Roman" w:hAnsi="Times New Roman" w:cs="Times New Roman"/>
                <w:szCs w:val="20"/>
                <w:lang w:eastAsia="cs-CZ"/>
              </w:rPr>
              <w:t>některé z t</w:t>
            </w:r>
            <w:r w:rsidRPr="00461D98">
              <w:rPr>
                <w:rFonts w:ascii="Times New Roman" w:eastAsia="Times New Roman" w:hAnsi="Times New Roman" w:cs="Times New Roman"/>
                <w:szCs w:val="20"/>
                <w:lang w:eastAsia="cs-CZ"/>
              </w:rPr>
              <w:t>ěchto očekávaných výsledků</w:t>
            </w:r>
            <w:r w:rsidR="00FD6FE4" w:rsidRPr="00461D98">
              <w:rPr>
                <w:rFonts w:ascii="Times New Roman" w:eastAsia="Times New Roman" w:hAnsi="Times New Roman" w:cs="Times New Roman"/>
                <w:szCs w:val="20"/>
                <w:lang w:eastAsia="cs-CZ"/>
              </w:rPr>
              <w:t xml:space="preserve"> </w:t>
            </w:r>
            <w:r w:rsidR="009E5BE4" w:rsidRPr="009E5BE4">
              <w:rPr>
                <w:rFonts w:ascii="Times New Roman" w:eastAsia="Times New Roman" w:hAnsi="Times New Roman" w:cs="Times New Roman"/>
                <w:szCs w:val="20"/>
                <w:lang w:eastAsia="cs-CZ"/>
              </w:rPr>
              <w:t xml:space="preserve">jsou formulovány </w:t>
            </w:r>
            <w:r w:rsidRPr="00461D98">
              <w:rPr>
                <w:rFonts w:ascii="Times New Roman" w:eastAsia="Times New Roman" w:hAnsi="Times New Roman" w:cs="Times New Roman"/>
                <w:szCs w:val="20"/>
                <w:lang w:eastAsia="cs-CZ"/>
              </w:rPr>
              <w:t>široce</w:t>
            </w:r>
            <w:r w:rsidRPr="0005690F">
              <w:rPr>
                <w:rFonts w:ascii="Times New Roman" w:eastAsia="Times New Roman" w:hAnsi="Times New Roman" w:cs="Times New Roman"/>
                <w:szCs w:val="20"/>
                <w:lang w:eastAsia="cs-CZ"/>
              </w:rPr>
              <w:t xml:space="preserve"> a</w:t>
            </w:r>
            <w:r w:rsidR="00FD6FE4" w:rsidRPr="0005690F">
              <w:rPr>
                <w:rFonts w:ascii="Times New Roman" w:eastAsia="Times New Roman" w:hAnsi="Times New Roman" w:cs="Times New Roman"/>
                <w:szCs w:val="20"/>
                <w:lang w:eastAsia="cs-CZ"/>
              </w:rPr>
              <w:t xml:space="preserve"> obecně a/nebo u nich není zřejmá vazba na hlavní výsledky </w:t>
            </w:r>
            <w:proofErr w:type="spellStart"/>
            <w:r w:rsidR="00FD6FE4" w:rsidRPr="0005690F">
              <w:rPr>
                <w:rFonts w:ascii="Times New Roman" w:eastAsia="Times New Roman" w:hAnsi="Times New Roman" w:cs="Times New Roman"/>
                <w:szCs w:val="20"/>
                <w:lang w:eastAsia="cs-CZ"/>
              </w:rPr>
              <w:t>DoP.</w:t>
            </w:r>
            <w:proofErr w:type="spellEnd"/>
            <w:r w:rsidR="00F9262C" w:rsidRPr="0005690F">
              <w:rPr>
                <w:rFonts w:ascii="Times New Roman" w:eastAsia="Times New Roman" w:hAnsi="Times New Roman" w:cs="Times New Roman"/>
                <w:szCs w:val="20"/>
                <w:lang w:eastAsia="cs-CZ"/>
              </w:rPr>
              <w:t xml:space="preserve"> Dle názoru hodnotitele se v mnohých případech jedná spíše o širší </w:t>
            </w:r>
            <w:r w:rsidR="00E67E7B" w:rsidRPr="0005690F">
              <w:rPr>
                <w:rFonts w:ascii="Times New Roman" w:eastAsia="Times New Roman" w:hAnsi="Times New Roman" w:cs="Times New Roman"/>
                <w:szCs w:val="20"/>
                <w:lang w:eastAsia="cs-CZ"/>
              </w:rPr>
              <w:t>socioekonomické</w:t>
            </w:r>
            <w:r w:rsidR="00F45B23" w:rsidRPr="0005690F">
              <w:rPr>
                <w:rFonts w:ascii="Times New Roman" w:eastAsia="Times New Roman" w:hAnsi="Times New Roman" w:cs="Times New Roman"/>
                <w:szCs w:val="20"/>
                <w:lang w:eastAsia="cs-CZ"/>
              </w:rPr>
              <w:t xml:space="preserve"> cíle</w:t>
            </w:r>
            <w:r w:rsidR="00E67E7B" w:rsidRPr="0005690F">
              <w:rPr>
                <w:rFonts w:ascii="Times New Roman" w:eastAsia="Times New Roman" w:hAnsi="Times New Roman" w:cs="Times New Roman"/>
                <w:szCs w:val="20"/>
                <w:lang w:eastAsia="cs-CZ"/>
              </w:rPr>
              <w:t xml:space="preserve"> (</w:t>
            </w:r>
            <w:r w:rsidR="006A64E4" w:rsidRPr="0005690F">
              <w:rPr>
                <w:rFonts w:ascii="Times New Roman" w:eastAsia="Times New Roman" w:hAnsi="Times New Roman" w:cs="Times New Roman"/>
                <w:szCs w:val="20"/>
                <w:lang w:eastAsia="cs-CZ"/>
              </w:rPr>
              <w:t>vize</w:t>
            </w:r>
            <w:r w:rsidR="00F45B23" w:rsidRPr="0005690F">
              <w:rPr>
                <w:rFonts w:ascii="Times New Roman" w:eastAsia="Times New Roman" w:hAnsi="Times New Roman" w:cs="Times New Roman"/>
                <w:szCs w:val="20"/>
                <w:lang w:eastAsia="cs-CZ"/>
              </w:rPr>
              <w:t>)</w:t>
            </w:r>
            <w:r w:rsidR="00F9262C" w:rsidRPr="0005690F">
              <w:rPr>
                <w:rFonts w:ascii="Times New Roman" w:eastAsia="Times New Roman" w:hAnsi="Times New Roman" w:cs="Times New Roman"/>
                <w:szCs w:val="20"/>
                <w:lang w:eastAsia="cs-CZ"/>
              </w:rPr>
              <w:t xml:space="preserve">, než o </w:t>
            </w:r>
            <w:r w:rsidRPr="0005690F">
              <w:rPr>
                <w:rFonts w:ascii="Times New Roman" w:eastAsia="Times New Roman" w:hAnsi="Times New Roman" w:cs="Times New Roman"/>
                <w:szCs w:val="20"/>
                <w:lang w:eastAsia="cs-CZ"/>
              </w:rPr>
              <w:t xml:space="preserve">reálné a </w:t>
            </w:r>
            <w:r w:rsidRPr="00F059FC">
              <w:rPr>
                <w:rFonts w:ascii="Times New Roman" w:eastAsia="Times New Roman" w:hAnsi="Times New Roman" w:cs="Times New Roman"/>
                <w:szCs w:val="20"/>
                <w:lang w:eastAsia="cs-CZ"/>
              </w:rPr>
              <w:t xml:space="preserve">dosažitelné </w:t>
            </w:r>
            <w:r w:rsidR="00F9262C" w:rsidRPr="00F059FC">
              <w:rPr>
                <w:rFonts w:ascii="Times New Roman" w:eastAsia="Times New Roman" w:hAnsi="Times New Roman" w:cs="Times New Roman"/>
                <w:szCs w:val="20"/>
                <w:lang w:eastAsia="cs-CZ"/>
              </w:rPr>
              <w:t xml:space="preserve">výsledky </w:t>
            </w:r>
            <w:r w:rsidRPr="00F059FC">
              <w:rPr>
                <w:rFonts w:ascii="Times New Roman" w:eastAsia="Times New Roman" w:hAnsi="Times New Roman" w:cs="Times New Roman"/>
                <w:szCs w:val="20"/>
                <w:lang w:eastAsia="cs-CZ"/>
              </w:rPr>
              <w:t>specifických cílů programu</w:t>
            </w:r>
            <w:r w:rsidR="00684B97" w:rsidRPr="00F059FC">
              <w:rPr>
                <w:rFonts w:ascii="Times New Roman" w:eastAsia="Times New Roman" w:hAnsi="Times New Roman" w:cs="Times New Roman"/>
                <w:szCs w:val="20"/>
                <w:lang w:eastAsia="cs-CZ"/>
              </w:rPr>
              <w:t xml:space="preserve"> s vazbou na příslušné </w:t>
            </w:r>
            <w:r w:rsidR="00F059FC" w:rsidRPr="00F059FC">
              <w:rPr>
                <w:rFonts w:ascii="Times New Roman" w:eastAsia="Times New Roman" w:hAnsi="Times New Roman" w:cs="Times New Roman"/>
                <w:szCs w:val="20"/>
                <w:lang w:eastAsia="cs-CZ"/>
              </w:rPr>
              <w:t>ukazatele</w:t>
            </w:r>
            <w:r w:rsidR="00684B97" w:rsidRPr="00F059FC">
              <w:rPr>
                <w:rFonts w:ascii="Times New Roman" w:eastAsia="Times New Roman" w:hAnsi="Times New Roman" w:cs="Times New Roman"/>
                <w:szCs w:val="20"/>
                <w:lang w:eastAsia="cs-CZ"/>
              </w:rPr>
              <w:t xml:space="preserve"> výsledku.</w:t>
            </w:r>
            <w:r w:rsidR="005B122D" w:rsidRPr="00F059FC">
              <w:rPr>
                <w:rFonts w:ascii="Times New Roman" w:eastAsia="Times New Roman" w:hAnsi="Times New Roman" w:cs="Times New Roman"/>
                <w:szCs w:val="20"/>
                <w:lang w:eastAsia="cs-CZ"/>
              </w:rPr>
              <w:t xml:space="preserve"> </w:t>
            </w:r>
          </w:p>
          <w:p w:rsidR="00F059FC" w:rsidRPr="0005690F" w:rsidRDefault="00F059FC" w:rsidP="000B1279">
            <w:pPr>
              <w:rPr>
                <w:rFonts w:ascii="Times New Roman" w:eastAsia="Times New Roman" w:hAnsi="Times New Roman" w:cs="Times New Roman"/>
                <w:szCs w:val="20"/>
                <w:lang w:eastAsia="cs-CZ"/>
              </w:rPr>
            </w:pPr>
          </w:p>
          <w:p w:rsidR="00B1792C" w:rsidRPr="0005690F" w:rsidRDefault="00C53FA1" w:rsidP="000B1279">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lastRenderedPageBreak/>
              <w:t xml:space="preserve">Jak již bylo uvedeno v komentáři k evaluační otázce 01.8, </w:t>
            </w:r>
            <w:r w:rsidR="00FD6FE4" w:rsidRPr="0005690F">
              <w:rPr>
                <w:rFonts w:ascii="Times New Roman" w:eastAsia="Times New Roman" w:hAnsi="Times New Roman" w:cs="Times New Roman"/>
                <w:szCs w:val="20"/>
                <w:lang w:eastAsia="cs-CZ"/>
              </w:rPr>
              <w:t>u jednotlivých specifických cílů</w:t>
            </w:r>
            <w:r w:rsidR="00274A5F">
              <w:rPr>
                <w:rFonts w:ascii="Times New Roman" w:eastAsia="Times New Roman" w:hAnsi="Times New Roman" w:cs="Times New Roman"/>
                <w:szCs w:val="20"/>
                <w:lang w:eastAsia="cs-CZ"/>
              </w:rPr>
              <w:t xml:space="preserve"> OP PIK</w:t>
            </w:r>
            <w:r w:rsidR="00FD4DAE" w:rsidRPr="0005690F">
              <w:rPr>
                <w:rFonts w:ascii="Times New Roman" w:eastAsia="Times New Roman" w:hAnsi="Times New Roman" w:cs="Times New Roman"/>
                <w:szCs w:val="20"/>
                <w:lang w:eastAsia="cs-CZ"/>
              </w:rPr>
              <w:t xml:space="preserve"> </w:t>
            </w:r>
            <w:r w:rsidR="00FD6FE4" w:rsidRPr="0005690F">
              <w:rPr>
                <w:rFonts w:ascii="Times New Roman" w:eastAsia="Times New Roman" w:hAnsi="Times New Roman" w:cs="Times New Roman"/>
                <w:szCs w:val="20"/>
                <w:lang w:eastAsia="cs-CZ"/>
              </w:rPr>
              <w:t>chybí</w:t>
            </w:r>
            <w:r w:rsidR="002B0777" w:rsidRPr="0005690F">
              <w:rPr>
                <w:rFonts w:ascii="Times New Roman" w:eastAsia="Times New Roman" w:hAnsi="Times New Roman" w:cs="Times New Roman"/>
                <w:szCs w:val="20"/>
                <w:lang w:eastAsia="cs-CZ"/>
              </w:rPr>
              <w:t xml:space="preserve"> </w:t>
            </w:r>
            <w:r w:rsidR="00657B23" w:rsidRPr="0005690F">
              <w:rPr>
                <w:rFonts w:ascii="Times New Roman" w:eastAsia="Times New Roman" w:hAnsi="Times New Roman" w:cs="Times New Roman"/>
                <w:szCs w:val="20"/>
                <w:lang w:eastAsia="cs-CZ"/>
              </w:rPr>
              <w:t>popis</w:t>
            </w:r>
            <w:r w:rsidRPr="0005690F">
              <w:rPr>
                <w:rFonts w:ascii="Times New Roman" w:eastAsia="Times New Roman" w:hAnsi="Times New Roman" w:cs="Times New Roman"/>
                <w:szCs w:val="20"/>
                <w:lang w:eastAsia="cs-CZ"/>
              </w:rPr>
              <w:t xml:space="preserve"> </w:t>
            </w:r>
            <w:r w:rsidR="00657B23" w:rsidRPr="0005690F">
              <w:rPr>
                <w:rFonts w:ascii="Times New Roman" w:eastAsia="Times New Roman" w:hAnsi="Times New Roman" w:cs="Times New Roman"/>
                <w:szCs w:val="20"/>
                <w:lang w:eastAsia="cs-CZ"/>
              </w:rPr>
              <w:t xml:space="preserve">dalších </w:t>
            </w:r>
            <w:r w:rsidR="00853EA4">
              <w:rPr>
                <w:rFonts w:ascii="Times New Roman" w:eastAsia="Times New Roman" w:hAnsi="Times New Roman" w:cs="Times New Roman"/>
                <w:szCs w:val="20"/>
                <w:lang w:eastAsia="cs-CZ"/>
              </w:rPr>
              <w:t>faktorů/</w:t>
            </w:r>
            <w:r w:rsidR="00657B23" w:rsidRPr="0005690F">
              <w:rPr>
                <w:rFonts w:ascii="Times New Roman" w:eastAsia="Times New Roman" w:hAnsi="Times New Roman" w:cs="Times New Roman"/>
                <w:szCs w:val="20"/>
                <w:lang w:eastAsia="cs-CZ"/>
              </w:rPr>
              <w:t>opatření realizovaných mimo program, kter</w:t>
            </w:r>
            <w:r w:rsidR="00F059FC">
              <w:rPr>
                <w:rFonts w:ascii="Times New Roman" w:eastAsia="Times New Roman" w:hAnsi="Times New Roman" w:cs="Times New Roman"/>
                <w:szCs w:val="20"/>
                <w:lang w:eastAsia="cs-CZ"/>
              </w:rPr>
              <w:t>é</w:t>
            </w:r>
            <w:r w:rsidR="00657B23" w:rsidRPr="0005690F">
              <w:rPr>
                <w:rFonts w:ascii="Times New Roman" w:eastAsia="Times New Roman" w:hAnsi="Times New Roman" w:cs="Times New Roman"/>
                <w:szCs w:val="20"/>
                <w:lang w:eastAsia="cs-CZ"/>
              </w:rPr>
              <w:t xml:space="preserve"> jsou nezbytn</w:t>
            </w:r>
            <w:r w:rsidR="00F059FC">
              <w:rPr>
                <w:rFonts w:ascii="Times New Roman" w:eastAsia="Times New Roman" w:hAnsi="Times New Roman" w:cs="Times New Roman"/>
                <w:szCs w:val="20"/>
                <w:lang w:eastAsia="cs-CZ"/>
              </w:rPr>
              <w:t>é</w:t>
            </w:r>
            <w:r w:rsidR="00657B23" w:rsidRPr="0005690F">
              <w:rPr>
                <w:rFonts w:ascii="Times New Roman" w:eastAsia="Times New Roman" w:hAnsi="Times New Roman" w:cs="Times New Roman"/>
                <w:szCs w:val="20"/>
                <w:lang w:eastAsia="cs-CZ"/>
              </w:rPr>
              <w:t xml:space="preserve"> pro dosažení </w:t>
            </w:r>
            <w:r w:rsidR="0027710F">
              <w:rPr>
                <w:rFonts w:ascii="Times New Roman" w:eastAsia="Times New Roman" w:hAnsi="Times New Roman" w:cs="Times New Roman"/>
                <w:szCs w:val="20"/>
                <w:lang w:eastAsia="cs-CZ"/>
              </w:rPr>
              <w:t>žádoucích</w:t>
            </w:r>
            <w:r w:rsidR="00657B23" w:rsidRPr="0005690F">
              <w:rPr>
                <w:rFonts w:ascii="Times New Roman" w:eastAsia="Times New Roman" w:hAnsi="Times New Roman" w:cs="Times New Roman"/>
                <w:szCs w:val="20"/>
                <w:lang w:eastAsia="cs-CZ"/>
              </w:rPr>
              <w:t xml:space="preserve"> změn</w:t>
            </w:r>
            <w:r w:rsidR="00B1792C" w:rsidRPr="0005690F">
              <w:rPr>
                <w:rFonts w:ascii="Times New Roman" w:eastAsia="Times New Roman" w:hAnsi="Times New Roman" w:cs="Times New Roman"/>
                <w:szCs w:val="20"/>
                <w:lang w:eastAsia="cs-CZ"/>
              </w:rPr>
              <w:t>.</w:t>
            </w:r>
            <w:r w:rsidR="00853EA4">
              <w:rPr>
                <w:rFonts w:ascii="Times New Roman" w:eastAsia="Times New Roman" w:hAnsi="Times New Roman" w:cs="Times New Roman"/>
                <w:szCs w:val="20"/>
                <w:lang w:eastAsia="cs-CZ"/>
              </w:rPr>
              <w:t xml:space="preserve"> Tyto faktory jsou sice nově nastíněny v tabulkových přehledech v nepovinné příloze č. 1, ovšem chybí jednoznačná provázanost na jednotlivé SC</w:t>
            </w:r>
            <w:r w:rsidR="00274A5F">
              <w:rPr>
                <w:rFonts w:ascii="Times New Roman" w:eastAsia="Times New Roman" w:hAnsi="Times New Roman" w:cs="Times New Roman"/>
                <w:szCs w:val="20"/>
                <w:lang w:eastAsia="cs-CZ"/>
              </w:rPr>
              <w:t xml:space="preserve"> (viz také komentář k evaluační podotázce č. 01.1).</w:t>
            </w:r>
            <w:r w:rsidR="00853EA4">
              <w:rPr>
                <w:rFonts w:ascii="Times New Roman" w:eastAsia="Times New Roman" w:hAnsi="Times New Roman" w:cs="Times New Roman"/>
                <w:szCs w:val="20"/>
                <w:lang w:eastAsia="cs-CZ"/>
              </w:rPr>
              <w:t xml:space="preserve">  </w:t>
            </w:r>
          </w:p>
          <w:p w:rsidR="00061730" w:rsidRPr="0005690F" w:rsidRDefault="00061730" w:rsidP="000B1279">
            <w:pPr>
              <w:rPr>
                <w:rFonts w:ascii="Times New Roman" w:eastAsia="Times New Roman" w:hAnsi="Times New Roman" w:cs="Times New Roman"/>
                <w:szCs w:val="20"/>
                <w:lang w:eastAsia="cs-CZ"/>
              </w:rPr>
            </w:pPr>
          </w:p>
          <w:p w:rsidR="00F9262C" w:rsidRPr="0005690F" w:rsidRDefault="00F77A78" w:rsidP="000B1279">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H</w:t>
            </w:r>
            <w:r w:rsidR="00FD6FE4" w:rsidRPr="0005690F">
              <w:rPr>
                <w:rFonts w:ascii="Times New Roman" w:eastAsia="Times New Roman" w:hAnsi="Times New Roman" w:cs="Times New Roman"/>
                <w:szCs w:val="20"/>
                <w:lang w:eastAsia="cs-CZ"/>
              </w:rPr>
              <w:t xml:space="preserve">odnotitel </w:t>
            </w:r>
            <w:r w:rsidRPr="0005690F">
              <w:rPr>
                <w:rFonts w:ascii="Times New Roman" w:eastAsia="Times New Roman" w:hAnsi="Times New Roman" w:cs="Times New Roman"/>
                <w:szCs w:val="20"/>
                <w:lang w:eastAsia="cs-CZ"/>
              </w:rPr>
              <w:t xml:space="preserve">proto </w:t>
            </w:r>
            <w:r w:rsidR="00705E4A" w:rsidRPr="0005690F">
              <w:rPr>
                <w:rFonts w:ascii="Times New Roman" w:eastAsia="Times New Roman" w:hAnsi="Times New Roman" w:cs="Times New Roman"/>
                <w:szCs w:val="20"/>
                <w:lang w:eastAsia="cs-CZ"/>
              </w:rPr>
              <w:t>doporučuje</w:t>
            </w:r>
            <w:r w:rsidR="00F9262C" w:rsidRPr="0005690F">
              <w:rPr>
                <w:rFonts w:ascii="Times New Roman" w:eastAsia="Times New Roman" w:hAnsi="Times New Roman" w:cs="Times New Roman"/>
                <w:szCs w:val="20"/>
                <w:lang w:eastAsia="cs-CZ"/>
              </w:rPr>
              <w:t xml:space="preserve"> </w:t>
            </w:r>
            <w:r w:rsidR="00705E4A" w:rsidRPr="0005690F">
              <w:rPr>
                <w:rFonts w:ascii="Times New Roman" w:eastAsia="Times New Roman" w:hAnsi="Times New Roman" w:cs="Times New Roman"/>
                <w:szCs w:val="20"/>
                <w:lang w:eastAsia="cs-CZ"/>
              </w:rPr>
              <w:t>zpřesnění intervenční logiky programu ve smyslu</w:t>
            </w:r>
            <w:r w:rsidR="00F9262C" w:rsidRPr="0005690F">
              <w:rPr>
                <w:rFonts w:ascii="Times New Roman" w:eastAsia="Times New Roman" w:hAnsi="Times New Roman" w:cs="Times New Roman"/>
                <w:szCs w:val="20"/>
                <w:lang w:eastAsia="cs-CZ"/>
              </w:rPr>
              <w:t>:</w:t>
            </w:r>
          </w:p>
          <w:p w:rsidR="00CA3726" w:rsidRPr="0005690F" w:rsidRDefault="00CA3726" w:rsidP="00C6279B">
            <w:pPr>
              <w:pStyle w:val="Odstavecseseznamem"/>
              <w:numPr>
                <w:ilvl w:val="0"/>
                <w:numId w:val="19"/>
              </w:numPr>
              <w:ind w:left="214" w:hanging="214"/>
              <w:jc w:val="both"/>
              <w:rPr>
                <w:sz w:val="20"/>
                <w:szCs w:val="20"/>
              </w:rPr>
            </w:pPr>
            <w:r w:rsidRPr="0005690F">
              <w:rPr>
                <w:sz w:val="20"/>
                <w:szCs w:val="20"/>
              </w:rPr>
              <w:t xml:space="preserve">provést revizi </w:t>
            </w:r>
            <w:r w:rsidR="007A4A89" w:rsidRPr="0005690F">
              <w:rPr>
                <w:sz w:val="20"/>
                <w:szCs w:val="20"/>
              </w:rPr>
              <w:t xml:space="preserve">popsaných </w:t>
            </w:r>
            <w:r w:rsidR="00112FF7">
              <w:rPr>
                <w:sz w:val="20"/>
                <w:szCs w:val="20"/>
              </w:rPr>
              <w:t>„V</w:t>
            </w:r>
            <w:r w:rsidR="007A4A89" w:rsidRPr="0005690F">
              <w:rPr>
                <w:sz w:val="20"/>
                <w:szCs w:val="20"/>
              </w:rPr>
              <w:t xml:space="preserve">ýsledků, </w:t>
            </w:r>
            <w:r w:rsidR="006A64E4" w:rsidRPr="0005690F">
              <w:rPr>
                <w:sz w:val="20"/>
                <w:szCs w:val="20"/>
              </w:rPr>
              <w:t>kterých chce ČR dosáhnout s podporou Unie</w:t>
            </w:r>
            <w:r w:rsidR="00112FF7">
              <w:rPr>
                <w:sz w:val="20"/>
                <w:szCs w:val="20"/>
              </w:rPr>
              <w:t>“</w:t>
            </w:r>
            <w:r w:rsidR="007A4A89" w:rsidRPr="0005690F">
              <w:rPr>
                <w:sz w:val="20"/>
                <w:szCs w:val="20"/>
              </w:rPr>
              <w:t xml:space="preserve">, a odlišit skutečně dosažitelné (reálné) výsledky od širších socioekonomických cílů </w:t>
            </w:r>
            <w:r w:rsidR="006A64E4" w:rsidRPr="0005690F">
              <w:rPr>
                <w:sz w:val="20"/>
                <w:szCs w:val="20"/>
              </w:rPr>
              <w:t>(vizí)</w:t>
            </w:r>
            <w:r w:rsidR="007A4A89" w:rsidRPr="0005690F">
              <w:rPr>
                <w:sz w:val="20"/>
                <w:szCs w:val="20"/>
              </w:rPr>
              <w:t xml:space="preserve">, </w:t>
            </w:r>
          </w:p>
          <w:p w:rsidR="0027710F" w:rsidRDefault="00705E4A" w:rsidP="00F059FC">
            <w:pPr>
              <w:pStyle w:val="Odstavecseseznamem"/>
              <w:numPr>
                <w:ilvl w:val="0"/>
                <w:numId w:val="19"/>
              </w:numPr>
              <w:ind w:left="214" w:hanging="214"/>
              <w:jc w:val="both"/>
              <w:rPr>
                <w:sz w:val="20"/>
                <w:szCs w:val="20"/>
              </w:rPr>
            </w:pPr>
            <w:r w:rsidRPr="0005690F">
              <w:rPr>
                <w:sz w:val="20"/>
                <w:szCs w:val="20"/>
              </w:rPr>
              <w:t>dopln</w:t>
            </w:r>
            <w:r w:rsidR="004C298D" w:rsidRPr="0005690F">
              <w:rPr>
                <w:sz w:val="20"/>
                <w:szCs w:val="20"/>
              </w:rPr>
              <w:t>it</w:t>
            </w:r>
            <w:r w:rsidRPr="0005690F">
              <w:rPr>
                <w:sz w:val="20"/>
                <w:szCs w:val="20"/>
              </w:rPr>
              <w:t xml:space="preserve"> popis/vyjádření vazeb</w:t>
            </w:r>
            <w:r w:rsidR="00F9262C" w:rsidRPr="0005690F">
              <w:rPr>
                <w:sz w:val="20"/>
                <w:szCs w:val="20"/>
              </w:rPr>
              <w:t xml:space="preserve"> očekávaných </w:t>
            </w:r>
            <w:r w:rsidRPr="0005690F">
              <w:rPr>
                <w:sz w:val="20"/>
                <w:szCs w:val="20"/>
              </w:rPr>
              <w:t>výsledků specifických cílů OP PIK na hlavní výsledky tematických cílů uvedené v</w:t>
            </w:r>
            <w:r w:rsidR="00CD37C9">
              <w:rPr>
                <w:sz w:val="20"/>
                <w:szCs w:val="20"/>
              </w:rPr>
              <w:t> </w:t>
            </w:r>
            <w:proofErr w:type="spellStart"/>
            <w:r w:rsidR="00CD37C9">
              <w:rPr>
                <w:sz w:val="20"/>
                <w:szCs w:val="20"/>
              </w:rPr>
              <w:t>DoP</w:t>
            </w:r>
            <w:proofErr w:type="spellEnd"/>
            <w:r w:rsidR="00112FF7">
              <w:rPr>
                <w:sz w:val="20"/>
                <w:szCs w:val="20"/>
              </w:rPr>
              <w:t>,</w:t>
            </w:r>
          </w:p>
          <w:p w:rsidR="00705E4A" w:rsidRPr="00F059FC" w:rsidRDefault="0027710F" w:rsidP="0027710F">
            <w:pPr>
              <w:pStyle w:val="Odstavecseseznamem"/>
              <w:numPr>
                <w:ilvl w:val="0"/>
                <w:numId w:val="19"/>
              </w:numPr>
              <w:ind w:left="214" w:hanging="214"/>
              <w:jc w:val="both"/>
              <w:rPr>
                <w:sz w:val="20"/>
                <w:szCs w:val="20"/>
              </w:rPr>
            </w:pPr>
            <w:r>
              <w:rPr>
                <w:sz w:val="20"/>
                <w:szCs w:val="20"/>
              </w:rPr>
              <w:t>doplnit u jednotlivých SC další faktory/opatření nad rámec OP PIK podmiňující dosažení specifických cílů</w:t>
            </w:r>
            <w:r w:rsidR="00F059FC">
              <w:rPr>
                <w:sz w:val="20"/>
                <w:szCs w:val="20"/>
              </w:rPr>
              <w:t>.</w:t>
            </w:r>
          </w:p>
        </w:tc>
      </w:tr>
      <w:tr w:rsidR="003002D1" w:rsidRPr="0005690F" w:rsidTr="000707AF">
        <w:trPr>
          <w:trHeight w:val="540"/>
        </w:trPr>
        <w:tc>
          <w:tcPr>
            <w:tcW w:w="880" w:type="dxa"/>
            <w:shd w:val="clear" w:color="000000" w:fill="C5D9F1"/>
            <w:hideMark/>
          </w:tcPr>
          <w:p w:rsidR="003002D1" w:rsidRPr="0005690F" w:rsidRDefault="003002D1"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lastRenderedPageBreak/>
              <w:t>01.15</w:t>
            </w:r>
          </w:p>
        </w:tc>
        <w:tc>
          <w:tcPr>
            <w:tcW w:w="2823" w:type="dxa"/>
            <w:shd w:val="clear" w:color="000000" w:fill="C5D9F1"/>
            <w:hideMark/>
          </w:tcPr>
          <w:p w:rsidR="003002D1" w:rsidRPr="0005690F" w:rsidRDefault="003002D1"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Je dostatečným způsobem popsáno, jak a do jaké míry aktivity a jejich výstupy přispějí k předpokládaným výsledkům?</w:t>
            </w:r>
          </w:p>
        </w:tc>
        <w:tc>
          <w:tcPr>
            <w:tcW w:w="1700" w:type="dxa"/>
            <w:shd w:val="clear" w:color="000000" w:fill="C5D9F1"/>
            <w:vAlign w:val="center"/>
            <w:hideMark/>
          </w:tcPr>
          <w:p w:rsidR="003002D1" w:rsidRPr="0005690F" w:rsidRDefault="007B13F4" w:rsidP="00274A5F">
            <w:pPr>
              <w:jc w:val="cente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S</w:t>
            </w:r>
            <w:r w:rsidR="00274A5F">
              <w:rPr>
                <w:rFonts w:ascii="Times New Roman" w:eastAsia="Times New Roman" w:hAnsi="Times New Roman" w:cs="Times New Roman"/>
                <w:szCs w:val="20"/>
                <w:lang w:eastAsia="cs-CZ"/>
              </w:rPr>
              <w:t>A</w:t>
            </w:r>
          </w:p>
        </w:tc>
        <w:tc>
          <w:tcPr>
            <w:tcW w:w="3828" w:type="dxa"/>
            <w:shd w:val="clear" w:color="000000" w:fill="C5D9F1"/>
            <w:hideMark/>
          </w:tcPr>
          <w:p w:rsidR="00393335" w:rsidRPr="0005690F" w:rsidRDefault="00393335" w:rsidP="00393335">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 xml:space="preserve">Hodnotitel vnímá pozitivně, že v rámci jednotlivých specifických cílů </w:t>
            </w:r>
            <w:r w:rsidR="00CD37C9">
              <w:rPr>
                <w:rFonts w:ascii="Times New Roman" w:eastAsia="Times New Roman" w:hAnsi="Times New Roman" w:cs="Times New Roman"/>
                <w:szCs w:val="20"/>
                <w:lang w:eastAsia="cs-CZ"/>
              </w:rPr>
              <w:t xml:space="preserve">byly </w:t>
            </w:r>
            <w:r w:rsidRPr="0005690F">
              <w:rPr>
                <w:rFonts w:ascii="Times New Roman" w:eastAsia="Times New Roman" w:hAnsi="Times New Roman" w:cs="Times New Roman"/>
                <w:szCs w:val="20"/>
                <w:lang w:eastAsia="cs-CZ"/>
              </w:rPr>
              <w:t xml:space="preserve">doplněny/upřesněny podporované aktivity, a to především popisem typových projektů, a také jejich výstupy. </w:t>
            </w:r>
          </w:p>
          <w:p w:rsidR="00A00D68" w:rsidRPr="00CD37C9" w:rsidRDefault="00E92B10" w:rsidP="00F059F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 xml:space="preserve">Dle názoru hodnotitele však nejsou </w:t>
            </w:r>
            <w:r w:rsidR="00CD37C9">
              <w:rPr>
                <w:rFonts w:ascii="Times New Roman" w:eastAsia="Times New Roman" w:hAnsi="Times New Roman" w:cs="Times New Roman"/>
                <w:szCs w:val="20"/>
                <w:lang w:eastAsia="cs-CZ"/>
              </w:rPr>
              <w:t xml:space="preserve">stále </w:t>
            </w:r>
            <w:r w:rsidRPr="0005690F">
              <w:rPr>
                <w:rFonts w:ascii="Times New Roman" w:eastAsia="Times New Roman" w:hAnsi="Times New Roman" w:cs="Times New Roman"/>
                <w:szCs w:val="20"/>
                <w:lang w:eastAsia="cs-CZ"/>
              </w:rPr>
              <w:t xml:space="preserve">zcela zřejmé </w:t>
            </w:r>
            <w:proofErr w:type="spellStart"/>
            <w:r w:rsidRPr="0005690F">
              <w:rPr>
                <w:rFonts w:ascii="Times New Roman" w:eastAsia="Times New Roman" w:hAnsi="Times New Roman" w:cs="Times New Roman"/>
                <w:szCs w:val="20"/>
                <w:lang w:eastAsia="cs-CZ"/>
              </w:rPr>
              <w:t>p</w:t>
            </w:r>
            <w:r w:rsidR="00393335" w:rsidRPr="0005690F">
              <w:rPr>
                <w:rFonts w:ascii="Times New Roman" w:eastAsia="Times New Roman" w:hAnsi="Times New Roman" w:cs="Times New Roman"/>
                <w:szCs w:val="20"/>
                <w:lang w:eastAsia="cs-CZ"/>
              </w:rPr>
              <w:t>rovazb</w:t>
            </w:r>
            <w:r w:rsidRPr="0005690F">
              <w:rPr>
                <w:rFonts w:ascii="Times New Roman" w:eastAsia="Times New Roman" w:hAnsi="Times New Roman" w:cs="Times New Roman"/>
                <w:szCs w:val="20"/>
                <w:lang w:eastAsia="cs-CZ"/>
              </w:rPr>
              <w:t>y</w:t>
            </w:r>
            <w:proofErr w:type="spellEnd"/>
            <w:r w:rsidR="00393335" w:rsidRPr="0005690F">
              <w:rPr>
                <w:rFonts w:ascii="Times New Roman" w:eastAsia="Times New Roman" w:hAnsi="Times New Roman" w:cs="Times New Roman"/>
                <w:szCs w:val="20"/>
                <w:lang w:eastAsia="cs-CZ"/>
              </w:rPr>
              <w:t xml:space="preserve"> výstupů</w:t>
            </w:r>
            <w:r w:rsidRPr="0005690F">
              <w:rPr>
                <w:rFonts w:ascii="Times New Roman" w:eastAsia="Times New Roman" w:hAnsi="Times New Roman" w:cs="Times New Roman"/>
                <w:szCs w:val="20"/>
                <w:lang w:eastAsia="cs-CZ"/>
              </w:rPr>
              <w:t xml:space="preserve"> aktivit </w:t>
            </w:r>
            <w:r w:rsidR="00393335" w:rsidRPr="0005690F">
              <w:rPr>
                <w:rFonts w:ascii="Times New Roman" w:eastAsia="Times New Roman" w:hAnsi="Times New Roman" w:cs="Times New Roman"/>
                <w:szCs w:val="20"/>
                <w:lang w:eastAsia="cs-CZ"/>
              </w:rPr>
              <w:t xml:space="preserve">(kap. 2.A.6.1) na formulované </w:t>
            </w:r>
            <w:r w:rsidR="00CD37C9">
              <w:rPr>
                <w:rFonts w:ascii="Times New Roman" w:eastAsia="Times New Roman" w:hAnsi="Times New Roman" w:cs="Times New Roman"/>
                <w:szCs w:val="20"/>
                <w:lang w:eastAsia="cs-CZ"/>
              </w:rPr>
              <w:t>„V</w:t>
            </w:r>
            <w:r w:rsidR="00393335" w:rsidRPr="0005690F">
              <w:rPr>
                <w:rFonts w:ascii="Times New Roman" w:eastAsia="Times New Roman" w:hAnsi="Times New Roman" w:cs="Times New Roman"/>
                <w:szCs w:val="20"/>
                <w:lang w:eastAsia="cs-CZ"/>
              </w:rPr>
              <w:t>ýsledky, kterých chce ČR dosáhnout s</w:t>
            </w:r>
            <w:r w:rsidRPr="0005690F">
              <w:rPr>
                <w:rFonts w:ascii="Times New Roman" w:eastAsia="Times New Roman" w:hAnsi="Times New Roman" w:cs="Times New Roman"/>
                <w:szCs w:val="20"/>
                <w:lang w:eastAsia="cs-CZ"/>
              </w:rPr>
              <w:t> </w:t>
            </w:r>
            <w:r w:rsidR="00393335" w:rsidRPr="0005690F">
              <w:rPr>
                <w:rFonts w:ascii="Times New Roman" w:eastAsia="Times New Roman" w:hAnsi="Times New Roman" w:cs="Times New Roman"/>
                <w:szCs w:val="20"/>
                <w:lang w:eastAsia="cs-CZ"/>
              </w:rPr>
              <w:t>podporou</w:t>
            </w:r>
            <w:r w:rsidRPr="0005690F">
              <w:rPr>
                <w:rFonts w:ascii="Times New Roman" w:eastAsia="Times New Roman" w:hAnsi="Times New Roman" w:cs="Times New Roman"/>
                <w:szCs w:val="20"/>
                <w:lang w:eastAsia="cs-CZ"/>
              </w:rPr>
              <w:t xml:space="preserve"> Unie</w:t>
            </w:r>
            <w:r w:rsidR="00CD37C9">
              <w:rPr>
                <w:rFonts w:ascii="Times New Roman" w:eastAsia="Times New Roman" w:hAnsi="Times New Roman" w:cs="Times New Roman"/>
                <w:szCs w:val="20"/>
                <w:lang w:eastAsia="cs-CZ"/>
              </w:rPr>
              <w:t>“</w:t>
            </w:r>
            <w:r w:rsidRPr="0005690F">
              <w:rPr>
                <w:rFonts w:ascii="Times New Roman" w:eastAsia="Times New Roman" w:hAnsi="Times New Roman" w:cs="Times New Roman"/>
                <w:szCs w:val="20"/>
                <w:lang w:eastAsia="cs-CZ"/>
              </w:rPr>
              <w:t xml:space="preserve"> (kap. 2.A.5). Hodnotitel proto doporučuje tyto vazby dále upřesnit. </w:t>
            </w:r>
          </w:p>
        </w:tc>
      </w:tr>
      <w:tr w:rsidR="003002D1" w:rsidRPr="0005690F" w:rsidTr="0027710F">
        <w:trPr>
          <w:trHeight w:val="160"/>
        </w:trPr>
        <w:tc>
          <w:tcPr>
            <w:tcW w:w="880" w:type="dxa"/>
            <w:shd w:val="clear" w:color="000000" w:fill="C5D9F1"/>
            <w:hideMark/>
          </w:tcPr>
          <w:p w:rsidR="003002D1" w:rsidRPr="0005690F" w:rsidRDefault="003002D1"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01.16</w:t>
            </w:r>
          </w:p>
        </w:tc>
        <w:tc>
          <w:tcPr>
            <w:tcW w:w="2823" w:type="dxa"/>
            <w:shd w:val="clear" w:color="000000" w:fill="C5D9F1"/>
            <w:hideMark/>
          </w:tcPr>
          <w:p w:rsidR="003002D1" w:rsidRPr="0005690F" w:rsidRDefault="003002D1"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Povedou navržené aktivity/</w:t>
            </w:r>
            <w:r w:rsidR="0085722A" w:rsidRPr="0005690F">
              <w:rPr>
                <w:rFonts w:ascii="Times New Roman" w:eastAsia="Times New Roman" w:hAnsi="Times New Roman" w:cs="Times New Roman"/>
                <w:szCs w:val="20"/>
                <w:lang w:eastAsia="cs-CZ"/>
              </w:rPr>
              <w:t xml:space="preserve"> </w:t>
            </w:r>
            <w:r w:rsidRPr="0005690F">
              <w:rPr>
                <w:rFonts w:ascii="Times New Roman" w:eastAsia="Times New Roman" w:hAnsi="Times New Roman" w:cs="Times New Roman"/>
                <w:szCs w:val="20"/>
                <w:lang w:eastAsia="cs-CZ"/>
              </w:rPr>
              <w:t>intervence účinně k očekávaným výstupům?</w:t>
            </w:r>
          </w:p>
        </w:tc>
        <w:tc>
          <w:tcPr>
            <w:tcW w:w="1700" w:type="dxa"/>
            <w:shd w:val="clear" w:color="000000" w:fill="C5D9F1"/>
            <w:vAlign w:val="center"/>
            <w:hideMark/>
          </w:tcPr>
          <w:p w:rsidR="003002D1" w:rsidRPr="0005690F" w:rsidRDefault="006C734D" w:rsidP="007041AB">
            <w:pPr>
              <w:jc w:val="cente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SA</w:t>
            </w:r>
          </w:p>
        </w:tc>
        <w:tc>
          <w:tcPr>
            <w:tcW w:w="3828" w:type="dxa"/>
            <w:shd w:val="clear" w:color="000000" w:fill="C5D9F1"/>
            <w:hideMark/>
          </w:tcPr>
          <w:p w:rsidR="00E67E7B" w:rsidRPr="0005690F" w:rsidRDefault="001F6787" w:rsidP="001A212F">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S výjimkou některých případů/nejasností popsaných níže v </w:t>
            </w:r>
            <w:r w:rsidRPr="0005690F">
              <w:rPr>
                <w:rFonts w:ascii="Times New Roman" w:eastAsia="Times New Roman" w:hAnsi="Times New Roman" w:cs="Times New Roman"/>
                <w:i/>
                <w:szCs w:val="20"/>
                <w:lang w:eastAsia="cs-CZ"/>
              </w:rPr>
              <w:t>Dalších komentářích a doporučeních</w:t>
            </w:r>
            <w:r w:rsidRPr="0005690F">
              <w:rPr>
                <w:rFonts w:ascii="Times New Roman" w:eastAsia="Times New Roman" w:hAnsi="Times New Roman" w:cs="Times New Roman"/>
                <w:szCs w:val="20"/>
                <w:lang w:eastAsia="cs-CZ"/>
              </w:rPr>
              <w:t xml:space="preserve"> lze konstatovat, že navržené aktivity </w:t>
            </w:r>
            <w:r w:rsidR="001A212F" w:rsidRPr="0005690F">
              <w:rPr>
                <w:rFonts w:ascii="Times New Roman" w:eastAsia="Times New Roman" w:hAnsi="Times New Roman" w:cs="Times New Roman"/>
                <w:szCs w:val="20"/>
                <w:lang w:eastAsia="cs-CZ"/>
              </w:rPr>
              <w:t>by měly být</w:t>
            </w:r>
            <w:r w:rsidRPr="0005690F">
              <w:rPr>
                <w:rFonts w:ascii="Times New Roman" w:eastAsia="Times New Roman" w:hAnsi="Times New Roman" w:cs="Times New Roman"/>
                <w:szCs w:val="20"/>
                <w:lang w:eastAsia="cs-CZ"/>
              </w:rPr>
              <w:t xml:space="preserve"> účinným nástrojem k dosažení očekávaných výstupů.</w:t>
            </w:r>
          </w:p>
        </w:tc>
      </w:tr>
      <w:tr w:rsidR="003002D1" w:rsidRPr="0005690F" w:rsidTr="000707AF">
        <w:trPr>
          <w:trHeight w:val="540"/>
        </w:trPr>
        <w:tc>
          <w:tcPr>
            <w:tcW w:w="880" w:type="dxa"/>
            <w:shd w:val="clear" w:color="000000" w:fill="C5D9F1"/>
            <w:hideMark/>
          </w:tcPr>
          <w:p w:rsidR="003002D1" w:rsidRPr="0005690F" w:rsidRDefault="003002D1"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01.17</w:t>
            </w:r>
          </w:p>
        </w:tc>
        <w:tc>
          <w:tcPr>
            <w:tcW w:w="2823" w:type="dxa"/>
            <w:shd w:val="clear" w:color="000000" w:fill="C5D9F1"/>
            <w:hideMark/>
          </w:tcPr>
          <w:p w:rsidR="003002D1" w:rsidRPr="0005690F" w:rsidRDefault="003002D1"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Jsou identifikovány předpoklady a externí faktory nezbytné pro dosažení očekávaných výsledků?</w:t>
            </w:r>
          </w:p>
        </w:tc>
        <w:tc>
          <w:tcPr>
            <w:tcW w:w="1700" w:type="dxa"/>
            <w:shd w:val="clear" w:color="000000" w:fill="C5D9F1"/>
            <w:vAlign w:val="center"/>
            <w:hideMark/>
          </w:tcPr>
          <w:p w:rsidR="003002D1" w:rsidRPr="0005690F" w:rsidRDefault="0078315E" w:rsidP="007041AB">
            <w:pPr>
              <w:jc w:val="cente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S</w:t>
            </w:r>
            <w:r w:rsidR="003E3A42" w:rsidRPr="0005690F">
              <w:rPr>
                <w:rFonts w:ascii="Times New Roman" w:eastAsia="Times New Roman" w:hAnsi="Times New Roman" w:cs="Times New Roman"/>
                <w:szCs w:val="20"/>
                <w:lang w:eastAsia="cs-CZ"/>
              </w:rPr>
              <w:t>N</w:t>
            </w:r>
          </w:p>
        </w:tc>
        <w:tc>
          <w:tcPr>
            <w:tcW w:w="3828" w:type="dxa"/>
            <w:shd w:val="clear" w:color="000000" w:fill="C5D9F1"/>
            <w:hideMark/>
          </w:tcPr>
          <w:p w:rsidR="0027710F" w:rsidRDefault="00AD6F30" w:rsidP="001F08E3">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V</w:t>
            </w:r>
            <w:r w:rsidR="00107DE3" w:rsidRPr="0005690F">
              <w:rPr>
                <w:rFonts w:ascii="Times New Roman" w:eastAsia="Times New Roman" w:hAnsi="Times New Roman" w:cs="Times New Roman"/>
                <w:szCs w:val="20"/>
                <w:lang w:eastAsia="cs-CZ"/>
              </w:rPr>
              <w:t>iz</w:t>
            </w:r>
            <w:r w:rsidR="00684B97" w:rsidRPr="0005690F">
              <w:rPr>
                <w:rFonts w:ascii="Times New Roman" w:eastAsia="Times New Roman" w:hAnsi="Times New Roman" w:cs="Times New Roman"/>
                <w:szCs w:val="20"/>
                <w:lang w:eastAsia="cs-CZ"/>
              </w:rPr>
              <w:t xml:space="preserve"> také</w:t>
            </w:r>
            <w:r w:rsidR="00107DE3" w:rsidRPr="0005690F">
              <w:rPr>
                <w:rFonts w:ascii="Times New Roman" w:eastAsia="Times New Roman" w:hAnsi="Times New Roman" w:cs="Times New Roman"/>
                <w:szCs w:val="20"/>
                <w:lang w:eastAsia="cs-CZ"/>
              </w:rPr>
              <w:t xml:space="preserve"> komentář</w:t>
            </w:r>
            <w:r w:rsidR="001F08E3">
              <w:rPr>
                <w:rFonts w:ascii="Times New Roman" w:eastAsia="Times New Roman" w:hAnsi="Times New Roman" w:cs="Times New Roman"/>
                <w:szCs w:val="20"/>
                <w:lang w:eastAsia="cs-CZ"/>
              </w:rPr>
              <w:t>e</w:t>
            </w:r>
            <w:r w:rsidR="00107DE3" w:rsidRPr="0005690F">
              <w:rPr>
                <w:rFonts w:ascii="Times New Roman" w:eastAsia="Times New Roman" w:hAnsi="Times New Roman" w:cs="Times New Roman"/>
                <w:szCs w:val="20"/>
                <w:lang w:eastAsia="cs-CZ"/>
              </w:rPr>
              <w:t xml:space="preserve"> k evaluační</w:t>
            </w:r>
            <w:r w:rsidR="00C53FA1" w:rsidRPr="0005690F">
              <w:rPr>
                <w:rFonts w:ascii="Times New Roman" w:eastAsia="Times New Roman" w:hAnsi="Times New Roman" w:cs="Times New Roman"/>
                <w:szCs w:val="20"/>
                <w:lang w:eastAsia="cs-CZ"/>
              </w:rPr>
              <w:t>m</w:t>
            </w:r>
            <w:r w:rsidR="00107DE3" w:rsidRPr="0005690F">
              <w:rPr>
                <w:rFonts w:ascii="Times New Roman" w:eastAsia="Times New Roman" w:hAnsi="Times New Roman" w:cs="Times New Roman"/>
                <w:szCs w:val="20"/>
                <w:lang w:eastAsia="cs-CZ"/>
              </w:rPr>
              <w:t xml:space="preserve"> otáz</w:t>
            </w:r>
            <w:r w:rsidR="00C53FA1" w:rsidRPr="0005690F">
              <w:rPr>
                <w:rFonts w:ascii="Times New Roman" w:eastAsia="Times New Roman" w:hAnsi="Times New Roman" w:cs="Times New Roman"/>
                <w:szCs w:val="20"/>
                <w:lang w:eastAsia="cs-CZ"/>
              </w:rPr>
              <w:t xml:space="preserve">kám </w:t>
            </w:r>
            <w:r w:rsidR="0078315E">
              <w:rPr>
                <w:rFonts w:ascii="Times New Roman" w:eastAsia="Times New Roman" w:hAnsi="Times New Roman" w:cs="Times New Roman"/>
                <w:szCs w:val="20"/>
                <w:lang w:eastAsia="cs-CZ"/>
              </w:rPr>
              <w:t xml:space="preserve">01.1, </w:t>
            </w:r>
            <w:r w:rsidR="00C53FA1" w:rsidRPr="0005690F">
              <w:rPr>
                <w:rFonts w:ascii="Times New Roman" w:eastAsia="Times New Roman" w:hAnsi="Times New Roman" w:cs="Times New Roman"/>
                <w:szCs w:val="20"/>
                <w:lang w:eastAsia="cs-CZ"/>
              </w:rPr>
              <w:t>01.8 a</w:t>
            </w:r>
            <w:r w:rsidR="00107DE3" w:rsidRPr="0005690F">
              <w:rPr>
                <w:rFonts w:ascii="Times New Roman" w:eastAsia="Times New Roman" w:hAnsi="Times New Roman" w:cs="Times New Roman"/>
                <w:szCs w:val="20"/>
                <w:lang w:eastAsia="cs-CZ"/>
              </w:rPr>
              <w:t xml:space="preserve"> 01.14</w:t>
            </w:r>
            <w:r w:rsidR="000B1279" w:rsidRPr="0005690F">
              <w:rPr>
                <w:rFonts w:ascii="Times New Roman" w:eastAsia="Times New Roman" w:hAnsi="Times New Roman" w:cs="Times New Roman"/>
                <w:szCs w:val="20"/>
                <w:lang w:eastAsia="cs-CZ"/>
              </w:rPr>
              <w:t>. H</w:t>
            </w:r>
            <w:r w:rsidR="003E3A42" w:rsidRPr="0005690F">
              <w:rPr>
                <w:rFonts w:ascii="Times New Roman" w:eastAsia="Times New Roman" w:hAnsi="Times New Roman" w:cs="Times New Roman"/>
                <w:szCs w:val="20"/>
                <w:lang w:eastAsia="cs-CZ"/>
              </w:rPr>
              <w:t xml:space="preserve">odnotitel </w:t>
            </w:r>
            <w:r w:rsidR="00AB3E9D">
              <w:rPr>
                <w:rFonts w:ascii="Times New Roman" w:eastAsia="Times New Roman" w:hAnsi="Times New Roman" w:cs="Times New Roman"/>
                <w:szCs w:val="20"/>
                <w:lang w:eastAsia="cs-CZ"/>
              </w:rPr>
              <w:t xml:space="preserve">doporučuje doplnit </w:t>
            </w:r>
            <w:r w:rsidR="003E3A42" w:rsidRPr="0005690F">
              <w:rPr>
                <w:rFonts w:ascii="Times New Roman" w:eastAsia="Times New Roman" w:hAnsi="Times New Roman" w:cs="Times New Roman"/>
                <w:szCs w:val="20"/>
                <w:lang w:eastAsia="cs-CZ"/>
              </w:rPr>
              <w:t xml:space="preserve">u jednotlivých </w:t>
            </w:r>
            <w:r w:rsidR="0078315E">
              <w:rPr>
                <w:rFonts w:ascii="Times New Roman" w:eastAsia="Times New Roman" w:hAnsi="Times New Roman" w:cs="Times New Roman"/>
                <w:szCs w:val="20"/>
                <w:lang w:eastAsia="cs-CZ"/>
              </w:rPr>
              <w:t xml:space="preserve">SC </w:t>
            </w:r>
            <w:r w:rsidR="001A212F" w:rsidRPr="0005690F">
              <w:rPr>
                <w:rFonts w:ascii="Times New Roman" w:eastAsia="Times New Roman" w:hAnsi="Times New Roman" w:cs="Times New Roman"/>
                <w:szCs w:val="20"/>
                <w:lang w:eastAsia="cs-CZ"/>
              </w:rPr>
              <w:t>výčet</w:t>
            </w:r>
            <w:r w:rsidR="003002D1" w:rsidRPr="0005690F">
              <w:rPr>
                <w:rFonts w:ascii="Times New Roman" w:eastAsia="Times New Roman" w:hAnsi="Times New Roman" w:cs="Times New Roman"/>
                <w:szCs w:val="20"/>
                <w:lang w:eastAsia="cs-CZ"/>
              </w:rPr>
              <w:t> </w:t>
            </w:r>
            <w:r w:rsidR="003E3A42" w:rsidRPr="0005690F">
              <w:rPr>
                <w:rFonts w:ascii="Times New Roman" w:eastAsia="Times New Roman" w:hAnsi="Times New Roman" w:cs="Times New Roman"/>
                <w:szCs w:val="20"/>
                <w:lang w:eastAsia="cs-CZ"/>
              </w:rPr>
              <w:t xml:space="preserve"> dalších </w:t>
            </w:r>
            <w:r w:rsidR="00CD37C9">
              <w:rPr>
                <w:rFonts w:ascii="Times New Roman" w:eastAsia="Times New Roman" w:hAnsi="Times New Roman" w:cs="Times New Roman"/>
                <w:szCs w:val="20"/>
                <w:lang w:eastAsia="cs-CZ"/>
              </w:rPr>
              <w:t>faktorů (</w:t>
            </w:r>
            <w:r w:rsidR="003E3A42" w:rsidRPr="0005690F">
              <w:rPr>
                <w:rFonts w:ascii="Times New Roman" w:eastAsia="Times New Roman" w:hAnsi="Times New Roman" w:cs="Times New Roman"/>
                <w:szCs w:val="20"/>
                <w:lang w:eastAsia="cs-CZ"/>
              </w:rPr>
              <w:t>opatření</w:t>
            </w:r>
            <w:r w:rsidR="00CD37C9">
              <w:rPr>
                <w:rFonts w:ascii="Times New Roman" w:eastAsia="Times New Roman" w:hAnsi="Times New Roman" w:cs="Times New Roman"/>
                <w:szCs w:val="20"/>
                <w:lang w:eastAsia="cs-CZ"/>
              </w:rPr>
              <w:t>)</w:t>
            </w:r>
            <w:r w:rsidR="001F08E3">
              <w:rPr>
                <w:rFonts w:ascii="Times New Roman" w:eastAsia="Times New Roman" w:hAnsi="Times New Roman" w:cs="Times New Roman"/>
                <w:szCs w:val="20"/>
                <w:lang w:eastAsia="cs-CZ"/>
              </w:rPr>
              <w:t xml:space="preserve"> </w:t>
            </w:r>
            <w:r w:rsidR="0078315E">
              <w:rPr>
                <w:rFonts w:ascii="Times New Roman" w:eastAsia="Times New Roman" w:hAnsi="Times New Roman" w:cs="Times New Roman"/>
                <w:szCs w:val="20"/>
                <w:lang w:eastAsia="cs-CZ"/>
              </w:rPr>
              <w:t>nad rámec OP PIK</w:t>
            </w:r>
            <w:r w:rsidR="001F08E3">
              <w:rPr>
                <w:rFonts w:ascii="Times New Roman" w:eastAsia="Times New Roman" w:hAnsi="Times New Roman" w:cs="Times New Roman"/>
                <w:szCs w:val="20"/>
                <w:lang w:eastAsia="cs-CZ"/>
              </w:rPr>
              <w:t xml:space="preserve"> pro dosažení</w:t>
            </w:r>
            <w:r w:rsidR="003E3A42" w:rsidRPr="0005690F">
              <w:rPr>
                <w:rFonts w:ascii="Times New Roman" w:eastAsia="Times New Roman" w:hAnsi="Times New Roman" w:cs="Times New Roman"/>
                <w:szCs w:val="20"/>
                <w:lang w:eastAsia="cs-CZ"/>
              </w:rPr>
              <w:t xml:space="preserve"> </w:t>
            </w:r>
            <w:r w:rsidR="0078315E">
              <w:rPr>
                <w:rFonts w:ascii="Times New Roman" w:eastAsia="Times New Roman" w:hAnsi="Times New Roman" w:cs="Times New Roman"/>
                <w:szCs w:val="20"/>
                <w:lang w:eastAsia="cs-CZ"/>
              </w:rPr>
              <w:t>očekávaných výsledků</w:t>
            </w:r>
            <w:r w:rsidR="00CD37C9">
              <w:rPr>
                <w:rFonts w:ascii="Times New Roman" w:eastAsia="Times New Roman" w:hAnsi="Times New Roman" w:cs="Times New Roman"/>
                <w:szCs w:val="20"/>
                <w:lang w:eastAsia="cs-CZ"/>
              </w:rPr>
              <w:t>=</w:t>
            </w:r>
            <w:r w:rsidR="00F059FC">
              <w:rPr>
                <w:rFonts w:ascii="Times New Roman" w:eastAsia="Times New Roman" w:hAnsi="Times New Roman" w:cs="Times New Roman"/>
                <w:szCs w:val="20"/>
                <w:lang w:eastAsia="cs-CZ"/>
              </w:rPr>
              <w:t>žádoucích změn</w:t>
            </w:r>
            <w:r w:rsidR="003E3A42" w:rsidRPr="0005690F">
              <w:rPr>
                <w:rFonts w:ascii="Times New Roman" w:eastAsia="Times New Roman" w:hAnsi="Times New Roman" w:cs="Times New Roman"/>
                <w:szCs w:val="20"/>
                <w:lang w:eastAsia="cs-CZ"/>
              </w:rPr>
              <w:t>.</w:t>
            </w:r>
            <w:r w:rsidR="0078315E">
              <w:rPr>
                <w:rFonts w:ascii="Times New Roman" w:eastAsia="Times New Roman" w:hAnsi="Times New Roman" w:cs="Times New Roman"/>
                <w:szCs w:val="20"/>
                <w:lang w:eastAsia="cs-CZ"/>
              </w:rPr>
              <w:t xml:space="preserve"> </w:t>
            </w:r>
          </w:p>
          <w:p w:rsidR="003E3A42" w:rsidRPr="0005690F" w:rsidRDefault="0078315E" w:rsidP="001F08E3">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Částečně je toto naznačeno v nepovinné příloze č. 1, nicméně h</w:t>
            </w:r>
            <w:r w:rsidR="003E3A42" w:rsidRPr="0005690F">
              <w:rPr>
                <w:rFonts w:ascii="Times New Roman" w:eastAsia="Times New Roman" w:hAnsi="Times New Roman" w:cs="Times New Roman"/>
                <w:szCs w:val="20"/>
                <w:lang w:eastAsia="cs-CZ"/>
              </w:rPr>
              <w:t>odnoti</w:t>
            </w:r>
            <w:r w:rsidR="00F324CD" w:rsidRPr="0005690F">
              <w:rPr>
                <w:rFonts w:ascii="Times New Roman" w:eastAsia="Times New Roman" w:hAnsi="Times New Roman" w:cs="Times New Roman"/>
                <w:szCs w:val="20"/>
                <w:lang w:eastAsia="cs-CZ"/>
              </w:rPr>
              <w:t>tel</w:t>
            </w:r>
            <w:r w:rsidR="003E3A42" w:rsidRPr="0005690F">
              <w:rPr>
                <w:rFonts w:ascii="Times New Roman" w:eastAsia="Times New Roman" w:hAnsi="Times New Roman" w:cs="Times New Roman"/>
                <w:szCs w:val="20"/>
                <w:lang w:eastAsia="cs-CZ"/>
              </w:rPr>
              <w:t xml:space="preserve"> doporučuje </w:t>
            </w:r>
            <w:r w:rsidR="001F08E3">
              <w:rPr>
                <w:rFonts w:ascii="Times New Roman" w:eastAsia="Times New Roman" w:hAnsi="Times New Roman" w:cs="Times New Roman"/>
                <w:szCs w:val="20"/>
                <w:lang w:eastAsia="cs-CZ"/>
              </w:rPr>
              <w:t>roz</w:t>
            </w:r>
            <w:r w:rsidR="00F324CD" w:rsidRPr="0005690F">
              <w:rPr>
                <w:rFonts w:ascii="Times New Roman" w:eastAsia="Times New Roman" w:hAnsi="Times New Roman" w:cs="Times New Roman"/>
                <w:szCs w:val="20"/>
                <w:lang w:eastAsia="cs-CZ"/>
              </w:rPr>
              <w:t xml:space="preserve">pracovat tyto aspekty </w:t>
            </w:r>
            <w:r>
              <w:rPr>
                <w:rFonts w:ascii="Times New Roman" w:eastAsia="Times New Roman" w:hAnsi="Times New Roman" w:cs="Times New Roman"/>
                <w:szCs w:val="20"/>
                <w:lang w:eastAsia="cs-CZ"/>
              </w:rPr>
              <w:t>přímo ve vztahu k jednotlivým SC.</w:t>
            </w:r>
          </w:p>
        </w:tc>
      </w:tr>
      <w:tr w:rsidR="003002D1" w:rsidRPr="0005690F" w:rsidTr="00F21883">
        <w:trPr>
          <w:trHeight w:val="301"/>
        </w:trPr>
        <w:tc>
          <w:tcPr>
            <w:tcW w:w="880" w:type="dxa"/>
            <w:shd w:val="clear" w:color="000000" w:fill="C5D9F1"/>
            <w:hideMark/>
          </w:tcPr>
          <w:p w:rsidR="003002D1" w:rsidRPr="0005690F" w:rsidRDefault="003002D1"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01.18</w:t>
            </w:r>
          </w:p>
        </w:tc>
        <w:tc>
          <w:tcPr>
            <w:tcW w:w="2823" w:type="dxa"/>
            <w:shd w:val="clear" w:color="000000" w:fill="C5D9F1"/>
            <w:hideMark/>
          </w:tcPr>
          <w:p w:rsidR="003002D1" w:rsidRPr="0005690F" w:rsidRDefault="003002D1"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 xml:space="preserve">Existují vhodnější aktivity a výstupy podporovatelné z EFRR k dosažení výsledků a cílů </w:t>
            </w:r>
            <w:r w:rsidRPr="0005690F">
              <w:rPr>
                <w:rFonts w:ascii="Times New Roman" w:eastAsia="Times New Roman" w:hAnsi="Times New Roman" w:cs="Times New Roman"/>
                <w:szCs w:val="20"/>
                <w:lang w:eastAsia="cs-CZ"/>
              </w:rPr>
              <w:lastRenderedPageBreak/>
              <w:t>programu než ty navržené?</w:t>
            </w:r>
          </w:p>
        </w:tc>
        <w:tc>
          <w:tcPr>
            <w:tcW w:w="1700" w:type="dxa"/>
            <w:shd w:val="clear" w:color="000000" w:fill="C5D9F1"/>
            <w:vAlign w:val="center"/>
            <w:hideMark/>
          </w:tcPr>
          <w:p w:rsidR="003002D1" w:rsidRPr="0005690F" w:rsidRDefault="00F31A01" w:rsidP="007041AB">
            <w:pPr>
              <w:jc w:val="cente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lastRenderedPageBreak/>
              <w:t>S</w:t>
            </w:r>
            <w:r w:rsidR="00F324CD" w:rsidRPr="0005690F">
              <w:rPr>
                <w:rFonts w:ascii="Times New Roman" w:eastAsia="Times New Roman" w:hAnsi="Times New Roman" w:cs="Times New Roman"/>
                <w:szCs w:val="20"/>
                <w:lang w:eastAsia="cs-CZ"/>
              </w:rPr>
              <w:t>N</w:t>
            </w:r>
          </w:p>
        </w:tc>
        <w:tc>
          <w:tcPr>
            <w:tcW w:w="3828" w:type="dxa"/>
            <w:shd w:val="clear" w:color="000000" w:fill="C5D9F1"/>
            <w:hideMark/>
          </w:tcPr>
          <w:p w:rsidR="003002D1" w:rsidRPr="0005690F" w:rsidRDefault="00F324CD" w:rsidP="00CD37C9">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 xml:space="preserve">Hodnotitel se domnívá, že v programu byly navrženy </w:t>
            </w:r>
            <w:r w:rsidR="00107DE3" w:rsidRPr="0005690F">
              <w:rPr>
                <w:rFonts w:ascii="Times New Roman" w:eastAsia="Times New Roman" w:hAnsi="Times New Roman" w:cs="Times New Roman"/>
                <w:szCs w:val="20"/>
                <w:lang w:eastAsia="cs-CZ"/>
              </w:rPr>
              <w:t xml:space="preserve">dostatečně </w:t>
            </w:r>
            <w:r w:rsidRPr="0005690F">
              <w:rPr>
                <w:rFonts w:ascii="Times New Roman" w:eastAsia="Times New Roman" w:hAnsi="Times New Roman" w:cs="Times New Roman"/>
                <w:szCs w:val="20"/>
                <w:lang w:eastAsia="cs-CZ"/>
              </w:rPr>
              <w:t xml:space="preserve">vhodné aktivity a výstupy podporovatelné z EFRR k dosažení </w:t>
            </w:r>
            <w:r w:rsidRPr="0005690F">
              <w:rPr>
                <w:rFonts w:ascii="Times New Roman" w:eastAsia="Times New Roman" w:hAnsi="Times New Roman" w:cs="Times New Roman"/>
                <w:szCs w:val="20"/>
                <w:lang w:eastAsia="cs-CZ"/>
              </w:rPr>
              <w:lastRenderedPageBreak/>
              <w:t>výsledků a cílů programu.</w:t>
            </w:r>
            <w:r w:rsidR="00107DE3" w:rsidRPr="0005690F">
              <w:rPr>
                <w:rFonts w:ascii="Times New Roman" w:eastAsia="Times New Roman" w:hAnsi="Times New Roman" w:cs="Times New Roman"/>
                <w:szCs w:val="20"/>
                <w:lang w:eastAsia="cs-CZ"/>
              </w:rPr>
              <w:t xml:space="preserve"> </w:t>
            </w:r>
          </w:p>
        </w:tc>
      </w:tr>
      <w:tr w:rsidR="003002D1" w:rsidRPr="0005690F" w:rsidTr="000707AF">
        <w:trPr>
          <w:trHeight w:val="1080"/>
        </w:trPr>
        <w:tc>
          <w:tcPr>
            <w:tcW w:w="880" w:type="dxa"/>
            <w:shd w:val="clear" w:color="000000" w:fill="C5D9F1"/>
            <w:hideMark/>
          </w:tcPr>
          <w:p w:rsidR="003002D1" w:rsidRPr="0005690F" w:rsidRDefault="003002D1"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lastRenderedPageBreak/>
              <w:t>01.19</w:t>
            </w:r>
          </w:p>
        </w:tc>
        <w:tc>
          <w:tcPr>
            <w:tcW w:w="2823" w:type="dxa"/>
            <w:shd w:val="clear" w:color="000000" w:fill="C5D9F1"/>
            <w:hideMark/>
          </w:tcPr>
          <w:p w:rsidR="003002D1" w:rsidRPr="0005690F" w:rsidRDefault="003002D1"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Jsou v programu navrženy vhodné formy podpory, zejména v kontextu principu fungujícího trhu; představují nejúčinnější formy podpory pro dané cílové skupiny a specifické cíle programu? Je toto řádně odůvodněno?</w:t>
            </w:r>
          </w:p>
        </w:tc>
        <w:tc>
          <w:tcPr>
            <w:tcW w:w="1700" w:type="dxa"/>
            <w:shd w:val="clear" w:color="000000" w:fill="C5D9F1"/>
            <w:vAlign w:val="center"/>
            <w:hideMark/>
          </w:tcPr>
          <w:p w:rsidR="003002D1" w:rsidRPr="0005690F" w:rsidRDefault="00FB714F" w:rsidP="007041AB">
            <w:pPr>
              <w:jc w:val="cente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SA</w:t>
            </w:r>
          </w:p>
        </w:tc>
        <w:tc>
          <w:tcPr>
            <w:tcW w:w="3828" w:type="dxa"/>
            <w:shd w:val="clear" w:color="000000" w:fill="C5D9F1"/>
            <w:hideMark/>
          </w:tcPr>
          <w:p w:rsidR="00E605A9" w:rsidRPr="0005690F" w:rsidRDefault="00FB714F"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 xml:space="preserve">Forma podpory je určována </w:t>
            </w:r>
            <w:r w:rsidR="006C0E74" w:rsidRPr="0005690F">
              <w:rPr>
                <w:rFonts w:ascii="Times New Roman" w:eastAsia="Times New Roman" w:hAnsi="Times New Roman" w:cs="Times New Roman"/>
                <w:szCs w:val="20"/>
                <w:lang w:eastAsia="cs-CZ"/>
              </w:rPr>
              <w:t xml:space="preserve">prostřednictvím kódů Dimenze 2 „Forma financování“ v tabulkách Kategorie </w:t>
            </w:r>
            <w:r w:rsidR="0078315E">
              <w:rPr>
                <w:rFonts w:ascii="Times New Roman" w:eastAsia="Times New Roman" w:hAnsi="Times New Roman" w:cs="Times New Roman"/>
                <w:szCs w:val="20"/>
                <w:lang w:eastAsia="cs-CZ"/>
              </w:rPr>
              <w:t>zásahů</w:t>
            </w:r>
            <w:r w:rsidR="006C0E74" w:rsidRPr="0005690F">
              <w:rPr>
                <w:rFonts w:ascii="Times New Roman" w:eastAsia="Times New Roman" w:hAnsi="Times New Roman" w:cs="Times New Roman"/>
                <w:szCs w:val="20"/>
                <w:lang w:eastAsia="cs-CZ"/>
              </w:rPr>
              <w:t xml:space="preserve">. </w:t>
            </w:r>
          </w:p>
          <w:p w:rsidR="00A1343C" w:rsidRPr="0005690F" w:rsidRDefault="00A1343C" w:rsidP="00A1343C">
            <w:pPr>
              <w:rPr>
                <w:rFonts w:ascii="Times New Roman" w:eastAsia="Times New Roman" w:hAnsi="Times New Roman" w:cs="Times New Roman"/>
                <w:szCs w:val="20"/>
                <w:lang w:eastAsia="cs-CZ"/>
              </w:rPr>
            </w:pPr>
          </w:p>
          <w:p w:rsidR="00074462" w:rsidRPr="00074462" w:rsidRDefault="006C0E74" w:rsidP="00074462">
            <w:pPr>
              <w:rPr>
                <w:rFonts w:ascii="Times New Roman" w:eastAsia="Times New Roman" w:hAnsi="Times New Roman" w:cs="Times New Roman"/>
                <w:szCs w:val="20"/>
                <w:lang w:eastAsia="cs-CZ"/>
              </w:rPr>
            </w:pPr>
            <w:r w:rsidRPr="00074462">
              <w:rPr>
                <w:rFonts w:ascii="Times New Roman" w:eastAsia="Times New Roman" w:hAnsi="Times New Roman" w:cs="Times New Roman"/>
                <w:szCs w:val="20"/>
                <w:lang w:eastAsia="cs-CZ"/>
              </w:rPr>
              <w:t xml:space="preserve">Ve všech </w:t>
            </w:r>
            <w:r w:rsidR="00E605A9" w:rsidRPr="00074462">
              <w:rPr>
                <w:rFonts w:ascii="Times New Roman" w:eastAsia="Times New Roman" w:hAnsi="Times New Roman" w:cs="Times New Roman"/>
                <w:szCs w:val="20"/>
                <w:lang w:eastAsia="cs-CZ"/>
              </w:rPr>
              <w:t xml:space="preserve">čtyřech </w:t>
            </w:r>
            <w:r w:rsidRPr="00074462">
              <w:rPr>
                <w:rFonts w:ascii="Times New Roman" w:eastAsia="Times New Roman" w:hAnsi="Times New Roman" w:cs="Times New Roman"/>
                <w:szCs w:val="20"/>
                <w:lang w:eastAsia="cs-CZ"/>
              </w:rPr>
              <w:t xml:space="preserve">věcně zaměřených prioritních osách OP PIK jsou </w:t>
            </w:r>
            <w:r w:rsidR="00571960" w:rsidRPr="00074462">
              <w:rPr>
                <w:rFonts w:ascii="Times New Roman" w:eastAsia="Times New Roman" w:hAnsi="Times New Roman" w:cs="Times New Roman"/>
                <w:szCs w:val="20"/>
                <w:lang w:eastAsia="cs-CZ"/>
              </w:rPr>
              <w:t xml:space="preserve">zatím </w:t>
            </w:r>
            <w:r w:rsidRPr="00074462">
              <w:rPr>
                <w:rFonts w:ascii="Times New Roman" w:eastAsia="Times New Roman" w:hAnsi="Times New Roman" w:cs="Times New Roman"/>
                <w:szCs w:val="20"/>
                <w:lang w:eastAsia="cs-CZ"/>
              </w:rPr>
              <w:t>zvažovány formy financování 01 „Nevratn</w:t>
            </w:r>
            <w:r w:rsidR="001F6787" w:rsidRPr="00074462">
              <w:rPr>
                <w:rFonts w:ascii="Times New Roman" w:eastAsia="Times New Roman" w:hAnsi="Times New Roman" w:cs="Times New Roman"/>
                <w:szCs w:val="20"/>
                <w:lang w:eastAsia="cs-CZ"/>
              </w:rPr>
              <w:t>ý grant</w:t>
            </w:r>
            <w:r w:rsidRPr="00074462">
              <w:rPr>
                <w:rFonts w:ascii="Times New Roman" w:eastAsia="Times New Roman" w:hAnsi="Times New Roman" w:cs="Times New Roman"/>
                <w:szCs w:val="20"/>
                <w:lang w:eastAsia="cs-CZ"/>
              </w:rPr>
              <w:t>“</w:t>
            </w:r>
            <w:r w:rsidR="00074462" w:rsidRPr="00074462">
              <w:rPr>
                <w:rFonts w:ascii="Times New Roman" w:eastAsia="Times New Roman" w:hAnsi="Times New Roman" w:cs="Times New Roman"/>
                <w:szCs w:val="20"/>
                <w:lang w:eastAsia="cs-CZ"/>
              </w:rPr>
              <w:t>;</w:t>
            </w:r>
            <w:r w:rsidR="001F6787" w:rsidRPr="00074462">
              <w:rPr>
                <w:rFonts w:ascii="Times New Roman" w:eastAsia="Times New Roman" w:hAnsi="Times New Roman" w:cs="Times New Roman"/>
                <w:szCs w:val="20"/>
                <w:lang w:eastAsia="cs-CZ"/>
              </w:rPr>
              <w:t xml:space="preserve"> </w:t>
            </w:r>
            <w:r w:rsidR="00132049" w:rsidRPr="00074462">
              <w:rPr>
                <w:rFonts w:ascii="Times New Roman" w:eastAsia="Times New Roman" w:hAnsi="Times New Roman" w:cs="Times New Roman"/>
                <w:szCs w:val="20"/>
                <w:lang w:eastAsia="cs-CZ"/>
              </w:rPr>
              <w:t>v případě prioritní os</w:t>
            </w:r>
            <w:r w:rsidR="00074462" w:rsidRPr="00074462">
              <w:rPr>
                <w:rFonts w:ascii="Times New Roman" w:eastAsia="Times New Roman" w:hAnsi="Times New Roman" w:cs="Times New Roman"/>
                <w:szCs w:val="20"/>
                <w:lang w:eastAsia="cs-CZ"/>
              </w:rPr>
              <w:t xml:space="preserve">y 2 se dále bude jednat </w:t>
            </w:r>
            <w:r w:rsidR="00132049" w:rsidRPr="00074462">
              <w:rPr>
                <w:rFonts w:ascii="Times New Roman" w:eastAsia="Times New Roman" w:hAnsi="Times New Roman" w:cs="Times New Roman"/>
                <w:szCs w:val="20"/>
                <w:lang w:eastAsia="cs-CZ"/>
              </w:rPr>
              <w:t>i formy financování</w:t>
            </w:r>
            <w:r w:rsidR="00074462" w:rsidRPr="00074462">
              <w:rPr>
                <w:rFonts w:ascii="Times New Roman" w:eastAsia="Times New Roman" w:hAnsi="Times New Roman" w:cs="Times New Roman"/>
                <w:szCs w:val="20"/>
                <w:lang w:eastAsia="cs-CZ"/>
              </w:rPr>
              <w:t xml:space="preserve"> prostřednictvím</w:t>
            </w:r>
            <w:r w:rsidR="00132049" w:rsidRPr="00074462">
              <w:rPr>
                <w:rFonts w:ascii="Times New Roman" w:eastAsia="Times New Roman" w:hAnsi="Times New Roman" w:cs="Times New Roman"/>
                <w:szCs w:val="20"/>
                <w:lang w:eastAsia="cs-CZ"/>
              </w:rPr>
              <w:t xml:space="preserve"> finančních nástrojů</w:t>
            </w:r>
            <w:r w:rsidR="00074462" w:rsidRPr="00074462">
              <w:rPr>
                <w:rFonts w:ascii="Times New Roman" w:eastAsia="Times New Roman" w:hAnsi="Times New Roman" w:cs="Times New Roman"/>
                <w:szCs w:val="20"/>
                <w:lang w:eastAsia="cs-CZ"/>
              </w:rPr>
              <w:t>: (03) „rizikový a kmenový kapitál nebo ekvivalentní“, (04)</w:t>
            </w:r>
            <w:r w:rsidR="00132049" w:rsidRPr="00074462">
              <w:rPr>
                <w:rFonts w:ascii="Times New Roman" w:eastAsia="Times New Roman" w:hAnsi="Times New Roman" w:cs="Times New Roman"/>
                <w:szCs w:val="20"/>
                <w:lang w:eastAsia="cs-CZ"/>
              </w:rPr>
              <w:t xml:space="preserve"> „úvěr nebo ekvivalentní“</w:t>
            </w:r>
            <w:r w:rsidR="00074462" w:rsidRPr="00074462">
              <w:rPr>
                <w:rFonts w:ascii="Times New Roman" w:eastAsia="Times New Roman" w:hAnsi="Times New Roman" w:cs="Times New Roman"/>
                <w:szCs w:val="20"/>
                <w:lang w:eastAsia="cs-CZ"/>
              </w:rPr>
              <w:t xml:space="preserve"> a v případě prioritní osy 3 o formy financování prostřednictvím finančních nástrojů: (04) „úvěr nebo ekvivalentní“ a (06) „subvence úrokových sazeb, poplatků za záruky, technická podpora nebo ekvivalentní“.</w:t>
            </w:r>
          </w:p>
          <w:p w:rsidR="007B5EC8" w:rsidRPr="0005690F" w:rsidRDefault="007B5EC8" w:rsidP="00A1343C">
            <w:pPr>
              <w:rPr>
                <w:rFonts w:ascii="Times New Roman" w:eastAsia="Times New Roman" w:hAnsi="Times New Roman" w:cs="Times New Roman"/>
                <w:szCs w:val="20"/>
                <w:lang w:eastAsia="cs-CZ"/>
              </w:rPr>
            </w:pPr>
          </w:p>
          <w:p w:rsidR="005C18CC" w:rsidRPr="0005690F" w:rsidRDefault="007B5EC8" w:rsidP="005C18C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Hodnotitel obecně doporučuje</w:t>
            </w:r>
            <w:r w:rsidR="005D19CB" w:rsidRPr="0005690F">
              <w:rPr>
                <w:rFonts w:ascii="Times New Roman" w:eastAsia="Times New Roman" w:hAnsi="Times New Roman" w:cs="Times New Roman"/>
                <w:szCs w:val="20"/>
                <w:lang w:eastAsia="cs-CZ"/>
              </w:rPr>
              <w:t xml:space="preserve"> maximální </w:t>
            </w:r>
            <w:r w:rsidRPr="0005690F">
              <w:rPr>
                <w:rFonts w:ascii="Times New Roman" w:eastAsia="Times New Roman" w:hAnsi="Times New Roman" w:cs="Times New Roman"/>
                <w:szCs w:val="20"/>
                <w:lang w:eastAsia="cs-CZ"/>
              </w:rPr>
              <w:t xml:space="preserve"> </w:t>
            </w:r>
            <w:r w:rsidR="005D19CB" w:rsidRPr="0005690F">
              <w:rPr>
                <w:rFonts w:ascii="Times New Roman" w:eastAsia="Times New Roman" w:hAnsi="Times New Roman" w:cs="Times New Roman"/>
                <w:szCs w:val="20"/>
                <w:lang w:eastAsia="cs-CZ"/>
              </w:rPr>
              <w:t>realističnost</w:t>
            </w:r>
            <w:r w:rsidRPr="0005690F">
              <w:rPr>
                <w:rFonts w:ascii="Times New Roman" w:eastAsia="Times New Roman" w:hAnsi="Times New Roman" w:cs="Times New Roman"/>
                <w:szCs w:val="20"/>
                <w:lang w:eastAsia="cs-CZ"/>
              </w:rPr>
              <w:t xml:space="preserve"> v přístupu k finančním nástrojům a rozsahu jejich zapojení do OP PIK. </w:t>
            </w:r>
            <w:r w:rsidR="005C18CC" w:rsidRPr="0005690F">
              <w:rPr>
                <w:rFonts w:ascii="Times New Roman" w:eastAsia="Times New Roman" w:hAnsi="Times New Roman" w:cs="Times New Roman"/>
                <w:szCs w:val="20"/>
                <w:lang w:eastAsia="cs-CZ"/>
              </w:rPr>
              <w:t xml:space="preserve">Domnívá se, že nepřiměřený důraz na využívání FN by mohl vést ke komplikacím jak s čerpáním prostředků ESI fondů, tak </w:t>
            </w:r>
            <w:r w:rsidR="00044940" w:rsidRPr="0005690F">
              <w:rPr>
                <w:rFonts w:ascii="Times New Roman" w:eastAsia="Times New Roman" w:hAnsi="Times New Roman" w:cs="Times New Roman"/>
                <w:szCs w:val="20"/>
                <w:lang w:eastAsia="cs-CZ"/>
              </w:rPr>
              <w:t>potažmo</w:t>
            </w:r>
            <w:r w:rsidR="005C18CC" w:rsidRPr="0005690F">
              <w:rPr>
                <w:rFonts w:ascii="Times New Roman" w:eastAsia="Times New Roman" w:hAnsi="Times New Roman" w:cs="Times New Roman"/>
                <w:szCs w:val="20"/>
                <w:lang w:eastAsia="cs-CZ"/>
              </w:rPr>
              <w:t xml:space="preserve"> s naplňováním cílů </w:t>
            </w:r>
            <w:proofErr w:type="spellStart"/>
            <w:r w:rsidR="005C18CC" w:rsidRPr="0005690F">
              <w:rPr>
                <w:rFonts w:ascii="Times New Roman" w:eastAsia="Times New Roman" w:hAnsi="Times New Roman" w:cs="Times New Roman"/>
                <w:szCs w:val="20"/>
                <w:lang w:eastAsia="cs-CZ"/>
              </w:rPr>
              <w:t>DoP.</w:t>
            </w:r>
            <w:proofErr w:type="spellEnd"/>
          </w:p>
          <w:p w:rsidR="00CD37C9" w:rsidRDefault="005D19CB" w:rsidP="007B5EC8">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D</w:t>
            </w:r>
            <w:r w:rsidR="007B5EC8" w:rsidRPr="0005690F">
              <w:rPr>
                <w:rFonts w:ascii="Times New Roman" w:eastAsia="Times New Roman" w:hAnsi="Times New Roman" w:cs="Times New Roman"/>
                <w:szCs w:val="20"/>
                <w:lang w:eastAsia="cs-CZ"/>
              </w:rPr>
              <w:t xml:space="preserve">osavadní </w:t>
            </w:r>
            <w:r w:rsidRPr="0005690F">
              <w:rPr>
                <w:rFonts w:ascii="Times New Roman" w:eastAsia="Times New Roman" w:hAnsi="Times New Roman" w:cs="Times New Roman"/>
                <w:szCs w:val="20"/>
                <w:lang w:eastAsia="cs-CZ"/>
              </w:rPr>
              <w:t>podkladové materiály</w:t>
            </w:r>
            <w:r w:rsidR="007B5EC8" w:rsidRPr="0005690F">
              <w:rPr>
                <w:rFonts w:ascii="Times New Roman" w:eastAsia="Times New Roman" w:hAnsi="Times New Roman" w:cs="Times New Roman"/>
                <w:szCs w:val="20"/>
                <w:lang w:eastAsia="cs-CZ"/>
              </w:rPr>
              <w:t xml:space="preserve"> </w:t>
            </w:r>
            <w:r w:rsidRPr="0005690F">
              <w:rPr>
                <w:rFonts w:ascii="Times New Roman" w:eastAsia="Times New Roman" w:hAnsi="Times New Roman" w:cs="Times New Roman"/>
                <w:szCs w:val="20"/>
                <w:lang w:eastAsia="cs-CZ"/>
              </w:rPr>
              <w:t xml:space="preserve">k tomuto tématu </w:t>
            </w:r>
            <w:r w:rsidR="007B5EC8" w:rsidRPr="0005690F">
              <w:rPr>
                <w:rFonts w:ascii="Times New Roman" w:eastAsia="Times New Roman" w:hAnsi="Times New Roman" w:cs="Times New Roman"/>
                <w:szCs w:val="20"/>
                <w:lang w:eastAsia="cs-CZ"/>
              </w:rPr>
              <w:t xml:space="preserve">nejsou </w:t>
            </w:r>
            <w:r w:rsidRPr="0005690F">
              <w:rPr>
                <w:rFonts w:ascii="Times New Roman" w:eastAsia="Times New Roman" w:hAnsi="Times New Roman" w:cs="Times New Roman"/>
                <w:szCs w:val="20"/>
                <w:lang w:eastAsia="cs-CZ"/>
              </w:rPr>
              <w:t xml:space="preserve">dle názoru hodnotitele </w:t>
            </w:r>
            <w:r w:rsidR="007B5EC8" w:rsidRPr="0005690F">
              <w:rPr>
                <w:rFonts w:ascii="Times New Roman" w:eastAsia="Times New Roman" w:hAnsi="Times New Roman" w:cs="Times New Roman"/>
                <w:szCs w:val="20"/>
                <w:lang w:eastAsia="cs-CZ"/>
              </w:rPr>
              <w:t>dostatečně podložené a ověřené analýzami reálné absorpční i administrativní kapacity.</w:t>
            </w:r>
          </w:p>
          <w:p w:rsidR="001A0F7E" w:rsidRPr="0005690F" w:rsidRDefault="001A0F7E" w:rsidP="007B5EC8">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 xml:space="preserve">Řídící orgán má dlouholeté zkušenosti s úvěrovými a záručními finančními nástroji na podporu MSP, které jsou realizovány prostřednictvím Českomoravské záruční a rozvojové banky, a.s., ovšem nemá praktické zkušenosti s FN typu rizikový kapitál, </w:t>
            </w:r>
            <w:proofErr w:type="spellStart"/>
            <w:r w:rsidRPr="0005690F">
              <w:rPr>
                <w:rFonts w:ascii="Times New Roman" w:eastAsia="Times New Roman" w:hAnsi="Times New Roman" w:cs="Times New Roman"/>
                <w:szCs w:val="20"/>
                <w:lang w:eastAsia="cs-CZ"/>
              </w:rPr>
              <w:t>equity</w:t>
            </w:r>
            <w:proofErr w:type="spellEnd"/>
            <w:r w:rsidRPr="0005690F">
              <w:rPr>
                <w:rFonts w:ascii="Times New Roman" w:eastAsia="Times New Roman" w:hAnsi="Times New Roman" w:cs="Times New Roman"/>
                <w:szCs w:val="20"/>
                <w:lang w:eastAsia="cs-CZ"/>
              </w:rPr>
              <w:t xml:space="preserve">, příp. kombinace FN s grantem. Finanční nástroj rizikového kapitálu </w:t>
            </w:r>
            <w:proofErr w:type="spellStart"/>
            <w:r w:rsidRPr="0005690F">
              <w:rPr>
                <w:rFonts w:ascii="Times New Roman" w:eastAsia="Times New Roman" w:hAnsi="Times New Roman" w:cs="Times New Roman"/>
                <w:szCs w:val="20"/>
                <w:lang w:eastAsia="cs-CZ"/>
              </w:rPr>
              <w:t>Seed</w:t>
            </w:r>
            <w:proofErr w:type="spellEnd"/>
            <w:r w:rsidRPr="0005690F">
              <w:rPr>
                <w:rFonts w:ascii="Times New Roman" w:eastAsia="Times New Roman" w:hAnsi="Times New Roman" w:cs="Times New Roman"/>
                <w:szCs w:val="20"/>
                <w:lang w:eastAsia="cs-CZ"/>
              </w:rPr>
              <w:t>/</w:t>
            </w:r>
            <w:proofErr w:type="spellStart"/>
            <w:r w:rsidRPr="0005690F">
              <w:rPr>
                <w:rFonts w:ascii="Times New Roman" w:eastAsia="Times New Roman" w:hAnsi="Times New Roman" w:cs="Times New Roman"/>
                <w:szCs w:val="20"/>
                <w:lang w:eastAsia="cs-CZ"/>
              </w:rPr>
              <w:t>Venture</w:t>
            </w:r>
            <w:proofErr w:type="spellEnd"/>
            <w:r w:rsidRPr="0005690F">
              <w:rPr>
                <w:rFonts w:ascii="Times New Roman" w:eastAsia="Times New Roman" w:hAnsi="Times New Roman" w:cs="Times New Roman"/>
                <w:szCs w:val="20"/>
                <w:lang w:eastAsia="cs-CZ"/>
              </w:rPr>
              <w:t xml:space="preserve"> kapitálový fond připravovaný v rámci OPPI 2007-2013 nebyl do</w:t>
            </w:r>
            <w:r w:rsidR="00C03DCD" w:rsidRPr="0005690F">
              <w:rPr>
                <w:rFonts w:ascii="Times New Roman" w:eastAsia="Times New Roman" w:hAnsi="Times New Roman" w:cs="Times New Roman"/>
                <w:szCs w:val="20"/>
                <w:lang w:eastAsia="cs-CZ"/>
              </w:rPr>
              <w:t>sud</w:t>
            </w:r>
            <w:r w:rsidRPr="0005690F">
              <w:rPr>
                <w:rFonts w:ascii="Times New Roman" w:eastAsia="Times New Roman" w:hAnsi="Times New Roman" w:cs="Times New Roman"/>
                <w:szCs w:val="20"/>
                <w:lang w:eastAsia="cs-CZ"/>
              </w:rPr>
              <w:t xml:space="preserve"> spuštěn. </w:t>
            </w:r>
          </w:p>
          <w:p w:rsidR="007B5EC8" w:rsidRPr="0005690F" w:rsidRDefault="007B5EC8" w:rsidP="00A1343C">
            <w:pPr>
              <w:rPr>
                <w:rFonts w:ascii="Times New Roman" w:eastAsia="Times New Roman" w:hAnsi="Times New Roman" w:cs="Times New Roman"/>
                <w:szCs w:val="20"/>
                <w:lang w:eastAsia="cs-CZ"/>
              </w:rPr>
            </w:pPr>
          </w:p>
          <w:p w:rsidR="00952792" w:rsidRPr="0005690F" w:rsidRDefault="00571960" w:rsidP="00A1343C">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Hodnotitel</w:t>
            </w:r>
            <w:r w:rsidR="00132049" w:rsidRPr="0005690F">
              <w:rPr>
                <w:rFonts w:ascii="Times New Roman" w:eastAsia="Times New Roman" w:hAnsi="Times New Roman" w:cs="Times New Roman"/>
                <w:szCs w:val="20"/>
                <w:lang w:eastAsia="cs-CZ"/>
              </w:rPr>
              <w:t xml:space="preserve"> </w:t>
            </w:r>
            <w:r w:rsidRPr="0005690F">
              <w:rPr>
                <w:rFonts w:ascii="Times New Roman" w:eastAsia="Times New Roman" w:hAnsi="Times New Roman" w:cs="Times New Roman"/>
                <w:szCs w:val="20"/>
                <w:lang w:eastAsia="cs-CZ"/>
              </w:rPr>
              <w:t xml:space="preserve">předpokládá, že </w:t>
            </w:r>
            <w:r w:rsidR="005D19CB" w:rsidRPr="0005690F">
              <w:rPr>
                <w:rFonts w:ascii="Times New Roman" w:eastAsia="Times New Roman" w:hAnsi="Times New Roman" w:cs="Times New Roman"/>
                <w:szCs w:val="20"/>
                <w:lang w:eastAsia="cs-CZ"/>
              </w:rPr>
              <w:t>formy podpory</w:t>
            </w:r>
            <w:r w:rsidR="00132049" w:rsidRPr="0005690F">
              <w:rPr>
                <w:rFonts w:ascii="Times New Roman" w:eastAsia="Times New Roman" w:hAnsi="Times New Roman" w:cs="Times New Roman"/>
                <w:szCs w:val="20"/>
                <w:lang w:eastAsia="cs-CZ"/>
              </w:rPr>
              <w:t xml:space="preserve"> bud</w:t>
            </w:r>
            <w:r w:rsidR="005D19CB" w:rsidRPr="0005690F">
              <w:rPr>
                <w:rFonts w:ascii="Times New Roman" w:eastAsia="Times New Roman" w:hAnsi="Times New Roman" w:cs="Times New Roman"/>
                <w:szCs w:val="20"/>
                <w:lang w:eastAsia="cs-CZ"/>
              </w:rPr>
              <w:t>ou</w:t>
            </w:r>
            <w:r w:rsidR="00132049" w:rsidRPr="0005690F">
              <w:rPr>
                <w:rFonts w:ascii="Times New Roman" w:eastAsia="Times New Roman" w:hAnsi="Times New Roman" w:cs="Times New Roman"/>
                <w:szCs w:val="20"/>
                <w:lang w:eastAsia="cs-CZ"/>
              </w:rPr>
              <w:t xml:space="preserve"> </w:t>
            </w:r>
            <w:r w:rsidRPr="0005690F">
              <w:rPr>
                <w:rFonts w:ascii="Times New Roman" w:eastAsia="Times New Roman" w:hAnsi="Times New Roman" w:cs="Times New Roman"/>
                <w:szCs w:val="20"/>
                <w:lang w:eastAsia="cs-CZ"/>
              </w:rPr>
              <w:t>v</w:t>
            </w:r>
            <w:r w:rsidR="00132049" w:rsidRPr="0005690F">
              <w:rPr>
                <w:rFonts w:ascii="Times New Roman" w:eastAsia="Times New Roman" w:hAnsi="Times New Roman" w:cs="Times New Roman"/>
                <w:szCs w:val="20"/>
                <w:lang w:eastAsia="cs-CZ"/>
              </w:rPr>
              <w:t xml:space="preserve"> operačním </w:t>
            </w:r>
            <w:r w:rsidRPr="0005690F">
              <w:rPr>
                <w:rFonts w:ascii="Times New Roman" w:eastAsia="Times New Roman" w:hAnsi="Times New Roman" w:cs="Times New Roman"/>
                <w:szCs w:val="20"/>
                <w:lang w:eastAsia="cs-CZ"/>
              </w:rPr>
              <w:t>programu</w:t>
            </w:r>
            <w:r w:rsidR="006C0E74" w:rsidRPr="0005690F">
              <w:rPr>
                <w:rFonts w:ascii="Times New Roman" w:eastAsia="Times New Roman" w:hAnsi="Times New Roman" w:cs="Times New Roman"/>
                <w:szCs w:val="20"/>
                <w:lang w:eastAsia="cs-CZ"/>
              </w:rPr>
              <w:t xml:space="preserve"> dále upřesňován</w:t>
            </w:r>
            <w:r w:rsidR="005D19CB" w:rsidRPr="0005690F">
              <w:rPr>
                <w:rFonts w:ascii="Times New Roman" w:eastAsia="Times New Roman" w:hAnsi="Times New Roman" w:cs="Times New Roman"/>
                <w:szCs w:val="20"/>
                <w:lang w:eastAsia="cs-CZ"/>
              </w:rPr>
              <w:t>y</w:t>
            </w:r>
            <w:r w:rsidR="006A29C5" w:rsidRPr="0005690F">
              <w:rPr>
                <w:rFonts w:ascii="Times New Roman" w:eastAsia="Times New Roman" w:hAnsi="Times New Roman" w:cs="Times New Roman"/>
                <w:szCs w:val="20"/>
                <w:lang w:eastAsia="cs-CZ"/>
              </w:rPr>
              <w:t>, a to zejména</w:t>
            </w:r>
            <w:r w:rsidR="006C0E74" w:rsidRPr="0005690F">
              <w:rPr>
                <w:rFonts w:ascii="Times New Roman" w:eastAsia="Times New Roman" w:hAnsi="Times New Roman" w:cs="Times New Roman"/>
                <w:szCs w:val="20"/>
                <w:lang w:eastAsia="cs-CZ"/>
              </w:rPr>
              <w:t xml:space="preserve"> v návaznosti na výsledky </w:t>
            </w:r>
            <w:r w:rsidR="001A212F" w:rsidRPr="0005690F">
              <w:rPr>
                <w:rFonts w:ascii="Times New Roman" w:eastAsia="Times New Roman" w:hAnsi="Times New Roman" w:cs="Times New Roman"/>
                <w:szCs w:val="20"/>
                <w:lang w:eastAsia="cs-CZ"/>
              </w:rPr>
              <w:t>předběžného hodnocení</w:t>
            </w:r>
            <w:r w:rsidR="00E605A9" w:rsidRPr="0005690F">
              <w:rPr>
                <w:rFonts w:ascii="Times New Roman" w:eastAsia="Times New Roman" w:hAnsi="Times New Roman" w:cs="Times New Roman"/>
                <w:szCs w:val="20"/>
                <w:lang w:eastAsia="cs-CZ"/>
              </w:rPr>
              <w:t xml:space="preserve"> finančních nástrojů, na kter</w:t>
            </w:r>
            <w:r w:rsidR="001A212F" w:rsidRPr="0005690F">
              <w:rPr>
                <w:rFonts w:ascii="Times New Roman" w:eastAsia="Times New Roman" w:hAnsi="Times New Roman" w:cs="Times New Roman"/>
                <w:szCs w:val="20"/>
                <w:lang w:eastAsia="cs-CZ"/>
              </w:rPr>
              <w:t>é</w:t>
            </w:r>
            <w:r w:rsidR="00E605A9" w:rsidRPr="0005690F">
              <w:rPr>
                <w:rFonts w:ascii="Times New Roman" w:eastAsia="Times New Roman" w:hAnsi="Times New Roman" w:cs="Times New Roman"/>
                <w:szCs w:val="20"/>
                <w:lang w:eastAsia="cs-CZ"/>
              </w:rPr>
              <w:t xml:space="preserve"> se zpracovatel v textu programu odvolává.</w:t>
            </w:r>
            <w:r w:rsidRPr="0005690F">
              <w:rPr>
                <w:rFonts w:ascii="Times New Roman" w:eastAsia="Times New Roman" w:hAnsi="Times New Roman" w:cs="Times New Roman"/>
                <w:szCs w:val="20"/>
                <w:lang w:eastAsia="cs-CZ"/>
              </w:rPr>
              <w:t xml:space="preserve"> </w:t>
            </w:r>
          </w:p>
          <w:p w:rsidR="003002D1" w:rsidRPr="0005690F" w:rsidRDefault="00952792" w:rsidP="00044940">
            <w:pPr>
              <w:rPr>
                <w:rFonts w:ascii="Times New Roman" w:eastAsia="Times New Roman" w:hAnsi="Times New Roman" w:cs="Times New Roman"/>
                <w:szCs w:val="20"/>
                <w:lang w:eastAsia="cs-CZ"/>
              </w:rPr>
            </w:pPr>
            <w:r w:rsidRPr="0005690F">
              <w:rPr>
                <w:rFonts w:ascii="Times New Roman" w:eastAsia="Times New Roman" w:hAnsi="Times New Roman" w:cs="Times New Roman"/>
                <w:szCs w:val="20"/>
                <w:lang w:eastAsia="cs-CZ"/>
              </w:rPr>
              <w:t xml:space="preserve">Zároveň </w:t>
            </w:r>
            <w:r w:rsidR="007A62AF" w:rsidRPr="0005690F">
              <w:rPr>
                <w:rFonts w:ascii="Times New Roman" w:eastAsia="Times New Roman" w:hAnsi="Times New Roman" w:cs="Times New Roman"/>
                <w:szCs w:val="20"/>
                <w:lang w:eastAsia="cs-CZ"/>
              </w:rPr>
              <w:t>zůstává</w:t>
            </w:r>
            <w:r w:rsidR="00C03DCD" w:rsidRPr="0005690F">
              <w:rPr>
                <w:rFonts w:ascii="Times New Roman" w:eastAsia="Times New Roman" w:hAnsi="Times New Roman" w:cs="Times New Roman"/>
                <w:szCs w:val="20"/>
                <w:lang w:eastAsia="cs-CZ"/>
              </w:rPr>
              <w:t xml:space="preserve"> </w:t>
            </w:r>
            <w:r w:rsidR="007A62AF" w:rsidRPr="0005690F">
              <w:rPr>
                <w:rFonts w:ascii="Times New Roman" w:eastAsia="Times New Roman" w:hAnsi="Times New Roman" w:cs="Times New Roman"/>
                <w:szCs w:val="20"/>
                <w:lang w:eastAsia="cs-CZ"/>
              </w:rPr>
              <w:t>v platnosti předchozí doporučení</w:t>
            </w:r>
            <w:r w:rsidR="00695F62" w:rsidRPr="0005690F">
              <w:rPr>
                <w:rFonts w:ascii="Times New Roman" w:eastAsia="Times New Roman" w:hAnsi="Times New Roman" w:cs="Times New Roman"/>
                <w:szCs w:val="20"/>
                <w:lang w:eastAsia="cs-CZ"/>
              </w:rPr>
              <w:t xml:space="preserve"> hodnotitele</w:t>
            </w:r>
            <w:r w:rsidR="007A62AF" w:rsidRPr="0005690F">
              <w:rPr>
                <w:rFonts w:ascii="Times New Roman" w:eastAsia="Times New Roman" w:hAnsi="Times New Roman" w:cs="Times New Roman"/>
                <w:szCs w:val="20"/>
                <w:lang w:eastAsia="cs-CZ"/>
              </w:rPr>
              <w:t xml:space="preserve"> do</w:t>
            </w:r>
            <w:r w:rsidRPr="0005690F">
              <w:rPr>
                <w:rFonts w:ascii="Times New Roman" w:eastAsia="Times New Roman" w:hAnsi="Times New Roman" w:cs="Times New Roman"/>
                <w:szCs w:val="20"/>
                <w:lang w:eastAsia="cs-CZ"/>
              </w:rPr>
              <w:t xml:space="preserve">plnit </w:t>
            </w:r>
            <w:r w:rsidR="005D19CB" w:rsidRPr="0005690F">
              <w:rPr>
                <w:rFonts w:ascii="Times New Roman" w:eastAsia="Times New Roman" w:hAnsi="Times New Roman" w:cs="Times New Roman"/>
                <w:szCs w:val="20"/>
                <w:lang w:eastAsia="cs-CZ"/>
              </w:rPr>
              <w:t>analýzu/</w:t>
            </w:r>
            <w:r w:rsidRPr="0005690F">
              <w:rPr>
                <w:rFonts w:ascii="Times New Roman" w:eastAsia="Times New Roman" w:hAnsi="Times New Roman" w:cs="Times New Roman"/>
                <w:szCs w:val="20"/>
                <w:lang w:eastAsia="cs-CZ"/>
              </w:rPr>
              <w:t xml:space="preserve">vyhodnocení dosavadních zkušeností </w:t>
            </w:r>
            <w:r w:rsidR="00D22053" w:rsidRPr="0005690F">
              <w:rPr>
                <w:rFonts w:ascii="Times New Roman" w:eastAsia="Times New Roman" w:hAnsi="Times New Roman" w:cs="Times New Roman"/>
                <w:szCs w:val="20"/>
                <w:lang w:eastAsia="cs-CZ"/>
              </w:rPr>
              <w:t>z</w:t>
            </w:r>
            <w:r w:rsidR="005D19CB" w:rsidRPr="0005690F">
              <w:rPr>
                <w:rFonts w:ascii="Times New Roman" w:eastAsia="Times New Roman" w:hAnsi="Times New Roman" w:cs="Times New Roman"/>
                <w:szCs w:val="20"/>
                <w:lang w:eastAsia="cs-CZ"/>
              </w:rPr>
              <w:t> </w:t>
            </w:r>
            <w:r w:rsidR="00D22053" w:rsidRPr="0005690F">
              <w:rPr>
                <w:rFonts w:ascii="Times New Roman" w:eastAsia="Times New Roman" w:hAnsi="Times New Roman" w:cs="Times New Roman"/>
                <w:szCs w:val="20"/>
                <w:lang w:eastAsia="cs-CZ"/>
              </w:rPr>
              <w:t>OPPI</w:t>
            </w:r>
            <w:r w:rsidR="005D19CB" w:rsidRPr="0005690F">
              <w:rPr>
                <w:rFonts w:ascii="Times New Roman" w:eastAsia="Times New Roman" w:hAnsi="Times New Roman" w:cs="Times New Roman"/>
                <w:szCs w:val="20"/>
                <w:lang w:eastAsia="cs-CZ"/>
              </w:rPr>
              <w:t xml:space="preserve"> </w:t>
            </w:r>
            <w:r w:rsidR="00571960" w:rsidRPr="0005690F">
              <w:rPr>
                <w:rFonts w:ascii="Times New Roman" w:eastAsia="Times New Roman" w:hAnsi="Times New Roman" w:cs="Times New Roman"/>
                <w:szCs w:val="20"/>
                <w:lang w:eastAsia="cs-CZ"/>
              </w:rPr>
              <w:t xml:space="preserve">s využíváním </w:t>
            </w:r>
            <w:r w:rsidR="00D22053" w:rsidRPr="0005690F">
              <w:rPr>
                <w:rFonts w:ascii="Times New Roman" w:eastAsia="Times New Roman" w:hAnsi="Times New Roman" w:cs="Times New Roman"/>
                <w:szCs w:val="20"/>
                <w:lang w:eastAsia="cs-CZ"/>
              </w:rPr>
              <w:t>finančních nástrojů.</w:t>
            </w:r>
            <w:r w:rsidRPr="0005690F">
              <w:rPr>
                <w:rFonts w:ascii="Times New Roman" w:eastAsia="Times New Roman" w:hAnsi="Times New Roman" w:cs="Times New Roman"/>
                <w:szCs w:val="20"/>
                <w:lang w:eastAsia="cs-CZ"/>
              </w:rPr>
              <w:t xml:space="preserve"> </w:t>
            </w:r>
          </w:p>
        </w:tc>
      </w:tr>
    </w:tbl>
    <w:p w:rsidR="00EE784B" w:rsidRDefault="00EE784B" w:rsidP="00E605A9">
      <w:pPr>
        <w:spacing w:after="120"/>
        <w:rPr>
          <w:rFonts w:cs="Tahoma"/>
          <w:szCs w:val="20"/>
        </w:rPr>
      </w:pPr>
    </w:p>
    <w:p w:rsidR="00F21883" w:rsidRDefault="00F21883" w:rsidP="00E605A9">
      <w:pPr>
        <w:spacing w:after="120"/>
        <w:rPr>
          <w:rFonts w:cs="Tahoma"/>
          <w:szCs w:val="20"/>
        </w:rPr>
      </w:pPr>
    </w:p>
    <w:p w:rsidR="00E605A9" w:rsidRDefault="00E605A9" w:rsidP="00E605A9">
      <w:pPr>
        <w:spacing w:after="120"/>
        <w:rPr>
          <w:rFonts w:cs="Tahoma"/>
          <w:szCs w:val="20"/>
        </w:rPr>
      </w:pPr>
      <w:r w:rsidRPr="00133FE0">
        <w:rPr>
          <w:rFonts w:cs="Tahoma"/>
          <w:szCs w:val="20"/>
        </w:rPr>
        <w:lastRenderedPageBreak/>
        <w:t>Další komentáře a doporučení:</w:t>
      </w:r>
    </w:p>
    <w:p w:rsidR="009659B1" w:rsidRPr="00AD6F30" w:rsidRDefault="009659B1" w:rsidP="00C6279B">
      <w:pPr>
        <w:pStyle w:val="Odstavecseseznamem"/>
        <w:numPr>
          <w:ilvl w:val="0"/>
          <w:numId w:val="8"/>
        </w:numPr>
        <w:spacing w:after="120"/>
        <w:jc w:val="both"/>
        <w:rPr>
          <w:rFonts w:ascii="Tahoma" w:hAnsi="Tahoma" w:cs="Tahoma"/>
          <w:b/>
          <w:sz w:val="20"/>
          <w:szCs w:val="20"/>
        </w:rPr>
      </w:pPr>
      <w:r w:rsidRPr="00AD6F30">
        <w:rPr>
          <w:rFonts w:ascii="Tahoma" w:hAnsi="Tahoma" w:cs="Tahoma"/>
          <w:b/>
          <w:sz w:val="20"/>
          <w:szCs w:val="20"/>
        </w:rPr>
        <w:t>k Prioritní ose 1</w:t>
      </w:r>
      <w:r w:rsidR="002A025C" w:rsidRPr="00AD6F30">
        <w:rPr>
          <w:rFonts w:ascii="Tahoma" w:hAnsi="Tahoma" w:cs="Tahoma"/>
          <w:b/>
          <w:sz w:val="20"/>
          <w:szCs w:val="20"/>
        </w:rPr>
        <w:t xml:space="preserve"> „Rozvo</w:t>
      </w:r>
      <w:r w:rsidRPr="00AD6F30">
        <w:rPr>
          <w:rFonts w:ascii="Tahoma" w:hAnsi="Tahoma" w:cs="Tahoma"/>
          <w:b/>
          <w:sz w:val="20"/>
          <w:szCs w:val="20"/>
        </w:rPr>
        <w:t>j výzkumu a vývoje pro inovace“:</w:t>
      </w:r>
    </w:p>
    <w:tbl>
      <w:tblPr>
        <w:tblStyle w:val="Mkatabulky"/>
        <w:tblW w:w="9322" w:type="dxa"/>
        <w:tblLook w:val="04A0"/>
      </w:tblPr>
      <w:tblGrid>
        <w:gridCol w:w="534"/>
        <w:gridCol w:w="8788"/>
      </w:tblGrid>
      <w:tr w:rsidR="00301F6A" w:rsidRPr="006B7179" w:rsidTr="00301F6A">
        <w:tc>
          <w:tcPr>
            <w:tcW w:w="534" w:type="dxa"/>
          </w:tcPr>
          <w:p w:rsidR="00301F6A" w:rsidRPr="006B7179" w:rsidRDefault="00407A43" w:rsidP="00E53832">
            <w:pPr>
              <w:tabs>
                <w:tab w:val="num" w:pos="720"/>
              </w:tabs>
              <w:spacing w:after="120"/>
              <w:jc w:val="center"/>
            </w:pPr>
            <w:r>
              <w:t>1</w:t>
            </w:r>
          </w:p>
        </w:tc>
        <w:tc>
          <w:tcPr>
            <w:tcW w:w="8788" w:type="dxa"/>
          </w:tcPr>
          <w:p w:rsidR="00301F6A" w:rsidRPr="00AD6F30" w:rsidRDefault="00301F6A" w:rsidP="009659B1">
            <w:pPr>
              <w:tabs>
                <w:tab w:val="num" w:pos="720"/>
              </w:tabs>
              <w:spacing w:after="120"/>
              <w:rPr>
                <w:b/>
                <w:i/>
              </w:rPr>
            </w:pPr>
            <w:r w:rsidRPr="00AD6F30">
              <w:rPr>
                <w:b/>
                <w:i/>
              </w:rPr>
              <w:t>Specifický cíl 1.1 „Zvýšit inovační výkonnost podniků“</w:t>
            </w:r>
          </w:p>
          <w:p w:rsidR="004908C2" w:rsidRPr="006B7179" w:rsidRDefault="00301F6A" w:rsidP="003F26D7">
            <w:pPr>
              <w:spacing w:after="120"/>
            </w:pPr>
            <w:r w:rsidRPr="006B7179">
              <w:t>V</w:t>
            </w:r>
            <w:r w:rsidR="003F26D7" w:rsidRPr="006B7179">
              <w:t> textu popisu specifického cíle</w:t>
            </w:r>
            <w:r w:rsidR="00712F62">
              <w:t xml:space="preserve"> (str. 44)</w:t>
            </w:r>
            <w:r w:rsidR="003F26D7" w:rsidRPr="006B7179">
              <w:t xml:space="preserve"> je </w:t>
            </w:r>
            <w:r w:rsidR="009917EE" w:rsidRPr="006B7179">
              <w:t>vyjmenováno</w:t>
            </w:r>
            <w:r w:rsidR="003F26D7" w:rsidRPr="006B7179">
              <w:t xml:space="preserve"> celkem </w:t>
            </w:r>
            <w:r w:rsidR="009917EE" w:rsidRPr="006B7179">
              <w:t>osm</w:t>
            </w:r>
            <w:r w:rsidR="00EC4CD0" w:rsidRPr="006B7179">
              <w:t xml:space="preserve"> široce</w:t>
            </w:r>
            <w:r w:rsidR="009917EE" w:rsidRPr="006B7179">
              <w:t xml:space="preserve"> formulovaných </w:t>
            </w:r>
            <w:r w:rsidR="003F26D7" w:rsidRPr="006B7179">
              <w:t xml:space="preserve">výsledků, jichž chce </w:t>
            </w:r>
            <w:r w:rsidR="00CD37C9">
              <w:t xml:space="preserve">ČR s podporou Unie </w:t>
            </w:r>
            <w:r w:rsidR="003F26D7" w:rsidRPr="006B7179">
              <w:t xml:space="preserve">dosáhnout. To je </w:t>
            </w:r>
            <w:r w:rsidR="004908C2" w:rsidRPr="006B7179">
              <w:t xml:space="preserve">dle názoru hodnotitele </w:t>
            </w:r>
            <w:r w:rsidR="00CD37C9">
              <w:t xml:space="preserve">poněkud </w:t>
            </w:r>
            <w:r w:rsidR="003F26D7" w:rsidRPr="006B7179">
              <w:t>v rozporu s principem tematické koncentrace</w:t>
            </w:r>
            <w:r w:rsidR="00695F62">
              <w:t xml:space="preserve">, který </w:t>
            </w:r>
            <w:r w:rsidR="003F26D7" w:rsidRPr="006B7179">
              <w:t>spočív</w:t>
            </w:r>
            <w:r w:rsidR="00695F62">
              <w:t>á</w:t>
            </w:r>
            <w:r w:rsidR="003F26D7" w:rsidRPr="006B7179">
              <w:t xml:space="preserve"> v</w:t>
            </w:r>
            <w:r w:rsidR="00695F62">
              <w:t> </w:t>
            </w:r>
            <w:r w:rsidR="003F26D7" w:rsidRPr="006B7179">
              <w:t>zaměření</w:t>
            </w:r>
            <w:r w:rsidR="00695F62">
              <w:t xml:space="preserve"> se</w:t>
            </w:r>
            <w:r w:rsidR="003F26D7" w:rsidRPr="006B7179">
              <w:t xml:space="preserve"> na </w:t>
            </w:r>
            <w:r w:rsidR="00695F62">
              <w:t>ty</w:t>
            </w:r>
            <w:r w:rsidR="003F26D7" w:rsidRPr="006B7179">
              <w:t xml:space="preserve"> příčiny problémů </w:t>
            </w:r>
            <w:r w:rsidR="004908C2" w:rsidRPr="006B7179">
              <w:t xml:space="preserve">a </w:t>
            </w:r>
            <w:r w:rsidR="00695F62">
              <w:t xml:space="preserve">jejich změnu (odstranění), jež program </w:t>
            </w:r>
            <w:r w:rsidR="004F4C77">
              <w:t xml:space="preserve">chce a </w:t>
            </w:r>
            <w:r w:rsidR="00695F62">
              <w:t xml:space="preserve">může </w:t>
            </w:r>
            <w:r w:rsidR="003F1777">
              <w:t xml:space="preserve">svými intervencemi </w:t>
            </w:r>
            <w:r w:rsidR="00695F62">
              <w:t>prokazatelně ovlivnit</w:t>
            </w:r>
            <w:r w:rsidR="004908C2" w:rsidRPr="006B7179">
              <w:t xml:space="preserve">. Hodnotitel </w:t>
            </w:r>
            <w:r w:rsidR="00695F62">
              <w:t xml:space="preserve">proto </w:t>
            </w:r>
            <w:r w:rsidR="009917EE" w:rsidRPr="006B7179">
              <w:t xml:space="preserve">doporučuje </w:t>
            </w:r>
            <w:r w:rsidR="003F1777">
              <w:t>provést revizi</w:t>
            </w:r>
            <w:r w:rsidR="009917EE" w:rsidRPr="006B7179">
              <w:t xml:space="preserve"> očekávaných výsledků SC</w:t>
            </w:r>
            <w:r w:rsidR="001A212F">
              <w:t xml:space="preserve"> ve smyslu jejich zpřesnění a „zreálnění“ </w:t>
            </w:r>
            <w:r w:rsidR="004F4C77">
              <w:t xml:space="preserve">s ohledem na </w:t>
            </w:r>
            <w:r w:rsidR="001A212F">
              <w:t>časový horizont programovacího období.</w:t>
            </w:r>
            <w:r w:rsidR="004F4C77">
              <w:t xml:space="preserve"> Z</w:t>
            </w:r>
            <w:r w:rsidR="009917EE" w:rsidRPr="006B7179">
              <w:t xml:space="preserve">ároveň </w:t>
            </w:r>
            <w:r w:rsidR="004908C2" w:rsidRPr="006B7179">
              <w:t xml:space="preserve">se domnívá, že </w:t>
            </w:r>
            <w:r w:rsidR="001F08E3">
              <w:t>by bylo vhodné</w:t>
            </w:r>
            <w:r w:rsidR="004908C2" w:rsidRPr="006B7179">
              <w:t xml:space="preserve"> vyjádř</w:t>
            </w:r>
            <w:r w:rsidR="004F4C77">
              <w:t>it</w:t>
            </w:r>
            <w:r w:rsidR="009917EE" w:rsidRPr="006B7179">
              <w:t>/znázorn</w:t>
            </w:r>
            <w:r w:rsidR="004F4C77">
              <w:t>it</w:t>
            </w:r>
            <w:r w:rsidR="003F1777">
              <w:t xml:space="preserve"> </w:t>
            </w:r>
            <w:r w:rsidR="004F4C77">
              <w:t>vaz</w:t>
            </w:r>
            <w:r w:rsidR="004908C2" w:rsidRPr="006B7179">
              <w:t>b</w:t>
            </w:r>
            <w:r w:rsidR="004F4C77">
              <w:t>y</w:t>
            </w:r>
            <w:r w:rsidR="004908C2" w:rsidRPr="006B7179">
              <w:t xml:space="preserve"> </w:t>
            </w:r>
            <w:r w:rsidR="001A212F">
              <w:t xml:space="preserve">výsledků SC </w:t>
            </w:r>
            <w:r w:rsidR="004908C2" w:rsidRPr="006B7179">
              <w:t xml:space="preserve">na </w:t>
            </w:r>
            <w:r w:rsidR="003F1777">
              <w:t>hlavní výsledky</w:t>
            </w:r>
            <w:r w:rsidR="004908C2" w:rsidRPr="006B7179">
              <w:t xml:space="preserve"> </w:t>
            </w:r>
            <w:proofErr w:type="spellStart"/>
            <w:r w:rsidR="004908C2" w:rsidRPr="006B7179">
              <w:t>DoP.</w:t>
            </w:r>
            <w:proofErr w:type="spellEnd"/>
          </w:p>
          <w:p w:rsidR="00301F6A" w:rsidRPr="006B7179" w:rsidRDefault="00301F6A" w:rsidP="00CD37C9">
            <w:pPr>
              <w:spacing w:after="120"/>
            </w:pPr>
            <w:r w:rsidRPr="006B7179">
              <w:t>Stejně tak hodnotitel postrádá popis dalších</w:t>
            </w:r>
            <w:r w:rsidR="001F08E3">
              <w:t xml:space="preserve"> faktorů a</w:t>
            </w:r>
            <w:r w:rsidRPr="006B7179">
              <w:t xml:space="preserve"> opatření</w:t>
            </w:r>
            <w:r w:rsidR="00712F62">
              <w:t xml:space="preserve"> mimo operační program</w:t>
            </w:r>
            <w:r w:rsidRPr="006B7179">
              <w:t xml:space="preserve">, která musí být realizována, aby bylo dosaženo </w:t>
            </w:r>
            <w:r w:rsidR="00712F62">
              <w:t>očekávané změny</w:t>
            </w:r>
            <w:r w:rsidR="001F08E3">
              <w:t>=</w:t>
            </w:r>
            <w:r w:rsidR="00712F62">
              <w:t>specifického cíle</w:t>
            </w:r>
            <w:r w:rsidRPr="006B7179">
              <w:t xml:space="preserve">. </w:t>
            </w:r>
          </w:p>
        </w:tc>
      </w:tr>
      <w:tr w:rsidR="00301F6A" w:rsidTr="00301F6A">
        <w:tc>
          <w:tcPr>
            <w:tcW w:w="534" w:type="dxa"/>
          </w:tcPr>
          <w:p w:rsidR="00301F6A" w:rsidRPr="006B7179" w:rsidRDefault="00407A43" w:rsidP="00301F6A">
            <w:pPr>
              <w:spacing w:after="120"/>
              <w:jc w:val="center"/>
            </w:pPr>
            <w:r>
              <w:t>2</w:t>
            </w:r>
          </w:p>
        </w:tc>
        <w:tc>
          <w:tcPr>
            <w:tcW w:w="8788" w:type="dxa"/>
          </w:tcPr>
          <w:p w:rsidR="00301F6A" w:rsidRPr="00AD6F30" w:rsidRDefault="00301F6A" w:rsidP="009659B1">
            <w:pPr>
              <w:spacing w:after="120"/>
              <w:rPr>
                <w:b/>
                <w:i/>
              </w:rPr>
            </w:pPr>
            <w:r w:rsidRPr="00AD6F30">
              <w:rPr>
                <w:b/>
                <w:i/>
              </w:rPr>
              <w:t>Specifický cíl 1.2 „Zvýšit intenzitu a účinnost spolupráce ve výzkumu, vývoji a inovacích“</w:t>
            </w:r>
          </w:p>
          <w:p w:rsidR="00CD37C9" w:rsidRDefault="008955B1" w:rsidP="009659B1">
            <w:pPr>
              <w:spacing w:after="120"/>
            </w:pPr>
            <w:r w:rsidRPr="006B7179">
              <w:t>Zjištění a doporučení hodnotitele u tohoto specifického cíle jsou do značné míry obdobná jako v případě</w:t>
            </w:r>
            <w:r w:rsidR="003F1777">
              <w:t xml:space="preserve"> </w:t>
            </w:r>
            <w:r w:rsidR="00CD37C9">
              <w:t>SC</w:t>
            </w:r>
            <w:r w:rsidR="003F1777">
              <w:t xml:space="preserve"> 1.1. I zde jsou </w:t>
            </w:r>
            <w:r w:rsidRPr="006B7179">
              <w:t>pop</w:t>
            </w:r>
            <w:r w:rsidR="003F1777">
              <w:t xml:space="preserve">isovány </w:t>
            </w:r>
            <w:r w:rsidR="00712F62">
              <w:t xml:space="preserve">(str. 45-46) </w:t>
            </w:r>
            <w:r w:rsidRPr="006B7179">
              <w:t>spíše obecn</w:t>
            </w:r>
            <w:r w:rsidR="003F1777">
              <w:t>é</w:t>
            </w:r>
            <w:r w:rsidRPr="006B7179">
              <w:t>, široce pojat</w:t>
            </w:r>
            <w:r w:rsidR="003F1777">
              <w:t>é</w:t>
            </w:r>
            <w:r w:rsidRPr="006B7179">
              <w:t xml:space="preserve"> </w:t>
            </w:r>
            <w:r w:rsidR="003F1777">
              <w:t>socioekonomické cíle</w:t>
            </w:r>
            <w:r w:rsidR="00801A43">
              <w:t xml:space="preserve"> (</w:t>
            </w:r>
            <w:r w:rsidR="001A212F">
              <w:t>vize</w:t>
            </w:r>
            <w:r w:rsidR="00801A43">
              <w:t>)</w:t>
            </w:r>
            <w:r w:rsidR="003F1777">
              <w:t xml:space="preserve"> než reálné výsledky, kter</w:t>
            </w:r>
            <w:r w:rsidR="004F4C77">
              <w:t>ých</w:t>
            </w:r>
            <w:r w:rsidR="003F1777">
              <w:t xml:space="preserve"> může SC dosáh</w:t>
            </w:r>
            <w:r w:rsidR="00E579ED">
              <w:t>nout</w:t>
            </w:r>
            <w:r w:rsidR="00CD37C9">
              <w:t>.</w:t>
            </w:r>
          </w:p>
          <w:p w:rsidR="00301F6A" w:rsidRPr="006B7179" w:rsidRDefault="00493981" w:rsidP="009659B1">
            <w:pPr>
              <w:spacing w:after="120"/>
            </w:pPr>
            <w:r>
              <w:t xml:space="preserve">Je </w:t>
            </w:r>
            <w:r w:rsidR="00CD37C9">
              <w:t>zapotřebí identifikovat další faktory</w:t>
            </w:r>
            <w:r w:rsidR="00412D28">
              <w:t xml:space="preserve"> mimo OP PIK</w:t>
            </w:r>
            <w:r w:rsidR="00CD37C9">
              <w:t xml:space="preserve"> nezbytné pro </w:t>
            </w:r>
            <w:r w:rsidR="00301F6A" w:rsidRPr="006B7179">
              <w:t>dosažen</w:t>
            </w:r>
            <w:r w:rsidR="00CD37C9">
              <w:t>í</w:t>
            </w:r>
            <w:r w:rsidR="00301F6A" w:rsidRPr="006B7179">
              <w:t xml:space="preserve"> cíle. </w:t>
            </w:r>
          </w:p>
          <w:p w:rsidR="00301F6A" w:rsidRDefault="004F4C77" w:rsidP="0040502C">
            <w:pPr>
              <w:spacing w:after="120"/>
            </w:pPr>
            <w:r>
              <w:t xml:space="preserve">Spektrum </w:t>
            </w:r>
            <w:r w:rsidR="00301F6A" w:rsidRPr="006B7179">
              <w:t>p</w:t>
            </w:r>
            <w:r w:rsidR="00EA0202" w:rsidRPr="006B7179">
              <w:t>odporovaných aktivit je</w:t>
            </w:r>
            <w:r>
              <w:t xml:space="preserve"> dle názoru hodnotitele</w:t>
            </w:r>
            <w:r w:rsidR="00EA0202" w:rsidRPr="006B7179">
              <w:t xml:space="preserve"> širok</w:t>
            </w:r>
            <w:r w:rsidR="00801A43">
              <w:t>é</w:t>
            </w:r>
            <w:r w:rsidR="001A212F">
              <w:t>,</w:t>
            </w:r>
            <w:r>
              <w:t xml:space="preserve"> </w:t>
            </w:r>
            <w:r w:rsidR="00712F62">
              <w:t>a</w:t>
            </w:r>
            <w:r w:rsidR="00EA0202" w:rsidRPr="006B7179">
              <w:t xml:space="preserve"> </w:t>
            </w:r>
            <w:r>
              <w:t>bylo by</w:t>
            </w:r>
            <w:r w:rsidR="001A212F">
              <w:t xml:space="preserve"> proto</w:t>
            </w:r>
            <w:r>
              <w:t xml:space="preserve"> vhodné</w:t>
            </w:r>
            <w:r w:rsidR="00E579ED">
              <w:t xml:space="preserve"> zvážit</w:t>
            </w:r>
            <w:r>
              <w:t xml:space="preserve"> </w:t>
            </w:r>
            <w:r w:rsidR="00301F6A" w:rsidRPr="006B7179">
              <w:t>vyšší koncentrac</w:t>
            </w:r>
            <w:r w:rsidR="00E579ED">
              <w:t>i</w:t>
            </w:r>
            <w:r w:rsidR="00326652">
              <w:t xml:space="preserve"> SC</w:t>
            </w:r>
            <w:r w:rsidR="00301F6A" w:rsidRPr="006B7179">
              <w:t xml:space="preserve"> </w:t>
            </w:r>
            <w:r w:rsidR="00E579ED">
              <w:t>na klíčov</w:t>
            </w:r>
            <w:r w:rsidR="0040502C">
              <w:t>é intervence</w:t>
            </w:r>
            <w:r w:rsidR="00301F6A" w:rsidRPr="006B7179">
              <w:t>.</w:t>
            </w:r>
            <w:r w:rsidR="00EA0202" w:rsidRPr="006B7179">
              <w:t xml:space="preserve"> </w:t>
            </w:r>
          </w:p>
        </w:tc>
      </w:tr>
    </w:tbl>
    <w:p w:rsidR="00BC5C10" w:rsidRDefault="00BC5C10" w:rsidP="00BC5C10">
      <w:pPr>
        <w:pStyle w:val="Odstavecseseznamem"/>
        <w:spacing w:after="120"/>
        <w:rPr>
          <w:rFonts w:ascii="Tahoma" w:hAnsi="Tahoma" w:cs="Tahoma"/>
          <w:sz w:val="20"/>
          <w:szCs w:val="20"/>
        </w:rPr>
      </w:pPr>
    </w:p>
    <w:p w:rsidR="009659B1" w:rsidRPr="00801A43" w:rsidRDefault="002A025C" w:rsidP="00C6279B">
      <w:pPr>
        <w:pStyle w:val="Odstavecseseznamem"/>
        <w:numPr>
          <w:ilvl w:val="0"/>
          <w:numId w:val="8"/>
        </w:numPr>
        <w:spacing w:after="120"/>
        <w:jc w:val="both"/>
        <w:rPr>
          <w:rFonts w:ascii="Tahoma" w:hAnsi="Tahoma" w:cs="Tahoma"/>
          <w:b/>
          <w:sz w:val="20"/>
          <w:szCs w:val="20"/>
        </w:rPr>
      </w:pPr>
      <w:r w:rsidRPr="00801A43">
        <w:rPr>
          <w:rFonts w:ascii="Tahoma" w:hAnsi="Tahoma" w:cs="Tahoma"/>
          <w:b/>
          <w:sz w:val="20"/>
          <w:szCs w:val="20"/>
        </w:rPr>
        <w:t xml:space="preserve">k Prioritní ose 2 „Rozvoj podnikání a konkurenceschopnosti malých a středních </w:t>
      </w:r>
      <w:r w:rsidR="00801A43">
        <w:rPr>
          <w:rFonts w:ascii="Tahoma" w:hAnsi="Tahoma" w:cs="Tahoma"/>
          <w:b/>
          <w:sz w:val="20"/>
          <w:szCs w:val="20"/>
        </w:rPr>
        <w:t>podniků</w:t>
      </w:r>
      <w:r w:rsidRPr="00801A43">
        <w:rPr>
          <w:rFonts w:ascii="Tahoma" w:hAnsi="Tahoma" w:cs="Tahoma"/>
          <w:b/>
          <w:sz w:val="20"/>
          <w:szCs w:val="20"/>
        </w:rPr>
        <w:t>“:</w:t>
      </w:r>
    </w:p>
    <w:tbl>
      <w:tblPr>
        <w:tblStyle w:val="Mkatabulky"/>
        <w:tblW w:w="9322" w:type="dxa"/>
        <w:tblLook w:val="04A0"/>
      </w:tblPr>
      <w:tblGrid>
        <w:gridCol w:w="578"/>
        <w:gridCol w:w="8744"/>
      </w:tblGrid>
      <w:tr w:rsidR="0007299A" w:rsidRPr="007A62AF" w:rsidTr="00C6150E">
        <w:tc>
          <w:tcPr>
            <w:tcW w:w="578" w:type="dxa"/>
          </w:tcPr>
          <w:p w:rsidR="0007299A" w:rsidRPr="006B7179" w:rsidRDefault="00407A43" w:rsidP="0007299A">
            <w:pPr>
              <w:tabs>
                <w:tab w:val="num" w:pos="720"/>
              </w:tabs>
              <w:spacing w:after="120"/>
              <w:jc w:val="center"/>
              <w:rPr>
                <w:rFonts w:cs="Tahoma"/>
                <w:szCs w:val="20"/>
              </w:rPr>
            </w:pPr>
            <w:r>
              <w:rPr>
                <w:rFonts w:cs="Tahoma"/>
                <w:szCs w:val="20"/>
              </w:rPr>
              <w:t>3</w:t>
            </w:r>
          </w:p>
        </w:tc>
        <w:tc>
          <w:tcPr>
            <w:tcW w:w="8744" w:type="dxa"/>
          </w:tcPr>
          <w:p w:rsidR="0007299A" w:rsidRDefault="00326652" w:rsidP="0007299A">
            <w:pPr>
              <w:spacing w:after="120"/>
              <w:rPr>
                <w:rFonts w:cs="Tahoma"/>
                <w:szCs w:val="20"/>
              </w:rPr>
            </w:pPr>
            <w:r>
              <w:rPr>
                <w:rFonts w:cs="Tahoma"/>
                <w:szCs w:val="20"/>
              </w:rPr>
              <w:t>Hodnotitel se domnívá, že celkové z</w:t>
            </w:r>
            <w:r w:rsidR="0007299A" w:rsidRPr="006B7179">
              <w:rPr>
                <w:rFonts w:cs="Tahoma"/>
                <w:szCs w:val="20"/>
              </w:rPr>
              <w:t xml:space="preserve">aměření </w:t>
            </w:r>
            <w:r w:rsidR="0007299A">
              <w:rPr>
                <w:rFonts w:cs="Tahoma"/>
                <w:szCs w:val="20"/>
              </w:rPr>
              <w:t>P</w:t>
            </w:r>
            <w:r w:rsidR="0007299A" w:rsidRPr="006B7179">
              <w:rPr>
                <w:rFonts w:cs="Tahoma"/>
                <w:szCs w:val="20"/>
              </w:rPr>
              <w:t>O 2 vyjádřené popisem</w:t>
            </w:r>
            <w:r w:rsidR="00E579ED">
              <w:rPr>
                <w:rFonts w:cs="Tahoma"/>
                <w:szCs w:val="20"/>
              </w:rPr>
              <w:t xml:space="preserve"> jak</w:t>
            </w:r>
            <w:r w:rsidR="0007299A" w:rsidRPr="006B7179">
              <w:rPr>
                <w:rFonts w:cs="Tahoma"/>
                <w:szCs w:val="20"/>
              </w:rPr>
              <w:t xml:space="preserve"> očekávaných </w:t>
            </w:r>
            <w:r w:rsidR="0040502C">
              <w:rPr>
                <w:rFonts w:cs="Tahoma"/>
                <w:szCs w:val="20"/>
              </w:rPr>
              <w:t>„V</w:t>
            </w:r>
            <w:r w:rsidR="0007299A" w:rsidRPr="006B7179">
              <w:rPr>
                <w:rFonts w:cs="Tahoma"/>
                <w:szCs w:val="20"/>
              </w:rPr>
              <w:t>ýsledků</w:t>
            </w:r>
            <w:r w:rsidR="00E579ED">
              <w:rPr>
                <w:rFonts w:cs="Tahoma"/>
                <w:szCs w:val="20"/>
              </w:rPr>
              <w:t>, kterých chce ČR dosáhnout s podporou Unie</w:t>
            </w:r>
            <w:r w:rsidR="0040502C">
              <w:rPr>
                <w:rFonts w:cs="Tahoma"/>
                <w:szCs w:val="20"/>
              </w:rPr>
              <w:t>“</w:t>
            </w:r>
            <w:r w:rsidR="00E579ED">
              <w:rPr>
                <w:rFonts w:cs="Tahoma"/>
                <w:szCs w:val="20"/>
              </w:rPr>
              <w:t>,</w:t>
            </w:r>
            <w:r w:rsidR="0007299A" w:rsidRPr="006B7179">
              <w:rPr>
                <w:rFonts w:cs="Tahoma"/>
                <w:szCs w:val="20"/>
              </w:rPr>
              <w:t xml:space="preserve"> </w:t>
            </w:r>
            <w:r w:rsidR="00E579ED">
              <w:rPr>
                <w:rFonts w:cs="Tahoma"/>
                <w:szCs w:val="20"/>
              </w:rPr>
              <w:t xml:space="preserve">tak </w:t>
            </w:r>
            <w:r w:rsidR="0007299A" w:rsidRPr="006B7179">
              <w:rPr>
                <w:rFonts w:cs="Tahoma"/>
                <w:szCs w:val="20"/>
              </w:rPr>
              <w:t xml:space="preserve">i </w:t>
            </w:r>
            <w:r>
              <w:rPr>
                <w:rFonts w:cs="Tahoma"/>
                <w:szCs w:val="20"/>
              </w:rPr>
              <w:t xml:space="preserve">výčtem </w:t>
            </w:r>
            <w:r w:rsidR="0007299A" w:rsidRPr="006B7179">
              <w:rPr>
                <w:rFonts w:cs="Tahoma"/>
                <w:szCs w:val="20"/>
              </w:rPr>
              <w:t>podporovaných aktivit</w:t>
            </w:r>
            <w:r w:rsidR="0007299A">
              <w:rPr>
                <w:rFonts w:cs="Tahoma"/>
                <w:szCs w:val="20"/>
              </w:rPr>
              <w:t xml:space="preserve"> v rámci 4 specifických cílů</w:t>
            </w:r>
            <w:r>
              <w:rPr>
                <w:rFonts w:cs="Tahoma"/>
                <w:szCs w:val="20"/>
              </w:rPr>
              <w:t>,</w:t>
            </w:r>
            <w:r w:rsidR="0007299A" w:rsidRPr="006B7179">
              <w:rPr>
                <w:rFonts w:cs="Tahoma"/>
                <w:szCs w:val="20"/>
              </w:rPr>
              <w:t xml:space="preserve"> je </w:t>
            </w:r>
            <w:r w:rsidR="0007299A">
              <w:rPr>
                <w:rFonts w:cs="Tahoma"/>
                <w:szCs w:val="20"/>
              </w:rPr>
              <w:t xml:space="preserve">velice </w:t>
            </w:r>
            <w:r w:rsidR="0007299A" w:rsidRPr="006B7179">
              <w:rPr>
                <w:rFonts w:cs="Tahoma"/>
                <w:szCs w:val="20"/>
              </w:rPr>
              <w:t xml:space="preserve">široké. </w:t>
            </w:r>
          </w:p>
          <w:p w:rsidR="0007299A" w:rsidRPr="006B7179" w:rsidRDefault="00E579ED" w:rsidP="0040502C">
            <w:pPr>
              <w:spacing w:after="120"/>
              <w:rPr>
                <w:rFonts w:cs="Tahoma"/>
                <w:szCs w:val="20"/>
              </w:rPr>
            </w:pPr>
            <w:r>
              <w:rPr>
                <w:rFonts w:cs="Tahoma"/>
                <w:szCs w:val="20"/>
              </w:rPr>
              <w:t>H</w:t>
            </w:r>
            <w:r w:rsidR="0007299A" w:rsidRPr="006B7179">
              <w:rPr>
                <w:rFonts w:cs="Tahoma"/>
                <w:szCs w:val="20"/>
              </w:rPr>
              <w:t xml:space="preserve">odnotitel </w:t>
            </w:r>
            <w:r w:rsidR="0007299A">
              <w:rPr>
                <w:rFonts w:cs="Tahoma"/>
                <w:szCs w:val="20"/>
              </w:rPr>
              <w:t xml:space="preserve">doporučuje </w:t>
            </w:r>
            <w:r w:rsidR="0007299A" w:rsidRPr="006B7179">
              <w:rPr>
                <w:rFonts w:cs="Tahoma"/>
                <w:szCs w:val="20"/>
              </w:rPr>
              <w:t xml:space="preserve">PO 2 více koncentrovat a zacílit na řešení </w:t>
            </w:r>
            <w:r w:rsidR="00127B3C">
              <w:rPr>
                <w:rFonts w:cs="Tahoma"/>
                <w:szCs w:val="20"/>
              </w:rPr>
              <w:t xml:space="preserve">hlavních </w:t>
            </w:r>
            <w:r w:rsidR="0007299A" w:rsidRPr="006B7179">
              <w:rPr>
                <w:rFonts w:cs="Tahoma"/>
                <w:szCs w:val="20"/>
              </w:rPr>
              <w:t>problémů</w:t>
            </w:r>
            <w:r w:rsidR="00127B3C">
              <w:rPr>
                <w:rFonts w:cs="Tahoma"/>
                <w:szCs w:val="20"/>
              </w:rPr>
              <w:t xml:space="preserve"> a potřeb rozvoje</w:t>
            </w:r>
            <w:r w:rsidR="00314931">
              <w:rPr>
                <w:rFonts w:cs="Tahoma"/>
                <w:szCs w:val="20"/>
              </w:rPr>
              <w:t>.</w:t>
            </w:r>
            <w:r>
              <w:rPr>
                <w:rFonts w:cs="Tahoma"/>
                <w:szCs w:val="20"/>
              </w:rPr>
              <w:t xml:space="preserve"> </w:t>
            </w:r>
          </w:p>
        </w:tc>
      </w:tr>
      <w:tr w:rsidR="0082333E" w:rsidRPr="006B7179" w:rsidTr="00C6150E">
        <w:tc>
          <w:tcPr>
            <w:tcW w:w="578" w:type="dxa"/>
          </w:tcPr>
          <w:p w:rsidR="0082333E" w:rsidRPr="00C6150E" w:rsidRDefault="00F059FC" w:rsidP="006069D1">
            <w:pPr>
              <w:spacing w:after="120"/>
              <w:jc w:val="center"/>
              <w:rPr>
                <w:rFonts w:cs="Tahoma"/>
                <w:szCs w:val="20"/>
              </w:rPr>
            </w:pPr>
            <w:r>
              <w:rPr>
                <w:rFonts w:cs="Tahoma"/>
                <w:szCs w:val="20"/>
              </w:rPr>
              <w:t>4</w:t>
            </w:r>
          </w:p>
        </w:tc>
        <w:tc>
          <w:tcPr>
            <w:tcW w:w="8744" w:type="dxa"/>
          </w:tcPr>
          <w:p w:rsidR="0082333E" w:rsidRPr="006B7179" w:rsidRDefault="003E5007" w:rsidP="0027710F">
            <w:pPr>
              <w:spacing w:after="120"/>
              <w:rPr>
                <w:rFonts w:cs="Tahoma"/>
                <w:szCs w:val="20"/>
              </w:rPr>
            </w:pPr>
            <w:r w:rsidRPr="00C6150E">
              <w:rPr>
                <w:rFonts w:cs="Tahoma"/>
                <w:szCs w:val="20"/>
              </w:rPr>
              <w:t xml:space="preserve">Je zapotřebí </w:t>
            </w:r>
            <w:r w:rsidR="0007299A" w:rsidRPr="00C6150E">
              <w:rPr>
                <w:rFonts w:cs="Tahoma"/>
                <w:szCs w:val="20"/>
              </w:rPr>
              <w:t>pop</w:t>
            </w:r>
            <w:r w:rsidR="0082333E" w:rsidRPr="00C6150E">
              <w:rPr>
                <w:rFonts w:cs="Tahoma"/>
                <w:szCs w:val="20"/>
              </w:rPr>
              <w:t>s</w:t>
            </w:r>
            <w:r w:rsidR="0007299A" w:rsidRPr="00C6150E">
              <w:rPr>
                <w:rFonts w:cs="Tahoma"/>
                <w:szCs w:val="20"/>
              </w:rPr>
              <w:t>at</w:t>
            </w:r>
            <w:r w:rsidR="0082333E" w:rsidRPr="00C6150E">
              <w:rPr>
                <w:rFonts w:cs="Tahoma"/>
                <w:szCs w:val="20"/>
              </w:rPr>
              <w:t xml:space="preserve"> </w:t>
            </w:r>
            <w:r w:rsidR="00C6150E" w:rsidRPr="00C6150E">
              <w:rPr>
                <w:rFonts w:cs="Tahoma"/>
                <w:szCs w:val="20"/>
              </w:rPr>
              <w:t>další faktory</w:t>
            </w:r>
            <w:r w:rsidR="0027710F">
              <w:rPr>
                <w:rFonts w:cs="Tahoma"/>
                <w:szCs w:val="20"/>
              </w:rPr>
              <w:t>/</w:t>
            </w:r>
            <w:r w:rsidR="00C6150E" w:rsidRPr="00C6150E">
              <w:rPr>
                <w:rFonts w:cs="Tahoma"/>
                <w:szCs w:val="20"/>
              </w:rPr>
              <w:t>opatření mimo OP PIK</w:t>
            </w:r>
            <w:r w:rsidR="0082333E" w:rsidRPr="00C6150E">
              <w:rPr>
                <w:rFonts w:cs="Tahoma"/>
                <w:szCs w:val="20"/>
              </w:rPr>
              <w:t xml:space="preserve"> pro </w:t>
            </w:r>
            <w:r w:rsidR="00C6150E" w:rsidRPr="00C6150E">
              <w:rPr>
                <w:rFonts w:cs="Tahoma"/>
                <w:szCs w:val="20"/>
              </w:rPr>
              <w:t>dosažení</w:t>
            </w:r>
            <w:r w:rsidR="0082333E" w:rsidRPr="00C6150E">
              <w:rPr>
                <w:rFonts w:cs="Tahoma"/>
                <w:szCs w:val="20"/>
              </w:rPr>
              <w:t xml:space="preserve"> </w:t>
            </w:r>
            <w:r w:rsidR="00C6150E" w:rsidRPr="00C6150E">
              <w:rPr>
                <w:rFonts w:cs="Tahoma"/>
                <w:szCs w:val="20"/>
              </w:rPr>
              <w:t xml:space="preserve">jednotlivých </w:t>
            </w:r>
            <w:r w:rsidR="0082333E" w:rsidRPr="00C6150E">
              <w:rPr>
                <w:rFonts w:cs="Tahoma"/>
                <w:szCs w:val="20"/>
              </w:rPr>
              <w:t xml:space="preserve">specifických cílů </w:t>
            </w:r>
            <w:r w:rsidR="0064007A" w:rsidRPr="00C6150E">
              <w:rPr>
                <w:rFonts w:cs="Tahoma"/>
                <w:szCs w:val="20"/>
              </w:rPr>
              <w:t>PO 2</w:t>
            </w:r>
            <w:r w:rsidR="00C6150E" w:rsidRPr="00C6150E">
              <w:rPr>
                <w:rFonts w:cs="Tahoma"/>
                <w:szCs w:val="20"/>
              </w:rPr>
              <w:t>.</w:t>
            </w:r>
          </w:p>
        </w:tc>
      </w:tr>
      <w:tr w:rsidR="002865F3" w:rsidRPr="006B7179" w:rsidTr="00C6150E">
        <w:tc>
          <w:tcPr>
            <w:tcW w:w="578" w:type="dxa"/>
          </w:tcPr>
          <w:p w:rsidR="002865F3" w:rsidRDefault="00F059FC" w:rsidP="006069D1">
            <w:pPr>
              <w:spacing w:after="120"/>
              <w:jc w:val="center"/>
              <w:rPr>
                <w:rFonts w:cs="Tahoma"/>
                <w:szCs w:val="20"/>
              </w:rPr>
            </w:pPr>
            <w:r>
              <w:rPr>
                <w:rFonts w:cs="Tahoma"/>
                <w:szCs w:val="20"/>
              </w:rPr>
              <w:t>5</w:t>
            </w:r>
          </w:p>
        </w:tc>
        <w:tc>
          <w:tcPr>
            <w:tcW w:w="8744" w:type="dxa"/>
          </w:tcPr>
          <w:p w:rsidR="004C74F1" w:rsidRDefault="002865F3" w:rsidP="002865F3">
            <w:pPr>
              <w:spacing w:after="120"/>
              <w:rPr>
                <w:rFonts w:cs="Tahoma"/>
                <w:szCs w:val="20"/>
              </w:rPr>
            </w:pPr>
            <w:r w:rsidRPr="006B7179">
              <w:rPr>
                <w:rFonts w:cs="Tahoma"/>
                <w:szCs w:val="20"/>
              </w:rPr>
              <w:t xml:space="preserve">Rovněž je </w:t>
            </w:r>
            <w:r>
              <w:rPr>
                <w:rFonts w:cs="Tahoma"/>
                <w:szCs w:val="20"/>
              </w:rPr>
              <w:t>žádoucí</w:t>
            </w:r>
            <w:r w:rsidRPr="006B7179">
              <w:rPr>
                <w:rFonts w:cs="Tahoma"/>
                <w:szCs w:val="20"/>
              </w:rPr>
              <w:t xml:space="preserve"> doplnit vyjádření/popis vazeb </w:t>
            </w:r>
            <w:r>
              <w:rPr>
                <w:rFonts w:cs="Tahoma"/>
                <w:szCs w:val="20"/>
              </w:rPr>
              <w:t xml:space="preserve">očekávaných </w:t>
            </w:r>
            <w:r w:rsidRPr="006B7179">
              <w:rPr>
                <w:rFonts w:cs="Tahoma"/>
                <w:szCs w:val="20"/>
              </w:rPr>
              <w:t xml:space="preserve">výsledků specifických cílů PO 2 na hlavní výsledky </w:t>
            </w:r>
            <w:proofErr w:type="spellStart"/>
            <w:r w:rsidRPr="006B7179">
              <w:rPr>
                <w:rFonts w:cs="Tahoma"/>
                <w:szCs w:val="20"/>
              </w:rPr>
              <w:t>DoP.</w:t>
            </w:r>
            <w:proofErr w:type="spellEnd"/>
            <w:r w:rsidRPr="006B7179">
              <w:rPr>
                <w:rFonts w:cs="Tahoma"/>
                <w:szCs w:val="20"/>
              </w:rPr>
              <w:t xml:space="preserve"> </w:t>
            </w:r>
          </w:p>
          <w:p w:rsidR="002865F3" w:rsidRDefault="002865F3" w:rsidP="002865F3">
            <w:pPr>
              <w:spacing w:after="120"/>
              <w:rPr>
                <w:rFonts w:cs="Tahoma"/>
                <w:szCs w:val="20"/>
              </w:rPr>
            </w:pPr>
            <w:r>
              <w:rPr>
                <w:rFonts w:cs="Tahoma"/>
                <w:szCs w:val="20"/>
              </w:rPr>
              <w:t xml:space="preserve">Dle názoru hodnotitele je vazba na </w:t>
            </w:r>
            <w:proofErr w:type="spellStart"/>
            <w:r>
              <w:rPr>
                <w:rFonts w:cs="Tahoma"/>
                <w:szCs w:val="20"/>
              </w:rPr>
              <w:t>DoP</w:t>
            </w:r>
            <w:proofErr w:type="spellEnd"/>
            <w:r>
              <w:rPr>
                <w:rFonts w:cs="Tahoma"/>
                <w:szCs w:val="20"/>
              </w:rPr>
              <w:t xml:space="preserve"> nejasná</w:t>
            </w:r>
            <w:r w:rsidR="00C6150E">
              <w:rPr>
                <w:rFonts w:cs="Tahoma"/>
                <w:szCs w:val="20"/>
              </w:rPr>
              <w:t>/slabá</w:t>
            </w:r>
            <w:r>
              <w:rPr>
                <w:rFonts w:cs="Tahoma"/>
                <w:szCs w:val="20"/>
              </w:rPr>
              <w:t xml:space="preserve"> zejména v případě SC 2.4.</w:t>
            </w:r>
          </w:p>
        </w:tc>
      </w:tr>
      <w:tr w:rsidR="0082333E" w:rsidRPr="006B7179" w:rsidTr="00C6150E">
        <w:tc>
          <w:tcPr>
            <w:tcW w:w="578" w:type="dxa"/>
          </w:tcPr>
          <w:p w:rsidR="0082333E" w:rsidRPr="006B7179" w:rsidRDefault="00F059FC" w:rsidP="006069D1">
            <w:pPr>
              <w:spacing w:after="120"/>
              <w:jc w:val="center"/>
              <w:rPr>
                <w:rFonts w:cs="Tahoma"/>
                <w:szCs w:val="20"/>
              </w:rPr>
            </w:pPr>
            <w:r>
              <w:rPr>
                <w:rFonts w:cs="Tahoma"/>
                <w:szCs w:val="20"/>
              </w:rPr>
              <w:t>6</w:t>
            </w:r>
          </w:p>
        </w:tc>
        <w:tc>
          <w:tcPr>
            <w:tcW w:w="8744" w:type="dxa"/>
          </w:tcPr>
          <w:p w:rsidR="0082333E" w:rsidRPr="002865F3" w:rsidRDefault="002865F3" w:rsidP="0082333E">
            <w:pPr>
              <w:spacing w:after="120"/>
              <w:rPr>
                <w:rFonts w:cs="Tahoma"/>
                <w:b/>
                <w:i/>
                <w:szCs w:val="20"/>
              </w:rPr>
            </w:pPr>
            <w:r w:rsidRPr="002865F3">
              <w:rPr>
                <w:rFonts w:cs="Tahoma"/>
                <w:b/>
                <w:i/>
                <w:szCs w:val="20"/>
              </w:rPr>
              <w:t>Specifický cíl 2.1 „Zvýšit počet nových podnikatelských záměrů začínajících a rozvojových podniků“</w:t>
            </w:r>
          </w:p>
          <w:p w:rsidR="004C74F1" w:rsidRDefault="004C74F1" w:rsidP="002865F3">
            <w:pPr>
              <w:spacing w:after="120"/>
              <w:rPr>
                <w:rFonts w:cs="Tahoma"/>
                <w:szCs w:val="20"/>
              </w:rPr>
            </w:pPr>
            <w:r>
              <w:rPr>
                <w:rFonts w:cs="Tahoma"/>
                <w:szCs w:val="20"/>
              </w:rPr>
              <w:t xml:space="preserve">Hodnotiteli obecně </w:t>
            </w:r>
            <w:r w:rsidR="00C6150E">
              <w:rPr>
                <w:rFonts w:cs="Tahoma"/>
                <w:szCs w:val="20"/>
              </w:rPr>
              <w:t xml:space="preserve">není </w:t>
            </w:r>
            <w:r>
              <w:rPr>
                <w:rFonts w:cs="Tahoma"/>
                <w:szCs w:val="20"/>
              </w:rPr>
              <w:t>příliš jasná logika vazby mezi definovaným specifickým cílem (</w:t>
            </w:r>
            <w:r w:rsidR="0040502C">
              <w:rPr>
                <w:rFonts w:cs="Tahoma"/>
                <w:szCs w:val="20"/>
              </w:rPr>
              <w:t>„</w:t>
            </w:r>
            <w:r>
              <w:rPr>
                <w:rFonts w:cs="Tahoma"/>
                <w:szCs w:val="20"/>
              </w:rPr>
              <w:t>zvýšit počet nových podnikatelských záměrů</w:t>
            </w:r>
            <w:r w:rsidR="0040502C">
              <w:rPr>
                <w:rFonts w:cs="Tahoma"/>
                <w:szCs w:val="20"/>
              </w:rPr>
              <w:t>“</w:t>
            </w:r>
            <w:r>
              <w:rPr>
                <w:rFonts w:cs="Tahoma"/>
                <w:szCs w:val="20"/>
              </w:rPr>
              <w:t xml:space="preserve">) a formulovanými </w:t>
            </w:r>
            <w:r w:rsidR="0040502C">
              <w:rPr>
                <w:rFonts w:cs="Tahoma"/>
                <w:szCs w:val="20"/>
              </w:rPr>
              <w:t>„V</w:t>
            </w:r>
            <w:r>
              <w:rPr>
                <w:rFonts w:cs="Tahoma"/>
                <w:szCs w:val="20"/>
              </w:rPr>
              <w:t>ýsledky, kterých chce ČR dosáhnout s podporou Unie</w:t>
            </w:r>
            <w:r w:rsidR="0040502C">
              <w:rPr>
                <w:rFonts w:cs="Tahoma"/>
                <w:szCs w:val="20"/>
              </w:rPr>
              <w:t>“</w:t>
            </w:r>
            <w:r>
              <w:rPr>
                <w:rFonts w:cs="Tahoma"/>
                <w:szCs w:val="20"/>
              </w:rPr>
              <w:t xml:space="preserve"> (str. </w:t>
            </w:r>
            <w:r w:rsidR="00C6150E">
              <w:rPr>
                <w:rFonts w:cs="Tahoma"/>
                <w:szCs w:val="20"/>
              </w:rPr>
              <w:t>60</w:t>
            </w:r>
            <w:r>
              <w:rPr>
                <w:rFonts w:cs="Tahoma"/>
                <w:szCs w:val="20"/>
              </w:rPr>
              <w:t>-</w:t>
            </w:r>
            <w:r w:rsidR="00C6150E">
              <w:rPr>
                <w:rFonts w:cs="Tahoma"/>
                <w:szCs w:val="20"/>
              </w:rPr>
              <w:t>61</w:t>
            </w:r>
            <w:r w:rsidRPr="00461D98">
              <w:rPr>
                <w:rFonts w:cs="Tahoma"/>
                <w:szCs w:val="20"/>
              </w:rPr>
              <w:t>)</w:t>
            </w:r>
            <w:r w:rsidR="009E5BE4" w:rsidRPr="009E5BE4">
              <w:rPr>
                <w:rFonts w:cs="Tahoma"/>
                <w:szCs w:val="20"/>
              </w:rPr>
              <w:t>, což bude dle vyjádření zadavatele dále řešeno, mj. také ve vazbě na připomínky EK.</w:t>
            </w:r>
          </w:p>
          <w:p w:rsidR="002865F3" w:rsidRPr="006B7179" w:rsidRDefault="002865F3" w:rsidP="0040502C">
            <w:pPr>
              <w:spacing w:after="120"/>
              <w:rPr>
                <w:rFonts w:cs="Tahoma"/>
                <w:szCs w:val="20"/>
              </w:rPr>
            </w:pPr>
            <w:r w:rsidRPr="002865F3">
              <w:rPr>
                <w:rFonts w:cs="Tahoma"/>
                <w:szCs w:val="20"/>
              </w:rPr>
              <w:t xml:space="preserve">Poněkud nejasně jsou </w:t>
            </w:r>
            <w:r w:rsidR="004C74F1">
              <w:rPr>
                <w:rFonts w:cs="Tahoma"/>
                <w:szCs w:val="20"/>
              </w:rPr>
              <w:t xml:space="preserve">rovněž </w:t>
            </w:r>
            <w:r w:rsidRPr="002865F3">
              <w:rPr>
                <w:rFonts w:cs="Tahoma"/>
                <w:szCs w:val="20"/>
              </w:rPr>
              <w:t>formulov</w:t>
            </w:r>
            <w:r w:rsidR="004C74F1">
              <w:rPr>
                <w:rFonts w:cs="Tahoma"/>
                <w:szCs w:val="20"/>
              </w:rPr>
              <w:t>ány některé</w:t>
            </w:r>
            <w:r w:rsidRPr="002865F3">
              <w:rPr>
                <w:rFonts w:cs="Tahoma"/>
                <w:szCs w:val="20"/>
              </w:rPr>
              <w:t xml:space="preserve"> výstupy</w:t>
            </w:r>
            <w:r w:rsidR="004C74F1">
              <w:rPr>
                <w:rFonts w:cs="Tahoma"/>
                <w:szCs w:val="20"/>
              </w:rPr>
              <w:t xml:space="preserve"> podporovaných aktivit</w:t>
            </w:r>
            <w:r w:rsidRPr="002865F3">
              <w:rPr>
                <w:rFonts w:cs="Tahoma"/>
                <w:szCs w:val="20"/>
              </w:rPr>
              <w:t xml:space="preserve"> a </w:t>
            </w:r>
            <w:r w:rsidR="004C74F1">
              <w:rPr>
                <w:rFonts w:cs="Tahoma"/>
                <w:szCs w:val="20"/>
              </w:rPr>
              <w:t xml:space="preserve">jejich </w:t>
            </w:r>
            <w:r w:rsidRPr="002865F3">
              <w:rPr>
                <w:rFonts w:cs="Tahoma"/>
                <w:szCs w:val="20"/>
              </w:rPr>
              <w:t>výsledky (cit.): „</w:t>
            </w:r>
            <w:r w:rsidRPr="002865F3">
              <w:rPr>
                <w:rFonts w:cs="Tahoma"/>
                <w:i/>
                <w:szCs w:val="20"/>
              </w:rPr>
              <w:t>Výstupem tak budou jednotlivé podpořené podnikatelské záměry, je</w:t>
            </w:r>
            <w:r w:rsidR="0040502C">
              <w:rPr>
                <w:rFonts w:cs="Tahoma"/>
                <w:i/>
                <w:szCs w:val="20"/>
              </w:rPr>
              <w:t xml:space="preserve">jichž </w:t>
            </w:r>
            <w:r w:rsidRPr="002865F3">
              <w:rPr>
                <w:rFonts w:cs="Tahoma"/>
                <w:i/>
                <w:szCs w:val="20"/>
              </w:rPr>
              <w:t>výsledky se promítnou ve střednědobém horizontu ekonomickými přínosy a nově vytvořenými pracovními místy</w:t>
            </w:r>
            <w:r w:rsidRPr="002865F3">
              <w:rPr>
                <w:rFonts w:cs="Tahoma"/>
                <w:szCs w:val="20"/>
              </w:rPr>
              <w:t xml:space="preserve">“ (str. </w:t>
            </w:r>
            <w:r w:rsidR="00C6150E">
              <w:rPr>
                <w:rFonts w:cs="Tahoma"/>
                <w:szCs w:val="20"/>
              </w:rPr>
              <w:t>62</w:t>
            </w:r>
            <w:r w:rsidRPr="002865F3">
              <w:rPr>
                <w:rFonts w:cs="Tahoma"/>
                <w:szCs w:val="20"/>
              </w:rPr>
              <w:t xml:space="preserve">) a také: </w:t>
            </w:r>
            <w:r w:rsidRPr="002865F3">
              <w:rPr>
                <w:rFonts w:cs="Tahoma"/>
                <w:i/>
                <w:szCs w:val="20"/>
              </w:rPr>
              <w:t>„</w:t>
            </w:r>
            <w:r w:rsidR="00C6150E" w:rsidRPr="00C6150E">
              <w:rPr>
                <w:rFonts w:cs="Tahoma"/>
                <w:i/>
                <w:szCs w:val="20"/>
              </w:rPr>
              <w:t>Výstupem tak bude počet jednotlivých podpořených podnikatelských záměrů v oblasti poskytování poradenských služeb. Výsledky se na úrovni projektů budou promítat do počtu podniků využívajících podpůrné služby inovační infrastruktury.“</w:t>
            </w:r>
            <w:r w:rsidR="00C6150E" w:rsidRPr="00C6150E">
              <w:rPr>
                <w:rFonts w:cs="Arial"/>
              </w:rPr>
              <w:t xml:space="preserve"> </w:t>
            </w:r>
            <w:r w:rsidRPr="002865F3">
              <w:rPr>
                <w:rFonts w:cs="Tahoma"/>
                <w:szCs w:val="20"/>
              </w:rPr>
              <w:t xml:space="preserve">(str. </w:t>
            </w:r>
            <w:r w:rsidR="00C6150E">
              <w:rPr>
                <w:rFonts w:cs="Tahoma"/>
                <w:szCs w:val="20"/>
              </w:rPr>
              <w:t>62</w:t>
            </w:r>
            <w:r w:rsidRPr="002865F3">
              <w:rPr>
                <w:rFonts w:cs="Tahoma"/>
                <w:szCs w:val="20"/>
              </w:rPr>
              <w:t>).</w:t>
            </w:r>
          </w:p>
        </w:tc>
      </w:tr>
      <w:tr w:rsidR="009F6351" w:rsidRPr="006B7179" w:rsidTr="00C6150E">
        <w:tc>
          <w:tcPr>
            <w:tcW w:w="578" w:type="dxa"/>
          </w:tcPr>
          <w:p w:rsidR="009F6351" w:rsidRDefault="00F059FC" w:rsidP="00407A43">
            <w:pPr>
              <w:spacing w:after="120"/>
              <w:jc w:val="center"/>
              <w:rPr>
                <w:rFonts w:cs="Tahoma"/>
                <w:szCs w:val="20"/>
              </w:rPr>
            </w:pPr>
            <w:r>
              <w:rPr>
                <w:rFonts w:cs="Tahoma"/>
                <w:szCs w:val="20"/>
              </w:rPr>
              <w:t>7</w:t>
            </w:r>
          </w:p>
        </w:tc>
        <w:tc>
          <w:tcPr>
            <w:tcW w:w="8744" w:type="dxa"/>
          </w:tcPr>
          <w:p w:rsidR="009F6351" w:rsidRDefault="009F6351" w:rsidP="00493981">
            <w:pPr>
              <w:spacing w:after="120"/>
              <w:rPr>
                <w:rFonts w:cs="Tahoma"/>
                <w:b/>
                <w:i/>
                <w:szCs w:val="20"/>
              </w:rPr>
            </w:pPr>
            <w:r>
              <w:rPr>
                <w:rFonts w:cs="Tahoma"/>
                <w:b/>
                <w:i/>
                <w:szCs w:val="20"/>
              </w:rPr>
              <w:t>Specifický cíl 2.3 „Zvýšit využitelnost infrastruktury pro podnikání“</w:t>
            </w:r>
          </w:p>
          <w:p w:rsidR="0065120B" w:rsidRDefault="001B63F5" w:rsidP="00812E6E">
            <w:r>
              <w:t>Určitou slabinou tohoto SC</w:t>
            </w:r>
            <w:r w:rsidR="00812E6E">
              <w:t xml:space="preserve"> je nedostatečná analytick</w:t>
            </w:r>
            <w:r>
              <w:t xml:space="preserve">á </w:t>
            </w:r>
            <w:r w:rsidR="00812E6E">
              <w:t>opora</w:t>
            </w:r>
            <w:r w:rsidR="0040502C">
              <w:t>. V důsledku</w:t>
            </w:r>
            <w:r>
              <w:t xml:space="preserve"> absenc</w:t>
            </w:r>
            <w:r w:rsidR="0040502C">
              <w:t>e</w:t>
            </w:r>
            <w:r>
              <w:t xml:space="preserve"> „tvrdých“ dat </w:t>
            </w:r>
            <w:r>
              <w:lastRenderedPageBreak/>
              <w:t>n</w:t>
            </w:r>
            <w:r w:rsidR="00812E6E">
              <w:t>ení</w:t>
            </w:r>
            <w:r>
              <w:t xml:space="preserve"> zcela</w:t>
            </w:r>
            <w:r w:rsidR="00812E6E">
              <w:t xml:space="preserve"> jasné, o jak rozsáhlý problém se v případě nevyhovující infrastruktury pro podnikání jedná, zda má nějaká specifika (územní, odvětvová), na která je možno se cíleně zaměřit, apod.</w:t>
            </w:r>
          </w:p>
          <w:p w:rsidR="009F6351" w:rsidRDefault="001B63F5" w:rsidP="001B63F5">
            <w:r>
              <w:t xml:space="preserve">Hodnotitel vítá, že na základě jeho předchozích doporučení zpracovatel využil jako zdroj výchozích dat </w:t>
            </w:r>
            <w:r w:rsidR="00103FA9">
              <w:t xml:space="preserve">vhodnou </w:t>
            </w:r>
            <w:r w:rsidR="004256F0">
              <w:t>Národní databáz</w:t>
            </w:r>
            <w:r>
              <w:t>i</w:t>
            </w:r>
            <w:r w:rsidR="004256F0">
              <w:t xml:space="preserve"> </w:t>
            </w:r>
            <w:proofErr w:type="spellStart"/>
            <w:r w:rsidR="004256F0">
              <w:t>brownfieldů</w:t>
            </w:r>
            <w:proofErr w:type="spellEnd"/>
            <w:r w:rsidR="004256F0">
              <w:t>, kterou</w:t>
            </w:r>
            <w:r w:rsidR="00A714D9">
              <w:t xml:space="preserve"> spravuje</w:t>
            </w:r>
            <w:r w:rsidR="004256F0">
              <w:t xml:space="preserve"> </w:t>
            </w:r>
            <w:r w:rsidR="0027710F">
              <w:t xml:space="preserve">státní </w:t>
            </w:r>
            <w:r w:rsidR="00A714D9">
              <w:t xml:space="preserve">Agentura pro podporu podnikání a investic </w:t>
            </w:r>
            <w:proofErr w:type="spellStart"/>
            <w:r w:rsidR="00A714D9">
              <w:t>CzechInvest</w:t>
            </w:r>
            <w:proofErr w:type="spellEnd"/>
            <w:r w:rsidR="00A714D9">
              <w:t xml:space="preserve">. OP PIK by se </w:t>
            </w:r>
            <w:r w:rsidR="00127B3C">
              <w:t xml:space="preserve">mohl stát </w:t>
            </w:r>
            <w:r w:rsidR="00A714D9">
              <w:t>jedním z nástrojů systémového</w:t>
            </w:r>
            <w:r>
              <w:t xml:space="preserve"> řešení problematiky </w:t>
            </w:r>
            <w:proofErr w:type="spellStart"/>
            <w:r>
              <w:t>brownfieldů</w:t>
            </w:r>
            <w:proofErr w:type="spellEnd"/>
            <w:r w:rsidR="00A714D9">
              <w:t xml:space="preserve"> v ČR.</w:t>
            </w:r>
            <w:r w:rsidR="00812E6E">
              <w:t xml:space="preserve"> </w:t>
            </w:r>
          </w:p>
          <w:p w:rsidR="001B63F5" w:rsidRPr="009F6351" w:rsidRDefault="001B63F5" w:rsidP="001B63F5">
            <w:pPr>
              <w:rPr>
                <w:rFonts w:cs="Tahoma"/>
                <w:b/>
                <w:i/>
                <w:szCs w:val="20"/>
              </w:rPr>
            </w:pPr>
            <w:r>
              <w:t xml:space="preserve">V souvislosti s tím hodnotitel doporučuje, aby v textu operačního programu bylo více zdůrazněno, že tento SC bude zaměřen zejména/převážně na regenerace </w:t>
            </w:r>
            <w:proofErr w:type="spellStart"/>
            <w:r>
              <w:t>brownfieldů</w:t>
            </w:r>
            <w:proofErr w:type="spellEnd"/>
            <w:r>
              <w:t xml:space="preserve"> pro následné ekonomické využití. Aktivita „</w:t>
            </w:r>
            <w:r w:rsidRPr="0027710F">
              <w:rPr>
                <w:i/>
              </w:rPr>
              <w:t>Modernizace výrobních provozů a rekonstrukce stávající zastaralé infrastruktury</w:t>
            </w:r>
            <w:r>
              <w:t>“ by měla být spíše doplňková.</w:t>
            </w:r>
          </w:p>
        </w:tc>
      </w:tr>
      <w:tr w:rsidR="00501239" w:rsidRPr="006B7179" w:rsidTr="00C6150E">
        <w:tc>
          <w:tcPr>
            <w:tcW w:w="578" w:type="dxa"/>
          </w:tcPr>
          <w:p w:rsidR="00501239" w:rsidRDefault="00F059FC" w:rsidP="00407A43">
            <w:pPr>
              <w:spacing w:after="120"/>
              <w:jc w:val="center"/>
              <w:rPr>
                <w:rFonts w:cs="Tahoma"/>
                <w:szCs w:val="20"/>
              </w:rPr>
            </w:pPr>
            <w:r>
              <w:rPr>
                <w:rFonts w:cs="Tahoma"/>
                <w:szCs w:val="20"/>
              </w:rPr>
              <w:lastRenderedPageBreak/>
              <w:t>8</w:t>
            </w:r>
          </w:p>
        </w:tc>
        <w:tc>
          <w:tcPr>
            <w:tcW w:w="8744" w:type="dxa"/>
          </w:tcPr>
          <w:p w:rsidR="00501239" w:rsidRDefault="00501239" w:rsidP="00493981">
            <w:pPr>
              <w:spacing w:after="120"/>
              <w:rPr>
                <w:rFonts w:cs="Tahoma"/>
                <w:b/>
                <w:i/>
                <w:szCs w:val="20"/>
              </w:rPr>
            </w:pPr>
            <w:r>
              <w:rPr>
                <w:rFonts w:cs="Tahoma"/>
                <w:b/>
                <w:i/>
                <w:szCs w:val="20"/>
              </w:rPr>
              <w:t>Specifický cíl 2.4 „Zkvalitnit infrastrukturu pro rozvoj lidských zdrojů v podnikatelském sektoru MSP s důrazem na technické odborné vzdělávání</w:t>
            </w:r>
            <w:r w:rsidR="00B16B95">
              <w:rPr>
                <w:rFonts w:cs="Tahoma"/>
                <w:b/>
                <w:i/>
                <w:szCs w:val="20"/>
              </w:rPr>
              <w:t>“</w:t>
            </w:r>
          </w:p>
          <w:p w:rsidR="004256F0" w:rsidRPr="001B63F5" w:rsidRDefault="00501239" w:rsidP="00461D98">
            <w:r>
              <w:t xml:space="preserve">Klíčovou slabinu tohoto SC vnímá hodnotitel zejména v nedostatečné analytické opoře, </w:t>
            </w:r>
            <w:r w:rsidR="00B16B95">
              <w:t xml:space="preserve">kdy není </w:t>
            </w:r>
            <w:r>
              <w:t>mož</w:t>
            </w:r>
            <w:r w:rsidR="00B16B95">
              <w:t>né</w:t>
            </w:r>
            <w:r w:rsidR="001F0E81">
              <w:t xml:space="preserve"> </w:t>
            </w:r>
            <w:r w:rsidR="001B63F5">
              <w:t xml:space="preserve">– především v důsledku absence „tvrdých“ dat - dostatečně </w:t>
            </w:r>
            <w:r>
              <w:t>posoudit rozsah a závažnost problému</w:t>
            </w:r>
            <w:r w:rsidR="00111D2F">
              <w:t xml:space="preserve"> identifikovaného zpracovatelem programu</w:t>
            </w:r>
            <w:r w:rsidR="00B16B95">
              <w:t>, tj. nedostat</w:t>
            </w:r>
            <w:r w:rsidR="0040502C">
              <w:t>ečných</w:t>
            </w:r>
            <w:r>
              <w:t xml:space="preserve"> kapacit pro rozvoj zaměstnanců. </w:t>
            </w:r>
            <w:r w:rsidR="004256F0">
              <w:t>Intervenční logik</w:t>
            </w:r>
            <w:r w:rsidR="00127B3C">
              <w:t>a SC</w:t>
            </w:r>
            <w:r w:rsidR="004256F0">
              <w:t xml:space="preserve"> je</w:t>
            </w:r>
            <w:r w:rsidR="00111D2F">
              <w:t xml:space="preserve"> i</w:t>
            </w:r>
            <w:r w:rsidR="004256F0">
              <w:t xml:space="preserve"> díky tomu celkově málo </w:t>
            </w:r>
            <w:r w:rsidR="004256F0" w:rsidRPr="00461D98">
              <w:t>propracovan</w:t>
            </w:r>
            <w:r w:rsidR="009E5BE4" w:rsidRPr="009E5BE4">
              <w:t>á. Dle vyjád</w:t>
            </w:r>
            <w:r w:rsidR="009E5BE4" w:rsidRPr="009E5BE4">
              <w:rPr>
                <w:rFonts w:hint="eastAsia"/>
              </w:rPr>
              <w:t>ř</w:t>
            </w:r>
            <w:r w:rsidR="009E5BE4" w:rsidRPr="009E5BE4">
              <w:t>ení zadavatele bude upravena definice specifického cíle ve vazb</w:t>
            </w:r>
            <w:r w:rsidR="009E5BE4" w:rsidRPr="009E5BE4">
              <w:rPr>
                <w:rFonts w:hint="eastAsia"/>
              </w:rPr>
              <w:t>ě</w:t>
            </w:r>
            <w:r w:rsidR="009E5BE4" w:rsidRPr="009E5BE4">
              <w:t xml:space="preserve"> na výsledkový indikátor.</w:t>
            </w:r>
            <w:r w:rsidR="00D71732">
              <w:t xml:space="preserve">  </w:t>
            </w:r>
          </w:p>
        </w:tc>
      </w:tr>
    </w:tbl>
    <w:p w:rsidR="009659B1" w:rsidRDefault="009659B1" w:rsidP="003B233D">
      <w:pPr>
        <w:tabs>
          <w:tab w:val="num" w:pos="720"/>
        </w:tabs>
        <w:spacing w:after="120"/>
        <w:rPr>
          <w:u w:val="single"/>
        </w:rPr>
      </w:pPr>
    </w:p>
    <w:p w:rsidR="00333765" w:rsidRPr="00133FE0" w:rsidRDefault="00333765" w:rsidP="00C6279B">
      <w:pPr>
        <w:pStyle w:val="Odstavecseseznamem"/>
        <w:numPr>
          <w:ilvl w:val="0"/>
          <w:numId w:val="8"/>
        </w:numPr>
        <w:spacing w:after="120"/>
        <w:jc w:val="both"/>
        <w:rPr>
          <w:rFonts w:ascii="Tahoma" w:hAnsi="Tahoma" w:cs="Tahoma"/>
          <w:b/>
          <w:sz w:val="20"/>
          <w:szCs w:val="20"/>
        </w:rPr>
      </w:pPr>
      <w:r w:rsidRPr="00133FE0">
        <w:rPr>
          <w:rFonts w:ascii="Tahoma" w:hAnsi="Tahoma" w:cs="Tahoma"/>
          <w:b/>
          <w:sz w:val="20"/>
          <w:szCs w:val="20"/>
        </w:rPr>
        <w:t>k Prioritní ose 3 „Účinné nakládání energií, rozvoj energetické infrastruktury a obnovitelných zdrojů energie, podpora zavádění nových technologií v oblasti nakládání s energií a druhotných surovin“:</w:t>
      </w:r>
    </w:p>
    <w:tbl>
      <w:tblPr>
        <w:tblStyle w:val="Mkatabulky"/>
        <w:tblW w:w="9322" w:type="dxa"/>
        <w:tblLook w:val="04A0"/>
      </w:tblPr>
      <w:tblGrid>
        <w:gridCol w:w="534"/>
        <w:gridCol w:w="8788"/>
      </w:tblGrid>
      <w:tr w:rsidR="00501239" w:rsidRPr="007A62AF" w:rsidTr="00301F6A">
        <w:tc>
          <w:tcPr>
            <w:tcW w:w="534" w:type="dxa"/>
          </w:tcPr>
          <w:p w:rsidR="00501239" w:rsidRPr="006B7179" w:rsidRDefault="00F059FC" w:rsidP="00501239">
            <w:pPr>
              <w:spacing w:after="120"/>
              <w:jc w:val="center"/>
              <w:rPr>
                <w:rFonts w:cs="Tahoma"/>
                <w:szCs w:val="20"/>
              </w:rPr>
            </w:pPr>
            <w:r>
              <w:rPr>
                <w:rFonts w:cs="Tahoma"/>
                <w:szCs w:val="20"/>
              </w:rPr>
              <w:t>9</w:t>
            </w:r>
          </w:p>
        </w:tc>
        <w:tc>
          <w:tcPr>
            <w:tcW w:w="8788" w:type="dxa"/>
          </w:tcPr>
          <w:p w:rsidR="00501239" w:rsidRPr="006B7179" w:rsidRDefault="00812E6E" w:rsidP="00812E6E">
            <w:pPr>
              <w:spacing w:after="120"/>
              <w:rPr>
                <w:rFonts w:cs="Tahoma"/>
                <w:szCs w:val="20"/>
              </w:rPr>
            </w:pPr>
            <w:r>
              <w:rPr>
                <w:rFonts w:cs="Tahoma"/>
                <w:szCs w:val="20"/>
              </w:rPr>
              <w:t>Z formálního hlediska doporučuje hodnotitel zkrátit n</w:t>
            </w:r>
            <w:r w:rsidR="00501239">
              <w:rPr>
                <w:rFonts w:cs="Tahoma"/>
                <w:szCs w:val="20"/>
              </w:rPr>
              <w:t>ázev prioritní osy.</w:t>
            </w:r>
          </w:p>
        </w:tc>
      </w:tr>
      <w:tr w:rsidR="00501239" w:rsidRPr="007A62AF" w:rsidTr="00301F6A">
        <w:tc>
          <w:tcPr>
            <w:tcW w:w="534" w:type="dxa"/>
          </w:tcPr>
          <w:p w:rsidR="00501239" w:rsidRPr="006B7179" w:rsidRDefault="00F059FC" w:rsidP="00501239">
            <w:pPr>
              <w:spacing w:after="120"/>
              <w:jc w:val="center"/>
              <w:rPr>
                <w:rFonts w:cs="Tahoma"/>
                <w:szCs w:val="20"/>
              </w:rPr>
            </w:pPr>
            <w:r>
              <w:rPr>
                <w:rFonts w:cs="Tahoma"/>
                <w:szCs w:val="20"/>
              </w:rPr>
              <w:t>10</w:t>
            </w:r>
          </w:p>
        </w:tc>
        <w:tc>
          <w:tcPr>
            <w:tcW w:w="8788" w:type="dxa"/>
          </w:tcPr>
          <w:p w:rsidR="00501239" w:rsidRPr="006B7179" w:rsidRDefault="00501239" w:rsidP="001B63F5">
            <w:pPr>
              <w:spacing w:after="120"/>
              <w:rPr>
                <w:rFonts w:cs="Tahoma"/>
                <w:szCs w:val="20"/>
              </w:rPr>
            </w:pPr>
            <w:r w:rsidRPr="006B7179">
              <w:rPr>
                <w:rFonts w:cs="Tahoma"/>
                <w:szCs w:val="20"/>
              </w:rPr>
              <w:t xml:space="preserve">Obdobně jako u prioritních os 1 a 2 je doporučením hodnotitele </w:t>
            </w:r>
            <w:r w:rsidR="00C82749">
              <w:rPr>
                <w:rFonts w:cs="Tahoma"/>
                <w:szCs w:val="20"/>
              </w:rPr>
              <w:t>provést detailnější zhodnocení</w:t>
            </w:r>
            <w:r w:rsidRPr="006B7179">
              <w:rPr>
                <w:rFonts w:cs="Tahoma"/>
                <w:szCs w:val="20"/>
              </w:rPr>
              <w:t xml:space="preserve"> stávajícího programového období a </w:t>
            </w:r>
            <w:r w:rsidR="00C82749">
              <w:rPr>
                <w:rFonts w:cs="Tahoma"/>
                <w:szCs w:val="20"/>
              </w:rPr>
              <w:t xml:space="preserve">konkrétněji popsat </w:t>
            </w:r>
            <w:r w:rsidRPr="006B7179">
              <w:rPr>
                <w:rFonts w:cs="Tahoma"/>
                <w:szCs w:val="20"/>
              </w:rPr>
              <w:t>způsob využití</w:t>
            </w:r>
            <w:r w:rsidR="00C82749">
              <w:rPr>
                <w:rFonts w:cs="Tahoma"/>
                <w:szCs w:val="20"/>
              </w:rPr>
              <w:t xml:space="preserve"> zkušeností</w:t>
            </w:r>
            <w:r w:rsidRPr="006B7179">
              <w:rPr>
                <w:rFonts w:cs="Tahoma"/>
                <w:szCs w:val="20"/>
              </w:rPr>
              <w:t xml:space="preserve"> při koncipování prioritní osy 3 v OP PIK</w:t>
            </w:r>
            <w:r w:rsidR="001B63F5">
              <w:rPr>
                <w:rFonts w:cs="Tahoma"/>
                <w:szCs w:val="20"/>
              </w:rPr>
              <w:t>, což zpracovatel zřejmě</w:t>
            </w:r>
            <w:r w:rsidR="0027710F">
              <w:rPr>
                <w:rFonts w:cs="Tahoma"/>
                <w:szCs w:val="20"/>
              </w:rPr>
              <w:t xml:space="preserve"> v další fázi přípravy operačního programu</w:t>
            </w:r>
            <w:r w:rsidR="001B63F5">
              <w:rPr>
                <w:rFonts w:cs="Tahoma"/>
                <w:szCs w:val="20"/>
              </w:rPr>
              <w:t xml:space="preserve"> udělá prostřednictvím nepovinné přílohy č. 1</w:t>
            </w:r>
            <w:r w:rsidRPr="006B7179">
              <w:rPr>
                <w:rFonts w:cs="Tahoma"/>
                <w:szCs w:val="20"/>
              </w:rPr>
              <w:t xml:space="preserve">. </w:t>
            </w:r>
          </w:p>
        </w:tc>
      </w:tr>
      <w:tr w:rsidR="00501239" w:rsidRPr="006B7179" w:rsidTr="00301F6A">
        <w:tc>
          <w:tcPr>
            <w:tcW w:w="534" w:type="dxa"/>
          </w:tcPr>
          <w:p w:rsidR="00501239" w:rsidRPr="006B7179" w:rsidRDefault="00F059FC" w:rsidP="00501239">
            <w:pPr>
              <w:spacing w:after="120"/>
              <w:jc w:val="center"/>
              <w:rPr>
                <w:rFonts w:cs="Tahoma"/>
                <w:szCs w:val="20"/>
              </w:rPr>
            </w:pPr>
            <w:r>
              <w:rPr>
                <w:rFonts w:cs="Tahoma"/>
                <w:szCs w:val="20"/>
              </w:rPr>
              <w:t>11</w:t>
            </w:r>
          </w:p>
        </w:tc>
        <w:tc>
          <w:tcPr>
            <w:tcW w:w="8788" w:type="dxa"/>
          </w:tcPr>
          <w:p w:rsidR="00501239" w:rsidRPr="006B7179" w:rsidRDefault="00C82749" w:rsidP="00E26320">
            <w:pPr>
              <w:spacing w:after="120"/>
              <w:rPr>
                <w:rFonts w:cs="Tahoma"/>
                <w:szCs w:val="20"/>
              </w:rPr>
            </w:pPr>
            <w:r>
              <w:rPr>
                <w:rFonts w:cs="Tahoma"/>
                <w:szCs w:val="20"/>
              </w:rPr>
              <w:t xml:space="preserve">Obdobně jako v případě PO 1 a </w:t>
            </w:r>
            <w:r w:rsidR="0027710F">
              <w:rPr>
                <w:rFonts w:cs="Tahoma"/>
                <w:szCs w:val="20"/>
              </w:rPr>
              <w:t xml:space="preserve">PO </w:t>
            </w:r>
            <w:r>
              <w:rPr>
                <w:rFonts w:cs="Tahoma"/>
                <w:szCs w:val="20"/>
              </w:rPr>
              <w:t xml:space="preserve">2 </w:t>
            </w:r>
            <w:r w:rsidR="00111D2F">
              <w:rPr>
                <w:rFonts w:cs="Tahoma"/>
                <w:szCs w:val="20"/>
              </w:rPr>
              <w:t xml:space="preserve">postrádá hodnotitel </w:t>
            </w:r>
            <w:r>
              <w:rPr>
                <w:rFonts w:cs="Tahoma"/>
                <w:szCs w:val="20"/>
              </w:rPr>
              <w:t xml:space="preserve">i u popisu </w:t>
            </w:r>
            <w:r w:rsidR="00E26320">
              <w:rPr>
                <w:rFonts w:cs="Tahoma"/>
                <w:szCs w:val="20"/>
              </w:rPr>
              <w:t xml:space="preserve">jednotlivých </w:t>
            </w:r>
            <w:r>
              <w:rPr>
                <w:rFonts w:cs="Tahoma"/>
                <w:szCs w:val="20"/>
              </w:rPr>
              <w:t xml:space="preserve">specifických cílů PO 3 </w:t>
            </w:r>
            <w:r w:rsidR="00111D2F">
              <w:rPr>
                <w:rFonts w:cs="Tahoma"/>
                <w:szCs w:val="20"/>
              </w:rPr>
              <w:t>výčet</w:t>
            </w:r>
            <w:r w:rsidR="00501239" w:rsidRPr="006B7179">
              <w:rPr>
                <w:rFonts w:cs="Tahoma"/>
                <w:szCs w:val="20"/>
              </w:rPr>
              <w:t xml:space="preserve"> dalších </w:t>
            </w:r>
            <w:r w:rsidR="00E26320">
              <w:rPr>
                <w:rFonts w:cs="Tahoma"/>
                <w:szCs w:val="20"/>
              </w:rPr>
              <w:t xml:space="preserve">faktorů a </w:t>
            </w:r>
            <w:r w:rsidR="00501239" w:rsidRPr="006B7179">
              <w:rPr>
                <w:rFonts w:cs="Tahoma"/>
                <w:szCs w:val="20"/>
              </w:rPr>
              <w:t>opatření, která musí být realizována</w:t>
            </w:r>
            <w:r w:rsidR="00E26320">
              <w:rPr>
                <w:rFonts w:cs="Tahoma"/>
                <w:szCs w:val="20"/>
              </w:rPr>
              <w:t xml:space="preserve"> nad rámec OP PIK</w:t>
            </w:r>
            <w:r w:rsidR="00501239" w:rsidRPr="006B7179">
              <w:rPr>
                <w:rFonts w:cs="Tahoma"/>
                <w:szCs w:val="20"/>
              </w:rPr>
              <w:t>, aby</w:t>
            </w:r>
            <w:r>
              <w:rPr>
                <w:rFonts w:cs="Tahoma"/>
                <w:szCs w:val="20"/>
              </w:rPr>
              <w:t xml:space="preserve"> bylo</w:t>
            </w:r>
            <w:r w:rsidR="00501239" w:rsidRPr="006B7179">
              <w:rPr>
                <w:rFonts w:cs="Tahoma"/>
                <w:szCs w:val="20"/>
              </w:rPr>
              <w:t xml:space="preserve"> příslušných </w:t>
            </w:r>
            <w:r>
              <w:rPr>
                <w:rFonts w:cs="Tahoma"/>
                <w:szCs w:val="20"/>
              </w:rPr>
              <w:t>c</w:t>
            </w:r>
            <w:r w:rsidR="00501239" w:rsidRPr="006B7179">
              <w:rPr>
                <w:rFonts w:cs="Tahoma"/>
                <w:szCs w:val="20"/>
              </w:rPr>
              <w:t>ílů</w:t>
            </w:r>
            <w:r w:rsidR="00B40A00">
              <w:rPr>
                <w:rFonts w:cs="Tahoma"/>
                <w:szCs w:val="20"/>
              </w:rPr>
              <w:t>=</w:t>
            </w:r>
            <w:r>
              <w:rPr>
                <w:rFonts w:cs="Tahoma"/>
                <w:szCs w:val="20"/>
              </w:rPr>
              <w:t xml:space="preserve">požadovaných změn </w:t>
            </w:r>
            <w:r w:rsidR="00501239" w:rsidRPr="006B7179">
              <w:rPr>
                <w:rFonts w:cs="Tahoma"/>
                <w:szCs w:val="20"/>
              </w:rPr>
              <w:t xml:space="preserve">dosaženo. </w:t>
            </w:r>
          </w:p>
        </w:tc>
      </w:tr>
      <w:tr w:rsidR="00501239" w:rsidRPr="006B7179" w:rsidTr="00301F6A">
        <w:tc>
          <w:tcPr>
            <w:tcW w:w="534" w:type="dxa"/>
          </w:tcPr>
          <w:p w:rsidR="00501239" w:rsidRPr="006B7179" w:rsidRDefault="00F059FC" w:rsidP="00501239">
            <w:pPr>
              <w:tabs>
                <w:tab w:val="num" w:pos="720"/>
              </w:tabs>
              <w:spacing w:after="120"/>
              <w:jc w:val="center"/>
              <w:rPr>
                <w:rFonts w:cs="Tahoma"/>
                <w:szCs w:val="20"/>
              </w:rPr>
            </w:pPr>
            <w:r>
              <w:rPr>
                <w:rFonts w:cs="Tahoma"/>
                <w:szCs w:val="20"/>
              </w:rPr>
              <w:t>12</w:t>
            </w:r>
          </w:p>
        </w:tc>
        <w:tc>
          <w:tcPr>
            <w:tcW w:w="8788" w:type="dxa"/>
          </w:tcPr>
          <w:p w:rsidR="00501239" w:rsidRPr="006B7179" w:rsidRDefault="00501239" w:rsidP="00E26320">
            <w:pPr>
              <w:spacing w:after="120"/>
              <w:rPr>
                <w:rFonts w:cs="Tahoma"/>
                <w:szCs w:val="20"/>
              </w:rPr>
            </w:pPr>
            <w:r w:rsidRPr="006B7179">
              <w:rPr>
                <w:rFonts w:cs="Tahoma"/>
                <w:szCs w:val="20"/>
              </w:rPr>
              <w:t xml:space="preserve">Rovněž </w:t>
            </w:r>
            <w:r w:rsidR="00E26320">
              <w:rPr>
                <w:rFonts w:cs="Tahoma"/>
                <w:szCs w:val="20"/>
              </w:rPr>
              <w:t>by bylo</w:t>
            </w:r>
            <w:r w:rsidRPr="006B7179">
              <w:rPr>
                <w:rFonts w:cs="Tahoma"/>
                <w:szCs w:val="20"/>
              </w:rPr>
              <w:t xml:space="preserve"> </w:t>
            </w:r>
            <w:r w:rsidR="00C82749">
              <w:rPr>
                <w:rFonts w:cs="Tahoma"/>
                <w:szCs w:val="20"/>
              </w:rPr>
              <w:t>žádoucí</w:t>
            </w:r>
            <w:r w:rsidRPr="006B7179">
              <w:rPr>
                <w:rFonts w:cs="Tahoma"/>
                <w:szCs w:val="20"/>
              </w:rPr>
              <w:t xml:space="preserve"> doplnit vyjádření/popis vazeb výsledků specifických cílů PO 3 na hlavní výsledky </w:t>
            </w:r>
            <w:proofErr w:type="spellStart"/>
            <w:r w:rsidRPr="006B7179">
              <w:rPr>
                <w:rFonts w:cs="Tahoma"/>
                <w:szCs w:val="20"/>
              </w:rPr>
              <w:t>DoP.</w:t>
            </w:r>
            <w:proofErr w:type="spellEnd"/>
            <w:r w:rsidRPr="006B7179">
              <w:rPr>
                <w:rFonts w:cs="Tahoma"/>
                <w:szCs w:val="20"/>
              </w:rPr>
              <w:t xml:space="preserve"> </w:t>
            </w:r>
          </w:p>
        </w:tc>
      </w:tr>
      <w:tr w:rsidR="00501239" w:rsidRPr="006B7179" w:rsidTr="00301F6A">
        <w:tc>
          <w:tcPr>
            <w:tcW w:w="534" w:type="dxa"/>
          </w:tcPr>
          <w:p w:rsidR="00501239" w:rsidRPr="006B7179" w:rsidRDefault="00F059FC" w:rsidP="00501239">
            <w:pPr>
              <w:spacing w:after="120"/>
              <w:jc w:val="center"/>
              <w:rPr>
                <w:rFonts w:cs="Tahoma"/>
                <w:szCs w:val="20"/>
              </w:rPr>
            </w:pPr>
            <w:r>
              <w:rPr>
                <w:rFonts w:cs="Tahoma"/>
                <w:szCs w:val="20"/>
              </w:rPr>
              <w:t>13</w:t>
            </w:r>
          </w:p>
        </w:tc>
        <w:tc>
          <w:tcPr>
            <w:tcW w:w="8788" w:type="dxa"/>
          </w:tcPr>
          <w:p w:rsidR="00501239" w:rsidRPr="00801A43" w:rsidRDefault="00501239" w:rsidP="009421E8">
            <w:pPr>
              <w:spacing w:after="120"/>
              <w:rPr>
                <w:rFonts w:cs="Tahoma"/>
                <w:b/>
                <w:i/>
                <w:szCs w:val="20"/>
              </w:rPr>
            </w:pPr>
            <w:r w:rsidRPr="00801A43">
              <w:rPr>
                <w:rFonts w:cs="Tahoma"/>
                <w:b/>
                <w:i/>
                <w:szCs w:val="20"/>
              </w:rPr>
              <w:t>Specifický cíl 3.3 „</w:t>
            </w:r>
            <w:r w:rsidR="004B2B7A">
              <w:rPr>
                <w:rFonts w:cs="Tahoma"/>
                <w:b/>
                <w:i/>
                <w:szCs w:val="20"/>
              </w:rPr>
              <w:t>Zvýšit aplikaci prvků inteligentních sítí v distribučních soustavách</w:t>
            </w:r>
            <w:r w:rsidRPr="00801A43">
              <w:rPr>
                <w:rFonts w:cs="Tahoma"/>
                <w:b/>
                <w:i/>
                <w:szCs w:val="20"/>
              </w:rPr>
              <w:t>“</w:t>
            </w:r>
          </w:p>
          <w:p w:rsidR="00501239" w:rsidRPr="006B7179" w:rsidRDefault="004B2B7A" w:rsidP="00127B3C">
            <w:pPr>
              <w:spacing w:after="120"/>
              <w:rPr>
                <w:rFonts w:cs="Tahoma"/>
                <w:szCs w:val="20"/>
              </w:rPr>
            </w:pPr>
            <w:r>
              <w:rPr>
                <w:rFonts w:cs="Tahoma"/>
                <w:szCs w:val="20"/>
              </w:rPr>
              <w:t xml:space="preserve">Hodnotitel se domnívá, že specifický cíl není </w:t>
            </w:r>
            <w:r w:rsidR="00DB7F4B">
              <w:rPr>
                <w:rFonts w:cs="Tahoma"/>
                <w:szCs w:val="20"/>
              </w:rPr>
              <w:t>příliš</w:t>
            </w:r>
            <w:r>
              <w:rPr>
                <w:rFonts w:cs="Tahoma"/>
                <w:szCs w:val="20"/>
              </w:rPr>
              <w:t xml:space="preserve"> vhodně formulovaný. Aplikace prvků inteligentních sítí vidí spíše jako prostředek k dosažení cíle, kterým by</w:t>
            </w:r>
            <w:r w:rsidR="00127B3C">
              <w:rPr>
                <w:rFonts w:cs="Tahoma"/>
                <w:szCs w:val="20"/>
              </w:rPr>
              <w:t xml:space="preserve"> (zřejmě?)</w:t>
            </w:r>
            <w:r>
              <w:rPr>
                <w:rFonts w:cs="Tahoma"/>
                <w:szCs w:val="20"/>
              </w:rPr>
              <w:t xml:space="preserve"> mělo být</w:t>
            </w:r>
            <w:r w:rsidR="00DB7F4B">
              <w:rPr>
                <w:rFonts w:cs="Tahoma"/>
                <w:szCs w:val="20"/>
              </w:rPr>
              <w:t xml:space="preserve"> </w:t>
            </w:r>
            <w:r>
              <w:rPr>
                <w:rFonts w:cs="Tahoma"/>
                <w:szCs w:val="20"/>
              </w:rPr>
              <w:t>zvýšení spolehlivosti, bezpečnosti a udržitelnosti dodávek elektřiny z distribučních soustav.</w:t>
            </w:r>
            <w:r w:rsidR="00E26320">
              <w:rPr>
                <w:rFonts w:cs="Tahoma"/>
                <w:szCs w:val="20"/>
              </w:rPr>
              <w:t xml:space="preserve"> Hodnotitel doporučuje úpravu názvu SC.</w:t>
            </w:r>
          </w:p>
        </w:tc>
      </w:tr>
      <w:tr w:rsidR="00501239" w:rsidRPr="006B7179" w:rsidTr="00301F6A">
        <w:tc>
          <w:tcPr>
            <w:tcW w:w="534" w:type="dxa"/>
          </w:tcPr>
          <w:p w:rsidR="00501239" w:rsidRPr="006B7179" w:rsidRDefault="00F059FC" w:rsidP="00501239">
            <w:pPr>
              <w:spacing w:after="120"/>
              <w:jc w:val="center"/>
              <w:rPr>
                <w:rFonts w:cs="Tahoma"/>
                <w:szCs w:val="20"/>
              </w:rPr>
            </w:pPr>
            <w:r>
              <w:rPr>
                <w:rFonts w:cs="Tahoma"/>
                <w:szCs w:val="20"/>
              </w:rPr>
              <w:t>14</w:t>
            </w:r>
          </w:p>
        </w:tc>
        <w:tc>
          <w:tcPr>
            <w:tcW w:w="8788" w:type="dxa"/>
          </w:tcPr>
          <w:p w:rsidR="00501239" w:rsidRPr="00801A43" w:rsidRDefault="00501239" w:rsidP="00B40B36">
            <w:pPr>
              <w:spacing w:after="120"/>
              <w:rPr>
                <w:rFonts w:cs="Tahoma"/>
                <w:b/>
                <w:i/>
                <w:szCs w:val="20"/>
              </w:rPr>
            </w:pPr>
            <w:r w:rsidRPr="00801A43">
              <w:rPr>
                <w:rFonts w:cs="Tahoma"/>
                <w:b/>
                <w:i/>
                <w:szCs w:val="20"/>
              </w:rPr>
              <w:t xml:space="preserve">Specifický cíl 3.4 „Uplatnit ve větší míře nízkouhlíkové technologie v oblasti nakládání s energií a </w:t>
            </w:r>
            <w:r w:rsidR="002A7B5E">
              <w:rPr>
                <w:rFonts w:cs="Tahoma"/>
                <w:b/>
                <w:i/>
                <w:szCs w:val="20"/>
              </w:rPr>
              <w:t xml:space="preserve">při </w:t>
            </w:r>
            <w:r w:rsidRPr="00801A43">
              <w:rPr>
                <w:rFonts w:cs="Tahoma"/>
                <w:b/>
                <w:i/>
                <w:szCs w:val="20"/>
              </w:rPr>
              <w:t>využívání druhotných surovin“</w:t>
            </w:r>
          </w:p>
          <w:p w:rsidR="00501239" w:rsidRPr="006B7179" w:rsidRDefault="002A7B5E" w:rsidP="00E83E3E">
            <w:pPr>
              <w:spacing w:after="120"/>
              <w:rPr>
                <w:rFonts w:cs="Tahoma"/>
                <w:szCs w:val="20"/>
              </w:rPr>
            </w:pPr>
            <w:r>
              <w:rPr>
                <w:rFonts w:cs="Tahoma"/>
                <w:szCs w:val="20"/>
              </w:rPr>
              <w:t>Hodnotitel se domnívá, že tento specifický cíl je příliš široce pojatý a „ambiciózní“ z </w:t>
            </w:r>
            <w:r w:rsidR="00DB7F4B">
              <w:rPr>
                <w:rFonts w:cs="Tahoma"/>
                <w:szCs w:val="20"/>
              </w:rPr>
              <w:t>pohledu</w:t>
            </w:r>
            <w:r>
              <w:rPr>
                <w:rFonts w:cs="Tahoma"/>
                <w:szCs w:val="20"/>
              </w:rPr>
              <w:t xml:space="preserve"> očekávaných výsledků. </w:t>
            </w:r>
            <w:r w:rsidR="00DB7F4B">
              <w:rPr>
                <w:rFonts w:cs="Tahoma"/>
                <w:szCs w:val="20"/>
              </w:rPr>
              <w:t xml:space="preserve">Rovněž spektrum podporovaných opatření je velice široké a </w:t>
            </w:r>
            <w:r w:rsidR="00111D2F">
              <w:rPr>
                <w:rFonts w:cs="Tahoma"/>
                <w:szCs w:val="20"/>
              </w:rPr>
              <w:t xml:space="preserve">vnitřně </w:t>
            </w:r>
            <w:r w:rsidR="00DB7F4B">
              <w:rPr>
                <w:rFonts w:cs="Tahoma"/>
                <w:szCs w:val="20"/>
              </w:rPr>
              <w:t xml:space="preserve">nekoherentní. </w:t>
            </w:r>
            <w:r>
              <w:rPr>
                <w:rFonts w:cs="Tahoma"/>
                <w:szCs w:val="20"/>
              </w:rPr>
              <w:t xml:space="preserve">Hodnotitel má pochybnost </w:t>
            </w:r>
            <w:r w:rsidR="00DB7F4B">
              <w:rPr>
                <w:rFonts w:cs="Tahoma"/>
                <w:szCs w:val="20"/>
              </w:rPr>
              <w:t xml:space="preserve">o </w:t>
            </w:r>
            <w:r>
              <w:rPr>
                <w:rFonts w:cs="Tahoma"/>
                <w:szCs w:val="20"/>
              </w:rPr>
              <w:t>efekt</w:t>
            </w:r>
            <w:r w:rsidR="00DB7F4B">
              <w:rPr>
                <w:rFonts w:cs="Tahoma"/>
                <w:szCs w:val="20"/>
              </w:rPr>
              <w:t>ivnosti takto pojatého SC</w:t>
            </w:r>
            <w:r w:rsidR="00111D2F">
              <w:rPr>
                <w:rFonts w:cs="Tahoma"/>
                <w:szCs w:val="20"/>
              </w:rPr>
              <w:t xml:space="preserve">, mj. </w:t>
            </w:r>
            <w:r>
              <w:rPr>
                <w:rFonts w:cs="Tahoma"/>
                <w:szCs w:val="20"/>
              </w:rPr>
              <w:t>i s ohledem na relativně nízkou plánovanou finanční alokaci</w:t>
            </w:r>
            <w:r w:rsidR="00111D2F">
              <w:rPr>
                <w:rFonts w:cs="Tahoma"/>
                <w:szCs w:val="20"/>
              </w:rPr>
              <w:t xml:space="preserve">. </w:t>
            </w:r>
            <w:r w:rsidR="00C03DCD">
              <w:rPr>
                <w:rFonts w:cs="Tahoma"/>
                <w:szCs w:val="20"/>
              </w:rPr>
              <w:t xml:space="preserve">Není také jasná vazba výsledků tohoto SC na hlavní výsledky </w:t>
            </w:r>
            <w:proofErr w:type="spellStart"/>
            <w:r w:rsidR="00C03DCD">
              <w:rPr>
                <w:rFonts w:cs="Tahoma"/>
                <w:szCs w:val="20"/>
              </w:rPr>
              <w:t>DoP.</w:t>
            </w:r>
            <w:proofErr w:type="spellEnd"/>
          </w:p>
        </w:tc>
      </w:tr>
    </w:tbl>
    <w:p w:rsidR="009659B1" w:rsidRDefault="009659B1" w:rsidP="003B233D">
      <w:pPr>
        <w:tabs>
          <w:tab w:val="num" w:pos="720"/>
        </w:tabs>
        <w:spacing w:after="120"/>
        <w:rPr>
          <w:u w:val="single"/>
        </w:rPr>
      </w:pPr>
    </w:p>
    <w:p w:rsidR="00B40B36" w:rsidRPr="00801A43" w:rsidRDefault="00B40B36" w:rsidP="00C6279B">
      <w:pPr>
        <w:pStyle w:val="Odstavecseseznamem"/>
        <w:numPr>
          <w:ilvl w:val="0"/>
          <w:numId w:val="8"/>
        </w:numPr>
        <w:spacing w:after="120"/>
        <w:jc w:val="both"/>
        <w:rPr>
          <w:rFonts w:ascii="Tahoma" w:hAnsi="Tahoma" w:cs="Tahoma"/>
          <w:b/>
          <w:sz w:val="20"/>
          <w:szCs w:val="20"/>
        </w:rPr>
      </w:pPr>
      <w:r w:rsidRPr="00801A43">
        <w:rPr>
          <w:rFonts w:ascii="Tahoma" w:hAnsi="Tahoma" w:cs="Tahoma"/>
          <w:b/>
          <w:sz w:val="20"/>
          <w:szCs w:val="20"/>
        </w:rPr>
        <w:t>k Prioritní ose 4 „</w:t>
      </w:r>
      <w:r w:rsidR="0046208A" w:rsidRPr="00801A43">
        <w:rPr>
          <w:rFonts w:ascii="Tahoma" w:hAnsi="Tahoma" w:cs="Tahoma"/>
          <w:b/>
          <w:sz w:val="20"/>
          <w:szCs w:val="20"/>
        </w:rPr>
        <w:t>Rozvoj vysokorychlostních přístupových sítí k internetu a informačních a komunikačních technologií“</w:t>
      </w:r>
    </w:p>
    <w:tbl>
      <w:tblPr>
        <w:tblStyle w:val="Mkatabulky"/>
        <w:tblW w:w="9322" w:type="dxa"/>
        <w:tblLook w:val="04A0"/>
      </w:tblPr>
      <w:tblGrid>
        <w:gridCol w:w="534"/>
        <w:gridCol w:w="8788"/>
      </w:tblGrid>
      <w:tr w:rsidR="006B7179" w:rsidRPr="006B7179" w:rsidTr="00CB2CC9">
        <w:tc>
          <w:tcPr>
            <w:tcW w:w="534" w:type="dxa"/>
          </w:tcPr>
          <w:p w:rsidR="006B7179" w:rsidRPr="006B7179" w:rsidRDefault="00F059FC" w:rsidP="007C77FF">
            <w:pPr>
              <w:spacing w:after="120"/>
              <w:jc w:val="center"/>
              <w:rPr>
                <w:rFonts w:cs="Tahoma"/>
                <w:szCs w:val="20"/>
              </w:rPr>
            </w:pPr>
            <w:r>
              <w:rPr>
                <w:rFonts w:cs="Tahoma"/>
                <w:szCs w:val="20"/>
              </w:rPr>
              <w:t>15</w:t>
            </w:r>
          </w:p>
        </w:tc>
        <w:tc>
          <w:tcPr>
            <w:tcW w:w="8788" w:type="dxa"/>
          </w:tcPr>
          <w:p w:rsidR="006B7179" w:rsidRPr="006B7179" w:rsidRDefault="00CD782D" w:rsidP="00E26320">
            <w:pPr>
              <w:spacing w:after="120"/>
              <w:rPr>
                <w:rFonts w:cs="Tahoma"/>
                <w:szCs w:val="20"/>
              </w:rPr>
            </w:pPr>
            <w:r>
              <w:rPr>
                <w:rFonts w:cs="Tahoma"/>
                <w:szCs w:val="20"/>
              </w:rPr>
              <w:t xml:space="preserve">V obou SC </w:t>
            </w:r>
            <w:r w:rsidR="00111D2F">
              <w:rPr>
                <w:rFonts w:cs="Tahoma"/>
                <w:szCs w:val="20"/>
              </w:rPr>
              <w:t xml:space="preserve">této prioritní osy </w:t>
            </w:r>
            <w:r>
              <w:rPr>
                <w:rFonts w:cs="Tahoma"/>
                <w:szCs w:val="20"/>
              </w:rPr>
              <w:t>j</w:t>
            </w:r>
            <w:r w:rsidR="003E5007">
              <w:rPr>
                <w:rFonts w:cs="Tahoma"/>
                <w:szCs w:val="20"/>
              </w:rPr>
              <w:t>e potřeba doplnit</w:t>
            </w:r>
            <w:r w:rsidR="006B7179" w:rsidRPr="006B7179">
              <w:rPr>
                <w:rFonts w:cs="Tahoma"/>
                <w:szCs w:val="20"/>
              </w:rPr>
              <w:t xml:space="preserve"> popisy dalších </w:t>
            </w:r>
            <w:r w:rsidR="00E26320">
              <w:rPr>
                <w:rFonts w:cs="Tahoma"/>
                <w:szCs w:val="20"/>
              </w:rPr>
              <w:t xml:space="preserve">faktorů a </w:t>
            </w:r>
            <w:r w:rsidR="006B7179" w:rsidRPr="006B7179">
              <w:rPr>
                <w:rFonts w:cs="Tahoma"/>
                <w:szCs w:val="20"/>
              </w:rPr>
              <w:t>opatření, která musí být realizována, aby příslušných specifických cílů bylo dosaženo.</w:t>
            </w:r>
            <w:r>
              <w:rPr>
                <w:rFonts w:cs="Tahoma"/>
                <w:szCs w:val="20"/>
              </w:rPr>
              <w:t xml:space="preserve"> </w:t>
            </w:r>
          </w:p>
        </w:tc>
      </w:tr>
      <w:tr w:rsidR="006B7179" w:rsidRPr="006B7179" w:rsidTr="00CB2CC9">
        <w:tc>
          <w:tcPr>
            <w:tcW w:w="534" w:type="dxa"/>
          </w:tcPr>
          <w:p w:rsidR="006B7179" w:rsidRPr="006B7179" w:rsidRDefault="00F059FC" w:rsidP="007C77FF">
            <w:pPr>
              <w:spacing w:after="120"/>
              <w:jc w:val="center"/>
              <w:rPr>
                <w:rFonts w:cs="Tahoma"/>
                <w:szCs w:val="20"/>
              </w:rPr>
            </w:pPr>
            <w:r>
              <w:rPr>
                <w:rFonts w:cs="Tahoma"/>
                <w:szCs w:val="20"/>
              </w:rPr>
              <w:t>16</w:t>
            </w:r>
          </w:p>
        </w:tc>
        <w:tc>
          <w:tcPr>
            <w:tcW w:w="8788" w:type="dxa"/>
          </w:tcPr>
          <w:p w:rsidR="006B7179" w:rsidRPr="006B7179" w:rsidRDefault="006B7179" w:rsidP="00CD782D">
            <w:pPr>
              <w:spacing w:after="120"/>
              <w:rPr>
                <w:rFonts w:cs="Tahoma"/>
                <w:szCs w:val="20"/>
              </w:rPr>
            </w:pPr>
            <w:r w:rsidRPr="006B7179">
              <w:rPr>
                <w:rFonts w:cs="Tahoma"/>
                <w:szCs w:val="20"/>
              </w:rPr>
              <w:t xml:space="preserve">Rovněž je </w:t>
            </w:r>
            <w:r w:rsidR="00CD782D">
              <w:rPr>
                <w:rFonts w:cs="Tahoma"/>
                <w:szCs w:val="20"/>
              </w:rPr>
              <w:t>vhodné</w:t>
            </w:r>
            <w:r w:rsidRPr="006B7179">
              <w:rPr>
                <w:rFonts w:cs="Tahoma"/>
                <w:szCs w:val="20"/>
              </w:rPr>
              <w:t xml:space="preserve"> doplnit vyjádření/popis vazeb výsledků specifických cílů PO </w:t>
            </w:r>
            <w:r w:rsidR="000E307E">
              <w:rPr>
                <w:rFonts w:cs="Tahoma"/>
                <w:szCs w:val="20"/>
              </w:rPr>
              <w:t>4</w:t>
            </w:r>
            <w:r w:rsidRPr="006B7179">
              <w:rPr>
                <w:rFonts w:cs="Tahoma"/>
                <w:szCs w:val="20"/>
              </w:rPr>
              <w:t xml:space="preserve"> na hlavní </w:t>
            </w:r>
            <w:r w:rsidRPr="006B7179">
              <w:rPr>
                <w:rFonts w:cs="Tahoma"/>
                <w:szCs w:val="20"/>
              </w:rPr>
              <w:lastRenderedPageBreak/>
              <w:t xml:space="preserve">výsledky </w:t>
            </w:r>
            <w:proofErr w:type="spellStart"/>
            <w:r w:rsidRPr="006B7179">
              <w:rPr>
                <w:rFonts w:cs="Tahoma"/>
                <w:szCs w:val="20"/>
              </w:rPr>
              <w:t>DoP.</w:t>
            </w:r>
            <w:proofErr w:type="spellEnd"/>
            <w:r w:rsidRPr="006B7179">
              <w:rPr>
                <w:rFonts w:cs="Tahoma"/>
                <w:szCs w:val="20"/>
              </w:rPr>
              <w:t xml:space="preserve"> </w:t>
            </w:r>
          </w:p>
        </w:tc>
      </w:tr>
      <w:tr w:rsidR="00CD782D" w:rsidTr="00301F6A">
        <w:tc>
          <w:tcPr>
            <w:tcW w:w="534" w:type="dxa"/>
          </w:tcPr>
          <w:p w:rsidR="00CD782D" w:rsidRPr="000E307E" w:rsidRDefault="00F059FC" w:rsidP="007C77FF">
            <w:pPr>
              <w:spacing w:after="120"/>
              <w:jc w:val="center"/>
              <w:rPr>
                <w:rFonts w:cs="Tahoma"/>
                <w:szCs w:val="20"/>
              </w:rPr>
            </w:pPr>
            <w:r>
              <w:rPr>
                <w:rFonts w:cs="Tahoma"/>
                <w:szCs w:val="20"/>
              </w:rPr>
              <w:lastRenderedPageBreak/>
              <w:t>17</w:t>
            </w:r>
          </w:p>
        </w:tc>
        <w:tc>
          <w:tcPr>
            <w:tcW w:w="8788" w:type="dxa"/>
          </w:tcPr>
          <w:p w:rsidR="00CD782D" w:rsidRDefault="00CD782D" w:rsidP="0046208A">
            <w:pPr>
              <w:spacing w:after="120"/>
              <w:rPr>
                <w:rFonts w:cs="Tahoma"/>
                <w:b/>
                <w:i/>
                <w:szCs w:val="20"/>
              </w:rPr>
            </w:pPr>
            <w:r>
              <w:rPr>
                <w:rFonts w:cs="Tahoma"/>
                <w:b/>
                <w:i/>
                <w:szCs w:val="20"/>
              </w:rPr>
              <w:t>Specifický cíl 4.1 „Zvětšit pokrytí vysokorychlostním přístupem k internetu</w:t>
            </w:r>
          </w:p>
          <w:p w:rsidR="00AB2940" w:rsidRDefault="00AB2940" w:rsidP="00E26320">
            <w:pPr>
              <w:spacing w:after="120"/>
              <w:rPr>
                <w:rFonts w:cs="Tahoma"/>
                <w:szCs w:val="20"/>
              </w:rPr>
            </w:pPr>
            <w:r>
              <w:rPr>
                <w:noProof/>
              </w:rPr>
              <w:t>Z</w:t>
            </w:r>
            <w:r w:rsidRPr="00C91471">
              <w:rPr>
                <w:noProof/>
              </w:rPr>
              <w:t>pracovatel zcela správně uvádí</w:t>
            </w:r>
            <w:r>
              <w:rPr>
                <w:noProof/>
              </w:rPr>
              <w:t xml:space="preserve"> (str. 110)</w:t>
            </w:r>
            <w:r w:rsidRPr="00C91471">
              <w:rPr>
                <w:noProof/>
              </w:rPr>
              <w:t>, že až 80</w:t>
            </w:r>
            <w:r>
              <w:rPr>
                <w:noProof/>
              </w:rPr>
              <w:t xml:space="preserve"> </w:t>
            </w:r>
            <w:r w:rsidRPr="00C91471">
              <w:rPr>
                <w:noProof/>
              </w:rPr>
              <w:t>% nákladů pro výstavbu sítí vysokorychlostného internetu tvoří přípravné</w:t>
            </w:r>
            <w:r>
              <w:rPr>
                <w:noProof/>
              </w:rPr>
              <w:t xml:space="preserve"> </w:t>
            </w:r>
            <w:r w:rsidR="00103FA9">
              <w:rPr>
                <w:noProof/>
              </w:rPr>
              <w:t xml:space="preserve">stavební </w:t>
            </w:r>
            <w:r w:rsidRPr="00C91471">
              <w:rPr>
                <w:noProof/>
              </w:rPr>
              <w:t xml:space="preserve">práce. </w:t>
            </w:r>
            <w:r>
              <w:rPr>
                <w:noProof/>
              </w:rPr>
              <w:t>Hodnotitel se domnívá, že z</w:t>
            </w:r>
            <w:r w:rsidRPr="00C91471">
              <w:rPr>
                <w:noProof/>
              </w:rPr>
              <w:t>ejména vypořádání věcného břemena je vysok</w:t>
            </w:r>
            <w:r>
              <w:rPr>
                <w:noProof/>
              </w:rPr>
              <w:t>ým rizikem, které</w:t>
            </w:r>
            <w:r w:rsidRPr="00C91471">
              <w:rPr>
                <w:noProof/>
              </w:rPr>
              <w:t xml:space="preserve"> zásadně ovlivňuje rozpočet i harmonogram</w:t>
            </w:r>
            <w:r>
              <w:rPr>
                <w:noProof/>
              </w:rPr>
              <w:t xml:space="preserve"> typového projektu</w:t>
            </w:r>
            <w:r w:rsidRPr="00C91471">
              <w:rPr>
                <w:noProof/>
              </w:rPr>
              <w:t xml:space="preserve">. </w:t>
            </w:r>
            <w:r>
              <w:rPr>
                <w:noProof/>
              </w:rPr>
              <w:t xml:space="preserve">Dle názoru hodnotitele je </w:t>
            </w:r>
            <w:r w:rsidRPr="00C91471">
              <w:rPr>
                <w:noProof/>
              </w:rPr>
              <w:t xml:space="preserve">tato skutečnost textech pouze zmíněna, ale není nijak </w:t>
            </w:r>
            <w:r>
              <w:rPr>
                <w:noProof/>
              </w:rPr>
              <w:t>„</w:t>
            </w:r>
            <w:r w:rsidRPr="00C91471">
              <w:rPr>
                <w:noProof/>
              </w:rPr>
              <w:t>ošetřena</w:t>
            </w:r>
            <w:r>
              <w:rPr>
                <w:noProof/>
              </w:rPr>
              <w:t>“</w:t>
            </w:r>
            <w:r w:rsidRPr="00C91471">
              <w:rPr>
                <w:noProof/>
              </w:rPr>
              <w:t xml:space="preserve">. V praxi </w:t>
            </w:r>
            <w:r>
              <w:rPr>
                <w:noProof/>
              </w:rPr>
              <w:t xml:space="preserve">se dají očekávat </w:t>
            </w:r>
            <w:r w:rsidRPr="00C91471">
              <w:rPr>
                <w:noProof/>
              </w:rPr>
              <w:t>v té</w:t>
            </w:r>
            <w:r>
              <w:rPr>
                <w:noProof/>
              </w:rPr>
              <w:t>t</w:t>
            </w:r>
            <w:r w:rsidRPr="00C91471">
              <w:rPr>
                <w:noProof/>
              </w:rPr>
              <w:t xml:space="preserve">o souvislosti velké problémy, </w:t>
            </w:r>
            <w:r>
              <w:rPr>
                <w:noProof/>
              </w:rPr>
              <w:t xml:space="preserve">kdy </w:t>
            </w:r>
            <w:r w:rsidRPr="00C91471">
              <w:rPr>
                <w:noProof/>
              </w:rPr>
              <w:t>mnoho žadatelů</w:t>
            </w:r>
            <w:r>
              <w:rPr>
                <w:noProof/>
              </w:rPr>
              <w:t>/</w:t>
            </w:r>
            <w:r w:rsidRPr="00C91471">
              <w:rPr>
                <w:noProof/>
              </w:rPr>
              <w:t>příjemců nebud</w:t>
            </w:r>
            <w:r>
              <w:rPr>
                <w:noProof/>
              </w:rPr>
              <w:t>e</w:t>
            </w:r>
            <w:r w:rsidRPr="00C91471">
              <w:rPr>
                <w:noProof/>
              </w:rPr>
              <w:t xml:space="preserve"> schopn</w:t>
            </w:r>
            <w:r>
              <w:rPr>
                <w:noProof/>
              </w:rPr>
              <w:t>o</w:t>
            </w:r>
            <w:r w:rsidRPr="00C91471">
              <w:rPr>
                <w:noProof/>
              </w:rPr>
              <w:t xml:space="preserve"> splnit podmínky programu (vejít se do rozpočtu a dodržet harmonogram) z důvodu neexistujících pravidel řešení věcného břemen</w:t>
            </w:r>
            <w:r>
              <w:rPr>
                <w:noProof/>
              </w:rPr>
              <w:t>e</w:t>
            </w:r>
            <w:r w:rsidRPr="00C91471">
              <w:rPr>
                <w:noProof/>
              </w:rPr>
              <w:t xml:space="preserve">. </w:t>
            </w:r>
            <w:r>
              <w:rPr>
                <w:noProof/>
              </w:rPr>
              <w:t>Proto by mělo být již dopředu j</w:t>
            </w:r>
            <w:r w:rsidRPr="00C91471">
              <w:rPr>
                <w:noProof/>
              </w:rPr>
              <w:t xml:space="preserve">asně </w:t>
            </w:r>
            <w:r>
              <w:rPr>
                <w:noProof/>
              </w:rPr>
              <w:t xml:space="preserve">stanoveno, </w:t>
            </w:r>
            <w:r w:rsidRPr="00C91471">
              <w:rPr>
                <w:noProof/>
              </w:rPr>
              <w:t>z</w:t>
            </w:r>
            <w:r>
              <w:rPr>
                <w:noProof/>
              </w:rPr>
              <w:t>d</w:t>
            </w:r>
            <w:r w:rsidRPr="00C91471">
              <w:rPr>
                <w:noProof/>
              </w:rPr>
              <w:t xml:space="preserve">a věcné břemeno </w:t>
            </w:r>
            <w:r>
              <w:rPr>
                <w:noProof/>
              </w:rPr>
              <w:t>bude</w:t>
            </w:r>
            <w:r w:rsidRPr="00C91471">
              <w:rPr>
                <w:noProof/>
              </w:rPr>
              <w:t xml:space="preserve"> nebo ne</w:t>
            </w:r>
            <w:r>
              <w:rPr>
                <w:noProof/>
              </w:rPr>
              <w:t>bude způsobilým výdajem</w:t>
            </w:r>
            <w:r w:rsidRPr="00C91471">
              <w:rPr>
                <w:noProof/>
              </w:rPr>
              <w:t>.</w:t>
            </w:r>
          </w:p>
          <w:p w:rsidR="00680CA3" w:rsidRDefault="00680CA3" w:rsidP="00B55508">
            <w:pPr>
              <w:spacing w:after="120"/>
              <w:rPr>
                <w:rFonts w:cs="Tahoma"/>
                <w:szCs w:val="20"/>
              </w:rPr>
            </w:pPr>
            <w:r>
              <w:rPr>
                <w:rFonts w:cs="Tahoma"/>
                <w:szCs w:val="20"/>
              </w:rPr>
              <w:t xml:space="preserve">Do indikativního výčtu podporovaných aktivit bylo nově zařazeno i </w:t>
            </w:r>
            <w:r w:rsidRPr="00680CA3">
              <w:rPr>
                <w:rFonts w:cs="Tahoma"/>
                <w:szCs w:val="20"/>
              </w:rPr>
              <w:t>vytváření pasivní infrastruktury pro vysokorychlostní přístup k internetu zejména v lokalitách předpokládaného budoucího stavebního rozvoje</w:t>
            </w:r>
            <w:r>
              <w:rPr>
                <w:rFonts w:cs="Tahoma"/>
                <w:szCs w:val="20"/>
              </w:rPr>
              <w:t xml:space="preserve"> s tím, že</w:t>
            </w:r>
            <w:r w:rsidRPr="00680CA3">
              <w:rPr>
                <w:rFonts w:cs="Tahoma"/>
                <w:szCs w:val="20"/>
              </w:rPr>
              <w:t xml:space="preserve"> tato aktivita může být podpořena pouze v kombinaci s jednou z předchozích dvou aktivit</w:t>
            </w:r>
            <w:r>
              <w:rPr>
                <w:rFonts w:cs="Tahoma"/>
                <w:szCs w:val="20"/>
              </w:rPr>
              <w:t>.</w:t>
            </w:r>
            <w:r w:rsidR="00B40A00">
              <w:rPr>
                <w:rFonts w:cs="Tahoma"/>
                <w:szCs w:val="20"/>
              </w:rPr>
              <w:t xml:space="preserve"> </w:t>
            </w:r>
            <w:r>
              <w:rPr>
                <w:rFonts w:cs="Tahoma"/>
                <w:szCs w:val="20"/>
              </w:rPr>
              <w:t xml:space="preserve">Dle názoru hodnotitele </w:t>
            </w:r>
            <w:r w:rsidRPr="00680CA3">
              <w:rPr>
                <w:rFonts w:cs="Tahoma"/>
                <w:szCs w:val="20"/>
              </w:rPr>
              <w:t>to má logický, praktický i ekonomický smysl</w:t>
            </w:r>
            <w:r>
              <w:rPr>
                <w:rFonts w:cs="Tahoma"/>
                <w:szCs w:val="20"/>
              </w:rPr>
              <w:t xml:space="preserve">, </w:t>
            </w:r>
            <w:r w:rsidR="00B55508">
              <w:rPr>
                <w:rFonts w:cs="Tahoma"/>
                <w:szCs w:val="20"/>
              </w:rPr>
              <w:t>nicméně toto</w:t>
            </w:r>
            <w:r>
              <w:rPr>
                <w:rFonts w:cs="Tahoma"/>
                <w:szCs w:val="20"/>
              </w:rPr>
              <w:t xml:space="preserve"> </w:t>
            </w:r>
            <w:r w:rsidR="00B55508">
              <w:rPr>
                <w:rFonts w:cs="Tahoma"/>
                <w:szCs w:val="20"/>
              </w:rPr>
              <w:t>b</w:t>
            </w:r>
            <w:r w:rsidRPr="00680CA3">
              <w:rPr>
                <w:rFonts w:cs="Tahoma"/>
                <w:szCs w:val="20"/>
              </w:rPr>
              <w:t xml:space="preserve">udování pasívní infrastruktury </w:t>
            </w:r>
            <w:r w:rsidR="00B55508">
              <w:rPr>
                <w:rFonts w:cs="Tahoma"/>
                <w:szCs w:val="20"/>
              </w:rPr>
              <w:t>by mělo</w:t>
            </w:r>
            <w:r w:rsidRPr="00680CA3">
              <w:rPr>
                <w:rFonts w:cs="Tahoma"/>
                <w:szCs w:val="20"/>
              </w:rPr>
              <w:t xml:space="preserve"> být definov</w:t>
            </w:r>
            <w:r w:rsidR="00B55508">
              <w:rPr>
                <w:rFonts w:cs="Tahoma"/>
                <w:szCs w:val="20"/>
              </w:rPr>
              <w:t>án</w:t>
            </w:r>
            <w:r w:rsidRPr="00680CA3">
              <w:rPr>
                <w:rFonts w:cs="Tahoma"/>
                <w:szCs w:val="20"/>
              </w:rPr>
              <w:t xml:space="preserve">o přesněji. Znamená to pouze </w:t>
            </w:r>
            <w:r w:rsidR="00B40A00">
              <w:rPr>
                <w:rFonts w:cs="Tahoma"/>
                <w:szCs w:val="20"/>
              </w:rPr>
              <w:t>„</w:t>
            </w:r>
            <w:r w:rsidRPr="00680CA3">
              <w:rPr>
                <w:rFonts w:cs="Tahoma"/>
                <w:szCs w:val="20"/>
              </w:rPr>
              <w:t>položení trubek</w:t>
            </w:r>
            <w:r w:rsidR="00B40A00">
              <w:rPr>
                <w:rFonts w:cs="Tahoma"/>
                <w:szCs w:val="20"/>
              </w:rPr>
              <w:t>“</w:t>
            </w:r>
            <w:r w:rsidRPr="00680CA3">
              <w:rPr>
                <w:rFonts w:cs="Tahoma"/>
                <w:szCs w:val="20"/>
              </w:rPr>
              <w:t xml:space="preserve"> nebo realizace optické sítě bez aktivních prvků? Nebo také pořízení aktivních prvků</w:t>
            </w:r>
            <w:r w:rsidR="00B55508">
              <w:rPr>
                <w:rFonts w:cs="Tahoma"/>
                <w:szCs w:val="20"/>
              </w:rPr>
              <w:t>,</w:t>
            </w:r>
            <w:r w:rsidRPr="00680CA3">
              <w:rPr>
                <w:rFonts w:cs="Tahoma"/>
                <w:szCs w:val="20"/>
              </w:rPr>
              <w:t xml:space="preserve"> ale neoživení sítě?</w:t>
            </w:r>
            <w:r w:rsidR="00B55508">
              <w:rPr>
                <w:rFonts w:cs="Tahoma"/>
                <w:szCs w:val="20"/>
              </w:rPr>
              <w:t xml:space="preserve"> V jakém rozsahu bude umožněno atd.?</w:t>
            </w:r>
          </w:p>
          <w:p w:rsidR="00B55508" w:rsidRDefault="00B55508" w:rsidP="00B55508">
            <w:pPr>
              <w:spacing w:after="120"/>
            </w:pPr>
            <w:r w:rsidRPr="00C91471">
              <w:t>Podobně idea synergie výstavby sítí s jinou infrastrukturou</w:t>
            </w:r>
            <w:r>
              <w:t xml:space="preserve"> (str. 111)</w:t>
            </w:r>
            <w:r w:rsidRPr="00C91471">
              <w:t xml:space="preserve"> je správná, zejména</w:t>
            </w:r>
            <w:r>
              <w:t xml:space="preserve"> </w:t>
            </w:r>
            <w:r w:rsidRPr="00C91471">
              <w:t xml:space="preserve">z ekonomického hlediska. </w:t>
            </w:r>
            <w:r>
              <w:t>Bude</w:t>
            </w:r>
            <w:r w:rsidRPr="00C91471">
              <w:t xml:space="preserve"> ale potřeba detailně vymezit aplikování těchto projektů v kontextu OP</w:t>
            </w:r>
            <w:r>
              <w:t xml:space="preserve"> </w:t>
            </w:r>
            <w:r w:rsidRPr="00C91471">
              <w:t xml:space="preserve">PIK, hlavně z důvodu jasného vymezení nákladů (který náklad patří pod kterou stavbu) a eliminování rozpočtových nesrovnalostí (překryvy </w:t>
            </w:r>
            <w:r>
              <w:t>výdajů</w:t>
            </w:r>
            <w:r w:rsidRPr="00C91471">
              <w:t>).</w:t>
            </w:r>
          </w:p>
          <w:p w:rsidR="00AB2940" w:rsidRPr="00F66D86" w:rsidRDefault="004A10DA" w:rsidP="00B40A00">
            <w:pPr>
              <w:spacing w:after="120"/>
              <w:rPr>
                <w:noProof/>
              </w:rPr>
            </w:pPr>
            <w:r>
              <w:rPr>
                <w:noProof/>
              </w:rPr>
              <w:t xml:space="preserve">Hodnotitel </w:t>
            </w:r>
            <w:r w:rsidR="00B55508">
              <w:rPr>
                <w:noProof/>
              </w:rPr>
              <w:t>má</w:t>
            </w:r>
            <w:r>
              <w:rPr>
                <w:noProof/>
              </w:rPr>
              <w:t xml:space="preserve"> také jstou výhradu k části týkaljící se</w:t>
            </w:r>
            <w:r w:rsidR="00B55508">
              <w:rPr>
                <w:noProof/>
              </w:rPr>
              <w:t xml:space="preserve"> typů příjemců, kdy text operačního progra</w:t>
            </w:r>
            <w:r w:rsidR="00B40A00">
              <w:rPr>
                <w:noProof/>
              </w:rPr>
              <w:t>m</w:t>
            </w:r>
            <w:r w:rsidR="00B55508">
              <w:rPr>
                <w:noProof/>
              </w:rPr>
              <w:t xml:space="preserve">u naznačuje, že </w:t>
            </w:r>
            <w:r>
              <w:rPr>
                <w:noProof/>
              </w:rPr>
              <w:t>MSP nejsou schopny samostatně realizovat</w:t>
            </w:r>
            <w:r w:rsidR="00B55508">
              <w:rPr>
                <w:noProof/>
              </w:rPr>
              <w:t xml:space="preserve"> </w:t>
            </w:r>
            <w:r>
              <w:rPr>
                <w:noProof/>
              </w:rPr>
              <w:t xml:space="preserve">tyto typy </w:t>
            </w:r>
            <w:r w:rsidR="00B55508">
              <w:rPr>
                <w:noProof/>
              </w:rPr>
              <w:t>projekt</w:t>
            </w:r>
            <w:r>
              <w:rPr>
                <w:noProof/>
              </w:rPr>
              <w:t>ů</w:t>
            </w:r>
            <w:r w:rsidR="00B40A00">
              <w:rPr>
                <w:noProof/>
              </w:rPr>
              <w:t>,</w:t>
            </w:r>
            <w:r w:rsidR="00B55508">
              <w:rPr>
                <w:noProof/>
              </w:rPr>
              <w:t xml:space="preserve"> a odsuzuje je pouze do role subdodavatelů a zhotovitelů</w:t>
            </w:r>
            <w:r>
              <w:rPr>
                <w:noProof/>
              </w:rPr>
              <w:t>, což není pravda</w:t>
            </w:r>
            <w:r w:rsidR="00B55508">
              <w:rPr>
                <w:noProof/>
              </w:rPr>
              <w:t xml:space="preserve">. </w:t>
            </w:r>
            <w:r>
              <w:rPr>
                <w:noProof/>
              </w:rPr>
              <w:t xml:space="preserve">Dle názoru hodnotitele by měl být </w:t>
            </w:r>
            <w:r w:rsidR="00AB2940">
              <w:rPr>
                <w:noProof/>
              </w:rPr>
              <w:t xml:space="preserve">- obdobně, jako je tomu např. ve SC 1.1 - </w:t>
            </w:r>
            <w:r w:rsidR="003864F0">
              <w:rPr>
                <w:noProof/>
              </w:rPr>
              <w:t>deklarativně zajištěn minimální podíl podpory určené pro MSP v tomto SC</w:t>
            </w:r>
            <w:r w:rsidR="00AB2940">
              <w:rPr>
                <w:noProof/>
              </w:rPr>
              <w:t>.</w:t>
            </w:r>
            <w:r w:rsidR="003864F0">
              <w:rPr>
                <w:noProof/>
              </w:rPr>
              <w:t xml:space="preserve"> Tím by zároveň byl naplněn předpoklad pro dosažení cílových hodnot výstupových ukazatelů C1 a C2.</w:t>
            </w:r>
          </w:p>
        </w:tc>
      </w:tr>
      <w:tr w:rsidR="00301F6A" w:rsidTr="00301F6A">
        <w:tc>
          <w:tcPr>
            <w:tcW w:w="534" w:type="dxa"/>
          </w:tcPr>
          <w:p w:rsidR="00301F6A" w:rsidRPr="000E307E" w:rsidRDefault="00F059FC" w:rsidP="007C77FF">
            <w:pPr>
              <w:spacing w:after="120"/>
              <w:jc w:val="center"/>
              <w:rPr>
                <w:rFonts w:cs="Tahoma"/>
                <w:szCs w:val="20"/>
              </w:rPr>
            </w:pPr>
            <w:r>
              <w:rPr>
                <w:rFonts w:cs="Tahoma"/>
                <w:szCs w:val="20"/>
              </w:rPr>
              <w:t>18</w:t>
            </w:r>
          </w:p>
        </w:tc>
        <w:tc>
          <w:tcPr>
            <w:tcW w:w="8788" w:type="dxa"/>
          </w:tcPr>
          <w:p w:rsidR="00301F6A" w:rsidRPr="00801A43" w:rsidRDefault="00301F6A" w:rsidP="0046208A">
            <w:pPr>
              <w:spacing w:after="120"/>
              <w:rPr>
                <w:rFonts w:cs="Tahoma"/>
                <w:b/>
                <w:i/>
                <w:szCs w:val="20"/>
              </w:rPr>
            </w:pPr>
            <w:r w:rsidRPr="00801A43">
              <w:rPr>
                <w:rFonts w:cs="Tahoma"/>
                <w:b/>
                <w:i/>
                <w:szCs w:val="20"/>
              </w:rPr>
              <w:t>Specifický cíl 4.2 „Zvýšit úroveň nejmodernějších a pokročilých ICT“</w:t>
            </w:r>
          </w:p>
          <w:p w:rsidR="00301F6A" w:rsidRDefault="00602AE0" w:rsidP="00127B3C">
            <w:pPr>
              <w:spacing w:after="120"/>
              <w:rPr>
                <w:rFonts w:cs="Tahoma"/>
                <w:szCs w:val="20"/>
              </w:rPr>
            </w:pPr>
            <w:r>
              <w:rPr>
                <w:rFonts w:cs="Tahoma"/>
                <w:szCs w:val="20"/>
              </w:rPr>
              <w:t xml:space="preserve">Dle hodnotitele </w:t>
            </w:r>
            <w:r w:rsidR="0092426A">
              <w:rPr>
                <w:rFonts w:cs="Tahoma"/>
                <w:szCs w:val="20"/>
              </w:rPr>
              <w:t>zůstává</w:t>
            </w:r>
            <w:r>
              <w:rPr>
                <w:rFonts w:cs="Tahoma"/>
                <w:szCs w:val="20"/>
              </w:rPr>
              <w:t xml:space="preserve"> formulovaný </w:t>
            </w:r>
            <w:r w:rsidR="000E307E" w:rsidRPr="000E307E">
              <w:rPr>
                <w:rFonts w:cs="Tahoma"/>
                <w:szCs w:val="20"/>
              </w:rPr>
              <w:t>n</w:t>
            </w:r>
            <w:r w:rsidR="00301F6A" w:rsidRPr="000E307E">
              <w:rPr>
                <w:rFonts w:cs="Tahoma"/>
                <w:szCs w:val="20"/>
              </w:rPr>
              <w:t>áz</w:t>
            </w:r>
            <w:r>
              <w:rPr>
                <w:rFonts w:cs="Tahoma"/>
                <w:szCs w:val="20"/>
              </w:rPr>
              <w:t>e</w:t>
            </w:r>
            <w:r w:rsidR="00301F6A" w:rsidRPr="000E307E">
              <w:rPr>
                <w:rFonts w:cs="Tahoma"/>
                <w:szCs w:val="20"/>
              </w:rPr>
              <w:t>v specifického cíle</w:t>
            </w:r>
            <w:r>
              <w:rPr>
                <w:rFonts w:cs="Tahoma"/>
                <w:szCs w:val="20"/>
              </w:rPr>
              <w:t xml:space="preserve"> </w:t>
            </w:r>
            <w:r w:rsidR="0092426A">
              <w:rPr>
                <w:rFonts w:cs="Tahoma"/>
                <w:szCs w:val="20"/>
              </w:rPr>
              <w:t>i nadále poněkud ne</w:t>
            </w:r>
            <w:r w:rsidR="00301F6A" w:rsidRPr="000E307E">
              <w:rPr>
                <w:rFonts w:cs="Tahoma"/>
                <w:szCs w:val="20"/>
              </w:rPr>
              <w:t>srozumitelný</w:t>
            </w:r>
            <w:r w:rsidR="007B6866">
              <w:rPr>
                <w:rFonts w:cs="Tahoma"/>
                <w:szCs w:val="20"/>
              </w:rPr>
              <w:t>, což</w:t>
            </w:r>
            <w:r>
              <w:rPr>
                <w:rFonts w:cs="Tahoma"/>
                <w:szCs w:val="20"/>
              </w:rPr>
              <w:t xml:space="preserve"> následně způsobuje i problémy s měřitelností a hodnocením </w:t>
            </w:r>
            <w:r w:rsidR="00127B3C">
              <w:rPr>
                <w:rFonts w:cs="Tahoma"/>
                <w:szCs w:val="20"/>
              </w:rPr>
              <w:t xml:space="preserve">jeho </w:t>
            </w:r>
            <w:r>
              <w:rPr>
                <w:rFonts w:cs="Tahoma"/>
                <w:szCs w:val="20"/>
              </w:rPr>
              <w:t>výsledků. Co se rozumí pod pojmem: „úroveň nejmodernějších a pokročilých ICT“ a jak se vyjadřuje?</w:t>
            </w:r>
            <w:r w:rsidR="007B6866">
              <w:rPr>
                <w:rFonts w:cs="Tahoma"/>
                <w:szCs w:val="20"/>
              </w:rPr>
              <w:t xml:space="preserve"> </w:t>
            </w:r>
            <w:r w:rsidR="00133EC8">
              <w:rPr>
                <w:rFonts w:cs="Tahoma"/>
                <w:szCs w:val="20"/>
              </w:rPr>
              <w:t xml:space="preserve">Z logiky věci lze také těžko zvyšovat úroveň něčeho, co má být nejmodernější. </w:t>
            </w:r>
            <w:r w:rsidR="0092426A">
              <w:rPr>
                <w:rFonts w:cs="Tahoma"/>
                <w:szCs w:val="20"/>
              </w:rPr>
              <w:t>Hodnotitel doporučuje upravit název</w:t>
            </w:r>
            <w:r w:rsidR="00133EC8">
              <w:rPr>
                <w:rFonts w:cs="Tahoma"/>
                <w:szCs w:val="20"/>
              </w:rPr>
              <w:t xml:space="preserve"> </w:t>
            </w:r>
            <w:r w:rsidR="0092426A">
              <w:rPr>
                <w:rFonts w:cs="Tahoma"/>
                <w:szCs w:val="20"/>
              </w:rPr>
              <w:t>SC</w:t>
            </w:r>
            <w:r w:rsidR="00D71732" w:rsidRPr="00461D98">
              <w:rPr>
                <w:rFonts w:cs="Tahoma"/>
                <w:szCs w:val="20"/>
              </w:rPr>
              <w:t xml:space="preserve">, </w:t>
            </w:r>
            <w:r w:rsidR="00461D98" w:rsidRPr="00461D98">
              <w:rPr>
                <w:rFonts w:cs="Tahoma"/>
                <w:szCs w:val="20"/>
              </w:rPr>
              <w:t xml:space="preserve">k čemuž </w:t>
            </w:r>
            <w:r w:rsidR="00D71732" w:rsidRPr="00461D98">
              <w:rPr>
                <w:rFonts w:cs="Tahoma"/>
                <w:szCs w:val="20"/>
              </w:rPr>
              <w:t xml:space="preserve">dle vyjádření </w:t>
            </w:r>
            <w:r w:rsidR="00461D98" w:rsidRPr="00461D98">
              <w:rPr>
                <w:rFonts w:cs="Tahoma"/>
                <w:szCs w:val="20"/>
              </w:rPr>
              <w:t>zpracovatele dojde</w:t>
            </w:r>
            <w:r w:rsidR="009E5BE4" w:rsidRPr="009E5BE4">
              <w:rPr>
                <w:rFonts w:cs="Tahoma"/>
                <w:szCs w:val="20"/>
              </w:rPr>
              <w:t xml:space="preserve">. </w:t>
            </w:r>
          </w:p>
          <w:p w:rsidR="00133EC8" w:rsidRDefault="00133EC8" w:rsidP="00133EC8">
            <w:pPr>
              <w:spacing w:after="120"/>
              <w:rPr>
                <w:rFonts w:cs="Tahoma"/>
                <w:szCs w:val="20"/>
              </w:rPr>
            </w:pPr>
            <w:r>
              <w:rPr>
                <w:rFonts w:cs="Tahoma"/>
                <w:szCs w:val="20"/>
              </w:rPr>
              <w:t>Ve výčtu aktivit se objevuje věta (str. 11</w:t>
            </w:r>
            <w:r w:rsidR="00F66D86">
              <w:rPr>
                <w:rFonts w:cs="Tahoma"/>
                <w:szCs w:val="20"/>
              </w:rPr>
              <w:t>5</w:t>
            </w:r>
            <w:r>
              <w:rPr>
                <w:rFonts w:cs="Tahoma"/>
                <w:szCs w:val="20"/>
              </w:rPr>
              <w:t xml:space="preserve">): </w:t>
            </w:r>
            <w:r w:rsidRPr="00133EC8">
              <w:rPr>
                <w:rFonts w:cs="Tahoma"/>
                <w:i/>
                <w:szCs w:val="20"/>
              </w:rPr>
              <w:t xml:space="preserve">„Výstupem projektu bude sofistikované ICT řešení definované v projektové žádosti, což přispěje k naplnění výsledku tohoto specifického cíle spočívajícího v růstu přidané hodnoty IT služeb na HDP, což může dále ovlivňovat nabídku nových informačních systémů, ICT řešení a vysoce sofistikovaných ICT nástrojů, nových softwarových produktů a služeb.“ </w:t>
            </w:r>
            <w:r w:rsidRPr="00133EC8">
              <w:rPr>
                <w:rFonts w:cs="Tahoma"/>
                <w:szCs w:val="20"/>
              </w:rPr>
              <w:t>Dle</w:t>
            </w:r>
            <w:r>
              <w:rPr>
                <w:rFonts w:cs="Tahoma"/>
                <w:szCs w:val="20"/>
              </w:rPr>
              <w:t xml:space="preserve"> názoru hodnotitele se jedná o zbytečně komplikované souvětí, které by bylo možné nahradit jednoduchou formulací ve smyslu, že v</w:t>
            </w:r>
            <w:r w:rsidRPr="00133EC8">
              <w:rPr>
                <w:rFonts w:cs="Tahoma"/>
                <w:szCs w:val="20"/>
              </w:rPr>
              <w:t>ýstupem projektu jsou ICT řešení s přidanou hodnotou a potenciálem generovat poptávku po dalších sofistikovaných ICT produktech.</w:t>
            </w:r>
          </w:p>
          <w:p w:rsidR="003534F0" w:rsidRPr="00BC5C10" w:rsidRDefault="003534F0" w:rsidP="00F66D86">
            <w:pPr>
              <w:spacing w:after="120"/>
              <w:rPr>
                <w:rFonts w:cs="Tahoma"/>
                <w:szCs w:val="20"/>
              </w:rPr>
            </w:pPr>
            <w:r w:rsidRPr="00C91471">
              <w:t xml:space="preserve">Text </w:t>
            </w:r>
            <w:r>
              <w:t xml:space="preserve">v části věnované typům příjemců </w:t>
            </w:r>
            <w:r w:rsidRPr="00C91471">
              <w:t>uvádí</w:t>
            </w:r>
            <w:r w:rsidR="00F66D86">
              <w:t xml:space="preserve"> (str. 116)</w:t>
            </w:r>
            <w:r w:rsidRPr="00C91471">
              <w:t>, že v případě velkých podniků budou podporovány projekty, jejichž realizace v konečném důsledku povede ke snižování nákladů MSP. Jaké jsou to projekty a jak jsou vymezené ve vztahu k</w:t>
            </w:r>
            <w:r w:rsidR="002A75E7">
              <w:t> očekávaným výsledkům</w:t>
            </w:r>
            <w:r w:rsidRPr="00C91471">
              <w:t xml:space="preserve"> </w:t>
            </w:r>
            <w:r>
              <w:t xml:space="preserve">SC </w:t>
            </w:r>
            <w:r w:rsidRPr="00C91471">
              <w:t xml:space="preserve">4.2? </w:t>
            </w:r>
            <w:r>
              <w:t>V textu programu j</w:t>
            </w:r>
            <w:r w:rsidRPr="00C91471">
              <w:t>e sice odvolávka na n</w:t>
            </w:r>
            <w:r>
              <w:t>a</w:t>
            </w:r>
            <w:r w:rsidRPr="00C91471">
              <w:t>řízen</w:t>
            </w:r>
            <w:r>
              <w:t xml:space="preserve">í </w:t>
            </w:r>
            <w:r w:rsidRPr="00C91471">
              <w:t>o EFRR (čl. 3 odst. 1 písm. b), ale vlastní vymezení těchto projektů chybí. Také formulace</w:t>
            </w:r>
            <w:r>
              <w:t>:</w:t>
            </w:r>
            <w:r w:rsidRPr="00C91471">
              <w:t xml:space="preserve"> </w:t>
            </w:r>
            <w:r w:rsidRPr="003534F0">
              <w:rPr>
                <w:i/>
              </w:rPr>
              <w:t>„Tyto projekty však budou tvořit minoritní část tohoto specifického cíle“</w:t>
            </w:r>
            <w:r w:rsidRPr="00C91471">
              <w:t>, je nejasná. Co to zna</w:t>
            </w:r>
            <w:r>
              <w:t>mená</w:t>
            </w:r>
            <w:r w:rsidRPr="00C91471">
              <w:t xml:space="preserve">? </w:t>
            </w:r>
            <w:r>
              <w:t xml:space="preserve">Hodnotitel doporučuje přesněji </w:t>
            </w:r>
            <w:r w:rsidRPr="00C91471">
              <w:t>vymezit, kvantifikovat.</w:t>
            </w:r>
          </w:p>
        </w:tc>
      </w:tr>
    </w:tbl>
    <w:p w:rsidR="009659B1" w:rsidRDefault="009659B1" w:rsidP="003B233D">
      <w:pPr>
        <w:tabs>
          <w:tab w:val="num" w:pos="720"/>
        </w:tabs>
        <w:spacing w:after="120"/>
        <w:rPr>
          <w:u w:val="single"/>
        </w:rPr>
      </w:pPr>
    </w:p>
    <w:p w:rsidR="004373D8" w:rsidRDefault="004373D8" w:rsidP="004373D8">
      <w:pPr>
        <w:pStyle w:val="Nadpis2"/>
      </w:pPr>
      <w:bookmarkStart w:id="21" w:name="_Toc392583668"/>
      <w:r>
        <w:lastRenderedPageBreak/>
        <w:t>H</w:t>
      </w:r>
      <w:r w:rsidRPr="004373D8">
        <w:t>orizontální principy</w:t>
      </w:r>
      <w:bookmarkEnd w:id="21"/>
    </w:p>
    <w:p w:rsidR="003B233D" w:rsidRPr="002C6BB2" w:rsidRDefault="003B233D" w:rsidP="00573C39">
      <w:pPr>
        <w:tabs>
          <w:tab w:val="num" w:pos="720"/>
        </w:tabs>
        <w:spacing w:after="120"/>
        <w:rPr>
          <w:u w:val="single"/>
        </w:rPr>
      </w:pPr>
      <w:r w:rsidRPr="002C6BB2">
        <w:rPr>
          <w:u w:val="single"/>
        </w:rPr>
        <w:t>Úkol:</w:t>
      </w:r>
    </w:p>
    <w:p w:rsidR="003B233D" w:rsidRPr="003B233D" w:rsidRDefault="002C6BB2" w:rsidP="003B233D">
      <w:pPr>
        <w:spacing w:after="120"/>
        <w:rPr>
          <w:rFonts w:cs="Tahoma"/>
          <w:szCs w:val="20"/>
        </w:rPr>
      </w:pPr>
      <w:r>
        <w:rPr>
          <w:rFonts w:cs="Tahoma"/>
          <w:szCs w:val="20"/>
        </w:rPr>
        <w:t>P</w:t>
      </w:r>
      <w:r w:rsidR="003B233D">
        <w:rPr>
          <w:rFonts w:cs="Tahoma"/>
          <w:szCs w:val="20"/>
        </w:rPr>
        <w:t>os</w:t>
      </w:r>
      <w:r>
        <w:rPr>
          <w:rFonts w:cs="Tahoma"/>
          <w:szCs w:val="20"/>
        </w:rPr>
        <w:t>o</w:t>
      </w:r>
      <w:r w:rsidR="003B233D">
        <w:rPr>
          <w:rFonts w:cs="Tahoma"/>
          <w:szCs w:val="20"/>
        </w:rPr>
        <w:t>u</w:t>
      </w:r>
      <w:r>
        <w:rPr>
          <w:rFonts w:cs="Tahoma"/>
          <w:szCs w:val="20"/>
        </w:rPr>
        <w:t>dit</w:t>
      </w:r>
      <w:r w:rsidR="003B233D">
        <w:rPr>
          <w:rFonts w:cs="Tahoma"/>
          <w:szCs w:val="20"/>
        </w:rPr>
        <w:t xml:space="preserve"> </w:t>
      </w:r>
      <w:r w:rsidR="003B233D" w:rsidRPr="003B233D">
        <w:rPr>
          <w:rFonts w:cs="Tahoma"/>
          <w:szCs w:val="20"/>
        </w:rPr>
        <w:t>adekvátnos</w:t>
      </w:r>
      <w:r w:rsidR="003B233D">
        <w:rPr>
          <w:rFonts w:cs="Tahoma"/>
          <w:szCs w:val="20"/>
        </w:rPr>
        <w:t>t</w:t>
      </w:r>
      <w:r w:rsidR="003B233D" w:rsidRPr="003B233D">
        <w:rPr>
          <w:rFonts w:cs="Tahoma"/>
          <w:szCs w:val="20"/>
        </w:rPr>
        <w:t xml:space="preserve"> plánovaných opat</w:t>
      </w:r>
      <w:r w:rsidR="003B233D">
        <w:rPr>
          <w:rFonts w:cs="Tahoma"/>
          <w:szCs w:val="20"/>
        </w:rPr>
        <w:t>ř</w:t>
      </w:r>
      <w:r w:rsidR="003B233D" w:rsidRPr="003B233D">
        <w:rPr>
          <w:rFonts w:cs="Tahoma"/>
          <w:szCs w:val="20"/>
        </w:rPr>
        <w:t>ení</w:t>
      </w:r>
      <w:r w:rsidR="003B233D">
        <w:rPr>
          <w:rFonts w:cs="Tahoma"/>
          <w:szCs w:val="20"/>
        </w:rPr>
        <w:t xml:space="preserve"> k pro</w:t>
      </w:r>
      <w:r w:rsidR="003B233D" w:rsidRPr="003B233D">
        <w:rPr>
          <w:rFonts w:cs="Tahoma"/>
          <w:szCs w:val="20"/>
        </w:rPr>
        <w:t>sazov</w:t>
      </w:r>
      <w:r w:rsidR="003B233D">
        <w:rPr>
          <w:rFonts w:cs="Tahoma"/>
          <w:szCs w:val="20"/>
        </w:rPr>
        <w:t>ání rovnosti př</w:t>
      </w:r>
      <w:r w:rsidR="003B233D" w:rsidRPr="003B233D">
        <w:rPr>
          <w:rFonts w:cs="Tahoma"/>
          <w:szCs w:val="20"/>
        </w:rPr>
        <w:t xml:space="preserve">íležitostí, </w:t>
      </w:r>
      <w:r w:rsidR="003B233D">
        <w:rPr>
          <w:rFonts w:cs="Tahoma"/>
          <w:szCs w:val="20"/>
        </w:rPr>
        <w:t>k</w:t>
      </w:r>
      <w:r w:rsidR="003B233D" w:rsidRPr="003B233D">
        <w:rPr>
          <w:rFonts w:cs="Tahoma"/>
          <w:szCs w:val="20"/>
        </w:rPr>
        <w:t xml:space="preserve"> p</w:t>
      </w:r>
      <w:r w:rsidR="003B233D">
        <w:rPr>
          <w:rFonts w:cs="Tahoma"/>
          <w:szCs w:val="20"/>
        </w:rPr>
        <w:t>ředcházení</w:t>
      </w:r>
      <w:r w:rsidR="003B233D" w:rsidRPr="003B233D">
        <w:rPr>
          <w:rFonts w:cs="Tahoma"/>
          <w:szCs w:val="20"/>
        </w:rPr>
        <w:t xml:space="preserve"> diskrimin</w:t>
      </w:r>
      <w:r>
        <w:rPr>
          <w:rFonts w:cs="Tahoma"/>
          <w:szCs w:val="20"/>
        </w:rPr>
        <w:t>ace</w:t>
      </w:r>
      <w:r w:rsidR="003B233D" w:rsidRPr="003B233D">
        <w:rPr>
          <w:rFonts w:cs="Tahoma"/>
          <w:szCs w:val="20"/>
        </w:rPr>
        <w:t xml:space="preserve"> a plánovaných opat</w:t>
      </w:r>
      <w:r>
        <w:rPr>
          <w:rFonts w:cs="Tahoma"/>
          <w:szCs w:val="20"/>
        </w:rPr>
        <w:t>ř</w:t>
      </w:r>
      <w:r w:rsidR="003B233D" w:rsidRPr="003B233D">
        <w:rPr>
          <w:rFonts w:cs="Tahoma"/>
          <w:szCs w:val="20"/>
        </w:rPr>
        <w:t>ení</w:t>
      </w:r>
      <w:r>
        <w:rPr>
          <w:rFonts w:cs="Tahoma"/>
          <w:szCs w:val="20"/>
        </w:rPr>
        <w:t xml:space="preserve"> k prosazování</w:t>
      </w:r>
      <w:r w:rsidR="003B233D" w:rsidRPr="003B233D">
        <w:rPr>
          <w:rFonts w:cs="Tahoma"/>
          <w:szCs w:val="20"/>
        </w:rPr>
        <w:t xml:space="preserve"> trval</w:t>
      </w:r>
      <w:r>
        <w:rPr>
          <w:rFonts w:cs="Tahoma"/>
          <w:szCs w:val="20"/>
        </w:rPr>
        <w:t>e</w:t>
      </w:r>
      <w:r w:rsidR="003B233D" w:rsidRPr="003B233D">
        <w:rPr>
          <w:rFonts w:cs="Tahoma"/>
          <w:szCs w:val="20"/>
        </w:rPr>
        <w:t xml:space="preserve"> udrž</w:t>
      </w:r>
      <w:r>
        <w:rPr>
          <w:rFonts w:cs="Tahoma"/>
          <w:szCs w:val="20"/>
        </w:rPr>
        <w:t>i</w:t>
      </w:r>
      <w:r w:rsidR="003B233D" w:rsidRPr="003B233D">
        <w:rPr>
          <w:rFonts w:cs="Tahoma"/>
          <w:szCs w:val="20"/>
        </w:rPr>
        <w:t>te</w:t>
      </w:r>
      <w:r>
        <w:rPr>
          <w:rFonts w:cs="Tahoma"/>
          <w:szCs w:val="20"/>
        </w:rPr>
        <w:t>l</w:t>
      </w:r>
      <w:r w:rsidR="003B233D" w:rsidRPr="003B233D">
        <w:rPr>
          <w:rFonts w:cs="Tahoma"/>
          <w:szCs w:val="20"/>
        </w:rPr>
        <w:t>ného rozvoj</w:t>
      </w:r>
      <w:r>
        <w:rPr>
          <w:rFonts w:cs="Tahoma"/>
          <w:szCs w:val="20"/>
        </w:rPr>
        <w:t>e</w:t>
      </w:r>
      <w:r w:rsidR="003B233D" w:rsidRPr="003B233D">
        <w:rPr>
          <w:rFonts w:cs="Tahoma"/>
          <w:szCs w:val="20"/>
        </w:rPr>
        <w:t>.</w:t>
      </w:r>
    </w:p>
    <w:p w:rsidR="003D12DA" w:rsidRPr="003B233D" w:rsidRDefault="003D12DA" w:rsidP="003D12DA">
      <w:pPr>
        <w:tabs>
          <w:tab w:val="num" w:pos="720"/>
        </w:tabs>
        <w:spacing w:after="120"/>
        <w:rPr>
          <w:u w:val="single"/>
        </w:rPr>
      </w:pPr>
      <w:r>
        <w:rPr>
          <w:u w:val="single"/>
        </w:rPr>
        <w:t>Východiska</w:t>
      </w:r>
      <w:r w:rsidRPr="003B233D">
        <w:rPr>
          <w:u w:val="single"/>
        </w:rPr>
        <w:t>:</w:t>
      </w:r>
    </w:p>
    <w:p w:rsidR="003D12DA" w:rsidRDefault="003D12DA" w:rsidP="003D12DA">
      <w:pPr>
        <w:spacing w:after="120"/>
        <w:rPr>
          <w:rFonts w:cs="Tahoma"/>
          <w:szCs w:val="20"/>
        </w:rPr>
      </w:pPr>
      <w:r w:rsidRPr="008B7442">
        <w:rPr>
          <w:rFonts w:cs="Tahoma"/>
          <w:szCs w:val="20"/>
        </w:rPr>
        <w:t>Východiskem pro hodnocení j</w:t>
      </w:r>
      <w:r w:rsidR="002B0777" w:rsidRPr="008B7442">
        <w:rPr>
          <w:rFonts w:cs="Tahoma"/>
          <w:szCs w:val="20"/>
        </w:rPr>
        <w:t xml:space="preserve">e </w:t>
      </w:r>
      <w:r w:rsidRPr="008B7442">
        <w:rPr>
          <w:rFonts w:cs="Tahoma"/>
          <w:szCs w:val="20"/>
        </w:rPr>
        <w:t xml:space="preserve">především </w:t>
      </w:r>
      <w:r w:rsidR="00A2310F">
        <w:rPr>
          <w:rFonts w:cs="Tahoma"/>
          <w:szCs w:val="20"/>
        </w:rPr>
        <w:t>oddíl</w:t>
      </w:r>
      <w:r w:rsidR="00E26320">
        <w:rPr>
          <w:rFonts w:cs="Tahoma"/>
          <w:szCs w:val="20"/>
        </w:rPr>
        <w:t xml:space="preserve"> 11</w:t>
      </w:r>
      <w:r w:rsidR="002B0777" w:rsidRPr="008B7442">
        <w:rPr>
          <w:rFonts w:cs="Tahoma"/>
          <w:szCs w:val="20"/>
        </w:rPr>
        <w:t xml:space="preserve"> „Horizontální </w:t>
      </w:r>
      <w:r w:rsidR="00E26320">
        <w:rPr>
          <w:rFonts w:cs="Tahoma"/>
          <w:szCs w:val="20"/>
        </w:rPr>
        <w:t>zásady</w:t>
      </w:r>
      <w:r w:rsidR="002B0777" w:rsidRPr="008B7442">
        <w:rPr>
          <w:rFonts w:cs="Tahoma"/>
          <w:szCs w:val="20"/>
        </w:rPr>
        <w:t xml:space="preserve">“ a průřezově také ostatní </w:t>
      </w:r>
      <w:r w:rsidR="00A2310F">
        <w:rPr>
          <w:rFonts w:cs="Tahoma"/>
          <w:szCs w:val="20"/>
        </w:rPr>
        <w:t xml:space="preserve">oddíly a </w:t>
      </w:r>
      <w:r w:rsidR="002B0777" w:rsidRPr="008B7442">
        <w:rPr>
          <w:rFonts w:cs="Tahoma"/>
          <w:szCs w:val="20"/>
        </w:rPr>
        <w:t>kapitoly textu programu.</w:t>
      </w:r>
    </w:p>
    <w:p w:rsidR="002B0777" w:rsidRDefault="00A2310F" w:rsidP="003D12DA">
      <w:pPr>
        <w:spacing w:after="120"/>
        <w:rPr>
          <w:rFonts w:cs="Tahoma"/>
          <w:szCs w:val="20"/>
        </w:rPr>
      </w:pPr>
      <w:r>
        <w:rPr>
          <w:rFonts w:cs="Tahoma"/>
          <w:szCs w:val="20"/>
        </w:rPr>
        <w:t>Oddíl</w:t>
      </w:r>
      <w:r w:rsidR="002B0777">
        <w:rPr>
          <w:rFonts w:cs="Tahoma"/>
          <w:szCs w:val="20"/>
        </w:rPr>
        <w:t xml:space="preserve"> 11 rozpracovává téma horizontálních přístupů do 3 </w:t>
      </w:r>
      <w:proofErr w:type="spellStart"/>
      <w:r w:rsidR="002B0777">
        <w:rPr>
          <w:rFonts w:cs="Tahoma"/>
          <w:szCs w:val="20"/>
        </w:rPr>
        <w:t>subkapitol</w:t>
      </w:r>
      <w:proofErr w:type="spellEnd"/>
      <w:r w:rsidR="002B0777">
        <w:rPr>
          <w:rFonts w:cs="Tahoma"/>
          <w:szCs w:val="20"/>
        </w:rPr>
        <w:t xml:space="preserve">: Udržitelný rozvoj, Rovné příležitosti a </w:t>
      </w:r>
      <w:r w:rsidR="002E2759">
        <w:rPr>
          <w:rFonts w:cs="Tahoma"/>
          <w:szCs w:val="20"/>
        </w:rPr>
        <w:t>zákaz</w:t>
      </w:r>
      <w:r w:rsidR="002B0777">
        <w:rPr>
          <w:rFonts w:cs="Tahoma"/>
          <w:szCs w:val="20"/>
        </w:rPr>
        <w:t xml:space="preserve"> diskriminac</w:t>
      </w:r>
      <w:r w:rsidR="002E2759">
        <w:rPr>
          <w:rFonts w:cs="Tahoma"/>
          <w:szCs w:val="20"/>
        </w:rPr>
        <w:t>e</w:t>
      </w:r>
      <w:r w:rsidR="002B0777">
        <w:rPr>
          <w:rFonts w:cs="Tahoma"/>
          <w:szCs w:val="20"/>
        </w:rPr>
        <w:t xml:space="preserve"> a Rovnost</w:t>
      </w:r>
      <w:r w:rsidR="002E2759">
        <w:rPr>
          <w:rFonts w:cs="Tahoma"/>
          <w:szCs w:val="20"/>
        </w:rPr>
        <w:t xml:space="preserve"> mezi muži a</w:t>
      </w:r>
      <w:r w:rsidR="002B0777">
        <w:rPr>
          <w:rFonts w:cs="Tahoma"/>
          <w:szCs w:val="20"/>
        </w:rPr>
        <w:t xml:space="preserve"> žen</w:t>
      </w:r>
      <w:r w:rsidR="002E2759">
        <w:rPr>
          <w:rFonts w:cs="Tahoma"/>
          <w:szCs w:val="20"/>
        </w:rPr>
        <w:t>ami</w:t>
      </w:r>
      <w:r w:rsidR="002B0777">
        <w:rPr>
          <w:rFonts w:cs="Tahoma"/>
          <w:szCs w:val="20"/>
        </w:rPr>
        <w:t>.</w:t>
      </w:r>
    </w:p>
    <w:p w:rsidR="003D12DA" w:rsidRPr="00843927" w:rsidRDefault="003D12DA" w:rsidP="003D12DA">
      <w:pPr>
        <w:tabs>
          <w:tab w:val="num" w:pos="720"/>
        </w:tabs>
        <w:spacing w:after="120"/>
        <w:rPr>
          <w:u w:val="single"/>
        </w:rPr>
      </w:pPr>
      <w:r w:rsidRPr="00843927">
        <w:rPr>
          <w:u w:val="single"/>
        </w:rPr>
        <w:t>Zjištění</w:t>
      </w:r>
      <w:r>
        <w:rPr>
          <w:u w:val="single"/>
        </w:rPr>
        <w:t xml:space="preserve"> v návaznosti na evaluační otázky a úkoly</w:t>
      </w:r>
      <w:r w:rsidRPr="00843927">
        <w:rPr>
          <w:u w:val="single"/>
        </w:rPr>
        <w:t>:</w:t>
      </w:r>
    </w:p>
    <w:tbl>
      <w:tblPr>
        <w:tblW w:w="922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06"/>
        <w:gridCol w:w="2795"/>
        <w:gridCol w:w="1698"/>
        <w:gridCol w:w="3830"/>
      </w:tblGrid>
      <w:tr w:rsidR="00C161BE" w:rsidRPr="00C15C0C" w:rsidTr="00CC0CE7">
        <w:trPr>
          <w:trHeight w:val="1350"/>
          <w:tblHeader/>
        </w:trPr>
        <w:tc>
          <w:tcPr>
            <w:tcW w:w="906" w:type="dxa"/>
            <w:shd w:val="clear" w:color="000000" w:fill="BFBFBF"/>
            <w:vAlign w:val="center"/>
            <w:hideMark/>
          </w:tcPr>
          <w:p w:rsidR="00C161BE" w:rsidRPr="00C15C0C" w:rsidRDefault="00C161BE" w:rsidP="00C161BE">
            <w:pPr>
              <w:jc w:val="center"/>
              <w:rPr>
                <w:rFonts w:ascii="Times New Roman" w:eastAsia="Times New Roman" w:hAnsi="Times New Roman" w:cs="Times New Roman"/>
                <w:b/>
                <w:bCs/>
                <w:szCs w:val="20"/>
                <w:lang w:eastAsia="cs-CZ"/>
              </w:rPr>
            </w:pPr>
            <w:proofErr w:type="spellStart"/>
            <w:r w:rsidRPr="00C15C0C">
              <w:rPr>
                <w:rFonts w:ascii="Times New Roman" w:eastAsia="Times New Roman" w:hAnsi="Times New Roman" w:cs="Times New Roman"/>
                <w:b/>
                <w:bCs/>
                <w:szCs w:val="20"/>
                <w:lang w:eastAsia="cs-CZ"/>
              </w:rPr>
              <w:t>Poř</w:t>
            </w:r>
            <w:proofErr w:type="spellEnd"/>
            <w:r w:rsidRPr="00C15C0C">
              <w:rPr>
                <w:rFonts w:ascii="Times New Roman" w:eastAsia="Times New Roman" w:hAnsi="Times New Roman" w:cs="Times New Roman"/>
                <w:b/>
                <w:bCs/>
                <w:szCs w:val="20"/>
                <w:lang w:eastAsia="cs-CZ"/>
              </w:rPr>
              <w:t>. č.</w:t>
            </w:r>
          </w:p>
        </w:tc>
        <w:tc>
          <w:tcPr>
            <w:tcW w:w="2795" w:type="dxa"/>
            <w:shd w:val="clear" w:color="000000" w:fill="BFBFBF"/>
            <w:vAlign w:val="center"/>
            <w:hideMark/>
          </w:tcPr>
          <w:p w:rsidR="00C161BE" w:rsidRPr="00C15C0C" w:rsidRDefault="00C161BE" w:rsidP="00C161BE">
            <w:pPr>
              <w:jc w:val="center"/>
              <w:rPr>
                <w:rFonts w:ascii="Times New Roman" w:eastAsia="Times New Roman" w:hAnsi="Times New Roman" w:cs="Times New Roman"/>
                <w:b/>
                <w:bCs/>
                <w:szCs w:val="20"/>
                <w:lang w:eastAsia="cs-CZ"/>
              </w:rPr>
            </w:pPr>
            <w:r w:rsidRPr="00C15C0C">
              <w:rPr>
                <w:rFonts w:ascii="Times New Roman" w:eastAsia="Times New Roman" w:hAnsi="Times New Roman" w:cs="Times New Roman"/>
                <w:b/>
                <w:bCs/>
                <w:szCs w:val="20"/>
                <w:lang w:eastAsia="cs-CZ"/>
              </w:rPr>
              <w:t>Evaluační otázka / úkol</w:t>
            </w:r>
          </w:p>
        </w:tc>
        <w:tc>
          <w:tcPr>
            <w:tcW w:w="1698" w:type="dxa"/>
            <w:shd w:val="clear" w:color="000000" w:fill="BFBFBF"/>
            <w:vAlign w:val="center"/>
            <w:hideMark/>
          </w:tcPr>
          <w:p w:rsidR="00C161BE" w:rsidRPr="00C15C0C" w:rsidRDefault="00C161BE" w:rsidP="00C161BE">
            <w:pPr>
              <w:jc w:val="center"/>
              <w:rPr>
                <w:rFonts w:ascii="Times New Roman" w:eastAsia="Times New Roman" w:hAnsi="Times New Roman" w:cs="Times New Roman"/>
                <w:b/>
                <w:bCs/>
                <w:szCs w:val="20"/>
                <w:lang w:eastAsia="cs-CZ"/>
              </w:rPr>
            </w:pPr>
            <w:r w:rsidRPr="00C15C0C">
              <w:rPr>
                <w:rFonts w:ascii="Times New Roman" w:eastAsia="Times New Roman" w:hAnsi="Times New Roman" w:cs="Times New Roman"/>
                <w:b/>
                <w:bCs/>
                <w:szCs w:val="20"/>
                <w:lang w:eastAsia="cs-CZ"/>
              </w:rPr>
              <w:t>Zhodnocení</w:t>
            </w:r>
            <w:r w:rsidRPr="00C15C0C">
              <w:rPr>
                <w:rFonts w:ascii="Times New Roman" w:eastAsia="Times New Roman" w:hAnsi="Times New Roman" w:cs="Times New Roman"/>
                <w:b/>
                <w:bCs/>
                <w:szCs w:val="20"/>
                <w:lang w:eastAsia="cs-CZ"/>
              </w:rPr>
              <w:br/>
            </w:r>
            <w:r w:rsidRPr="00C15C0C">
              <w:rPr>
                <w:rFonts w:ascii="Times New Roman" w:eastAsia="Times New Roman" w:hAnsi="Times New Roman" w:cs="Times New Roman"/>
                <w:szCs w:val="20"/>
                <w:lang w:eastAsia="cs-CZ"/>
              </w:rPr>
              <w:t>(A - Ano, SA - Spíše ano, SN - Spíše ne, N - Ne, NR - Není relevantní)</w:t>
            </w:r>
          </w:p>
        </w:tc>
        <w:tc>
          <w:tcPr>
            <w:tcW w:w="3830" w:type="dxa"/>
            <w:shd w:val="clear" w:color="000000" w:fill="BFBFBF"/>
            <w:vAlign w:val="center"/>
            <w:hideMark/>
          </w:tcPr>
          <w:p w:rsidR="00C161BE" w:rsidRPr="00C15C0C" w:rsidRDefault="00C161BE" w:rsidP="00C161BE">
            <w:pPr>
              <w:jc w:val="center"/>
              <w:rPr>
                <w:rFonts w:ascii="Times New Roman" w:eastAsia="Times New Roman" w:hAnsi="Times New Roman" w:cs="Times New Roman"/>
                <w:b/>
                <w:bCs/>
                <w:szCs w:val="20"/>
                <w:lang w:eastAsia="cs-CZ"/>
              </w:rPr>
            </w:pPr>
            <w:r w:rsidRPr="00C15C0C">
              <w:rPr>
                <w:rFonts w:ascii="Times New Roman" w:eastAsia="Times New Roman" w:hAnsi="Times New Roman" w:cs="Times New Roman"/>
                <w:b/>
                <w:bCs/>
                <w:szCs w:val="20"/>
                <w:lang w:eastAsia="cs-CZ"/>
              </w:rPr>
              <w:t>Komentář, doporučení</w:t>
            </w:r>
          </w:p>
        </w:tc>
      </w:tr>
      <w:tr w:rsidR="00C161BE" w:rsidRPr="00C15C0C" w:rsidTr="002E2759">
        <w:trPr>
          <w:trHeight w:val="613"/>
        </w:trPr>
        <w:tc>
          <w:tcPr>
            <w:tcW w:w="906" w:type="dxa"/>
            <w:shd w:val="clear" w:color="000000" w:fill="8DB4E3"/>
            <w:hideMark/>
          </w:tcPr>
          <w:p w:rsidR="00C161BE" w:rsidRPr="00C15C0C" w:rsidRDefault="00C161BE" w:rsidP="005C0ADF">
            <w:pPr>
              <w:rPr>
                <w:rFonts w:ascii="Times New Roman" w:eastAsia="Times New Roman" w:hAnsi="Times New Roman" w:cs="Times New Roman"/>
                <w:szCs w:val="20"/>
                <w:lang w:eastAsia="cs-CZ"/>
              </w:rPr>
            </w:pPr>
            <w:r w:rsidRPr="00C15C0C">
              <w:rPr>
                <w:rFonts w:ascii="Times New Roman" w:eastAsia="Times New Roman" w:hAnsi="Times New Roman" w:cs="Times New Roman"/>
                <w:szCs w:val="20"/>
                <w:lang w:eastAsia="cs-CZ"/>
              </w:rPr>
              <w:t>01.20</w:t>
            </w:r>
          </w:p>
        </w:tc>
        <w:tc>
          <w:tcPr>
            <w:tcW w:w="2795" w:type="dxa"/>
            <w:shd w:val="clear" w:color="000000" w:fill="8DB4E3"/>
            <w:hideMark/>
          </w:tcPr>
          <w:p w:rsidR="00C161BE" w:rsidRPr="00C15C0C" w:rsidRDefault="00C161BE" w:rsidP="005C0ADF">
            <w:pPr>
              <w:rPr>
                <w:rFonts w:ascii="Times New Roman" w:eastAsia="Times New Roman" w:hAnsi="Times New Roman" w:cs="Times New Roman"/>
                <w:szCs w:val="20"/>
                <w:lang w:eastAsia="cs-CZ"/>
              </w:rPr>
            </w:pPr>
            <w:r w:rsidRPr="00C15C0C">
              <w:rPr>
                <w:rFonts w:ascii="Times New Roman" w:eastAsia="Times New Roman" w:hAnsi="Times New Roman" w:cs="Times New Roman"/>
                <w:szCs w:val="20"/>
                <w:lang w:eastAsia="cs-CZ"/>
              </w:rPr>
              <w:t xml:space="preserve">Jsou do programu v dostatečné míře zahrnutá vhodná – s ohledem na cíle/zaměření programu a jeho částí – specifická i průřezová opatření na podporu principu rovných příležitostí a nediskriminace a na podporu principů udržitelného rozvoje? </w:t>
            </w:r>
          </w:p>
        </w:tc>
        <w:tc>
          <w:tcPr>
            <w:tcW w:w="1698" w:type="dxa"/>
            <w:shd w:val="clear" w:color="000000" w:fill="8DB4E3"/>
            <w:vAlign w:val="center"/>
            <w:hideMark/>
          </w:tcPr>
          <w:p w:rsidR="00C161BE" w:rsidRPr="00C15C0C" w:rsidRDefault="00C161BE" w:rsidP="005C0ADF">
            <w:pPr>
              <w:jc w:val="center"/>
              <w:rPr>
                <w:rFonts w:ascii="Times New Roman" w:eastAsia="Times New Roman" w:hAnsi="Times New Roman" w:cs="Times New Roman"/>
                <w:szCs w:val="20"/>
                <w:lang w:eastAsia="cs-CZ"/>
              </w:rPr>
            </w:pPr>
            <w:r w:rsidRPr="00C15C0C">
              <w:rPr>
                <w:rFonts w:ascii="Times New Roman" w:eastAsia="Times New Roman" w:hAnsi="Times New Roman" w:cs="Times New Roman"/>
                <w:szCs w:val="20"/>
                <w:lang w:eastAsia="cs-CZ"/>
              </w:rPr>
              <w:t>SA</w:t>
            </w:r>
          </w:p>
        </w:tc>
        <w:tc>
          <w:tcPr>
            <w:tcW w:w="3830" w:type="dxa"/>
            <w:shd w:val="clear" w:color="000000" w:fill="8DB4E3"/>
            <w:hideMark/>
          </w:tcPr>
          <w:p w:rsidR="009B27D9" w:rsidRDefault="00801A43" w:rsidP="00401A1E">
            <w:pPr>
              <w:rPr>
                <w:rFonts w:ascii="Times New Roman" w:eastAsia="Times New Roman" w:hAnsi="Times New Roman" w:cs="Times New Roman"/>
                <w:szCs w:val="20"/>
                <w:lang w:eastAsia="cs-CZ"/>
              </w:rPr>
            </w:pPr>
            <w:r w:rsidRPr="00C15C0C">
              <w:rPr>
                <w:rFonts w:ascii="Times New Roman" w:eastAsia="Times New Roman" w:hAnsi="Times New Roman" w:cs="Times New Roman"/>
                <w:szCs w:val="20"/>
                <w:lang w:eastAsia="cs-CZ"/>
              </w:rPr>
              <w:t xml:space="preserve">S ohledem na charakter operačního programu je možné považovat </w:t>
            </w:r>
            <w:r w:rsidR="00F65A82" w:rsidRPr="00C15C0C">
              <w:rPr>
                <w:rFonts w:ascii="Times New Roman" w:eastAsia="Times New Roman" w:hAnsi="Times New Roman" w:cs="Times New Roman"/>
                <w:szCs w:val="20"/>
                <w:lang w:eastAsia="cs-CZ"/>
              </w:rPr>
              <w:t>navrhovaná</w:t>
            </w:r>
            <w:r w:rsidRPr="00C15C0C">
              <w:rPr>
                <w:rFonts w:ascii="Times New Roman" w:eastAsia="Times New Roman" w:hAnsi="Times New Roman" w:cs="Times New Roman"/>
                <w:szCs w:val="20"/>
                <w:lang w:eastAsia="cs-CZ"/>
              </w:rPr>
              <w:t xml:space="preserve"> opatření na podporu principu rovných příležitostí a nediskriminace a na podporu principů udržitelného rozvoje za dostačující.</w:t>
            </w:r>
            <w:r w:rsidR="00F65A82" w:rsidRPr="00C15C0C">
              <w:rPr>
                <w:rFonts w:ascii="Times New Roman" w:eastAsia="Times New Roman" w:hAnsi="Times New Roman" w:cs="Times New Roman"/>
                <w:szCs w:val="20"/>
                <w:lang w:eastAsia="cs-CZ"/>
              </w:rPr>
              <w:t xml:space="preserve"> </w:t>
            </w:r>
          </w:p>
          <w:p w:rsidR="00F65A82" w:rsidRPr="00C15C0C" w:rsidRDefault="00F65A82" w:rsidP="00401A1E">
            <w:pPr>
              <w:rPr>
                <w:rFonts w:ascii="Times New Roman" w:eastAsia="Times New Roman" w:hAnsi="Times New Roman" w:cs="Times New Roman"/>
                <w:szCs w:val="20"/>
                <w:lang w:eastAsia="cs-CZ"/>
              </w:rPr>
            </w:pPr>
            <w:r w:rsidRPr="00C15C0C">
              <w:rPr>
                <w:rFonts w:ascii="Times New Roman" w:eastAsia="Times New Roman" w:hAnsi="Times New Roman" w:cs="Times New Roman"/>
                <w:szCs w:val="20"/>
                <w:lang w:eastAsia="cs-CZ"/>
              </w:rPr>
              <w:t xml:space="preserve">Program bude svými aktivitami přispívat zejména k naplňování cílů udržitelného rozvoje v oblasti ekonomické prosperity (inovace, podpora podnikání, tvorba pracovních míst) a ochrany životního prostředí (OZE, snižování energetické náročnosti, zavádění nových nízkouhlíkových technologií, </w:t>
            </w:r>
            <w:proofErr w:type="spellStart"/>
            <w:r w:rsidRPr="00C15C0C">
              <w:rPr>
                <w:rFonts w:ascii="Times New Roman" w:eastAsia="Times New Roman" w:hAnsi="Times New Roman" w:cs="Times New Roman"/>
                <w:szCs w:val="20"/>
                <w:lang w:eastAsia="cs-CZ"/>
              </w:rPr>
              <w:t>eko</w:t>
            </w:r>
            <w:proofErr w:type="spellEnd"/>
            <w:r w:rsidRPr="00C15C0C">
              <w:rPr>
                <w:rFonts w:ascii="Times New Roman" w:eastAsia="Times New Roman" w:hAnsi="Times New Roman" w:cs="Times New Roman"/>
                <w:szCs w:val="20"/>
                <w:lang w:eastAsia="cs-CZ"/>
              </w:rPr>
              <w:t>-inovace apod.).</w:t>
            </w:r>
          </w:p>
          <w:p w:rsidR="00F65A82" w:rsidRPr="00C15C0C" w:rsidRDefault="00F65A82" w:rsidP="00401A1E">
            <w:pPr>
              <w:autoSpaceDE w:val="0"/>
              <w:autoSpaceDN w:val="0"/>
              <w:adjustRightInd w:val="0"/>
              <w:rPr>
                <w:rFonts w:ascii="Times New Roman" w:eastAsia="Times New Roman" w:hAnsi="Times New Roman" w:cs="Times New Roman"/>
                <w:szCs w:val="20"/>
                <w:lang w:eastAsia="cs-CZ"/>
              </w:rPr>
            </w:pPr>
            <w:r w:rsidRPr="00C15C0C">
              <w:rPr>
                <w:rFonts w:ascii="Times New Roman" w:eastAsia="Times New Roman" w:hAnsi="Times New Roman" w:cs="Times New Roman"/>
                <w:szCs w:val="20"/>
                <w:lang w:eastAsia="cs-CZ"/>
              </w:rPr>
              <w:t>Posouzení a vyhodnocení potenciálních vlivů OP PIK na životní prostředí a veřejné zdraví je předmětem</w:t>
            </w:r>
            <w:r w:rsidR="00401A1E" w:rsidRPr="00C15C0C">
              <w:rPr>
                <w:rFonts w:ascii="Times New Roman" w:eastAsia="Times New Roman" w:hAnsi="Times New Roman" w:cs="Times New Roman"/>
                <w:szCs w:val="20"/>
                <w:lang w:eastAsia="cs-CZ"/>
              </w:rPr>
              <w:t xml:space="preserve"> samostatného</w:t>
            </w:r>
            <w:r w:rsidRPr="00C15C0C">
              <w:rPr>
                <w:rFonts w:ascii="Times New Roman" w:eastAsia="Times New Roman" w:hAnsi="Times New Roman" w:cs="Times New Roman"/>
                <w:szCs w:val="20"/>
                <w:lang w:eastAsia="cs-CZ"/>
              </w:rPr>
              <w:t xml:space="preserve"> </w:t>
            </w:r>
            <w:r w:rsidR="00401A1E" w:rsidRPr="00C15C0C">
              <w:rPr>
                <w:rFonts w:ascii="Times New Roman" w:eastAsia="Times New Roman" w:hAnsi="Times New Roman" w:cs="Times New Roman"/>
                <w:szCs w:val="20"/>
                <w:lang w:eastAsia="cs-CZ"/>
              </w:rPr>
              <w:t>procesu SEA.</w:t>
            </w:r>
          </w:p>
          <w:p w:rsidR="00801A43" w:rsidRPr="00C15C0C" w:rsidRDefault="00F65A82" w:rsidP="00401A1E">
            <w:pPr>
              <w:rPr>
                <w:rFonts w:ascii="Times New Roman" w:eastAsia="Times New Roman" w:hAnsi="Times New Roman" w:cs="Times New Roman"/>
                <w:szCs w:val="20"/>
                <w:lang w:eastAsia="cs-CZ"/>
              </w:rPr>
            </w:pPr>
            <w:r w:rsidRPr="00C15C0C">
              <w:rPr>
                <w:rFonts w:ascii="Times New Roman" w:eastAsia="Times New Roman" w:hAnsi="Times New Roman" w:cs="Times New Roman"/>
                <w:szCs w:val="20"/>
                <w:lang w:eastAsia="cs-CZ"/>
              </w:rPr>
              <w:t xml:space="preserve"> </w:t>
            </w:r>
          </w:p>
          <w:p w:rsidR="00C161BE" w:rsidRPr="00C15C0C" w:rsidRDefault="00EF73EF" w:rsidP="00401A1E">
            <w:pPr>
              <w:rPr>
                <w:rFonts w:ascii="Times New Roman" w:eastAsia="Times New Roman" w:hAnsi="Times New Roman" w:cs="Times New Roman"/>
                <w:szCs w:val="20"/>
                <w:lang w:eastAsia="cs-CZ"/>
              </w:rPr>
            </w:pPr>
            <w:r w:rsidRPr="00C15C0C">
              <w:rPr>
                <w:rFonts w:ascii="Times New Roman" w:eastAsia="Times New Roman" w:hAnsi="Times New Roman" w:cs="Times New Roman"/>
                <w:szCs w:val="20"/>
                <w:lang w:eastAsia="cs-CZ"/>
              </w:rPr>
              <w:t xml:space="preserve">Je patrné, že způsob </w:t>
            </w:r>
            <w:r w:rsidR="00F65A82" w:rsidRPr="00C15C0C">
              <w:rPr>
                <w:rFonts w:ascii="Times New Roman" w:eastAsia="Times New Roman" w:hAnsi="Times New Roman" w:cs="Times New Roman"/>
                <w:szCs w:val="20"/>
                <w:lang w:eastAsia="cs-CZ"/>
              </w:rPr>
              <w:t>pojetí </w:t>
            </w:r>
            <w:r w:rsidRPr="00C15C0C">
              <w:rPr>
                <w:rFonts w:ascii="Times New Roman" w:eastAsia="Times New Roman" w:hAnsi="Times New Roman" w:cs="Times New Roman"/>
                <w:szCs w:val="20"/>
                <w:lang w:eastAsia="cs-CZ"/>
              </w:rPr>
              <w:t>témat</w:t>
            </w:r>
            <w:r w:rsidR="00F65A82" w:rsidRPr="00C15C0C">
              <w:rPr>
                <w:rFonts w:ascii="Times New Roman" w:eastAsia="Times New Roman" w:hAnsi="Times New Roman" w:cs="Times New Roman"/>
                <w:szCs w:val="20"/>
                <w:lang w:eastAsia="cs-CZ"/>
              </w:rPr>
              <w:t xml:space="preserve"> udržitelného rozvoje</w:t>
            </w:r>
            <w:r w:rsidRPr="00C15C0C">
              <w:rPr>
                <w:rFonts w:ascii="Times New Roman" w:eastAsia="Times New Roman" w:hAnsi="Times New Roman" w:cs="Times New Roman"/>
                <w:szCs w:val="20"/>
                <w:lang w:eastAsia="cs-CZ"/>
              </w:rPr>
              <w:t xml:space="preserve"> </w:t>
            </w:r>
            <w:r w:rsidR="00801A43" w:rsidRPr="00C15C0C">
              <w:rPr>
                <w:rFonts w:ascii="Times New Roman" w:eastAsia="Times New Roman" w:hAnsi="Times New Roman" w:cs="Times New Roman"/>
                <w:szCs w:val="20"/>
                <w:lang w:eastAsia="cs-CZ"/>
              </w:rPr>
              <w:t>„</w:t>
            </w:r>
            <w:r w:rsidRPr="00C15C0C">
              <w:rPr>
                <w:rFonts w:ascii="Times New Roman" w:eastAsia="Times New Roman" w:hAnsi="Times New Roman" w:cs="Times New Roman"/>
                <w:szCs w:val="20"/>
                <w:lang w:eastAsia="cs-CZ"/>
              </w:rPr>
              <w:t>přebírá</w:t>
            </w:r>
            <w:r w:rsidR="00801A43" w:rsidRPr="00C15C0C">
              <w:rPr>
                <w:rFonts w:ascii="Times New Roman" w:eastAsia="Times New Roman" w:hAnsi="Times New Roman" w:cs="Times New Roman"/>
                <w:szCs w:val="20"/>
                <w:lang w:eastAsia="cs-CZ"/>
              </w:rPr>
              <w:t>“</w:t>
            </w:r>
            <w:r w:rsidRPr="00C15C0C">
              <w:rPr>
                <w:rFonts w:ascii="Times New Roman" w:eastAsia="Times New Roman" w:hAnsi="Times New Roman" w:cs="Times New Roman"/>
                <w:szCs w:val="20"/>
                <w:lang w:eastAsia="cs-CZ"/>
              </w:rPr>
              <w:t xml:space="preserve"> OP PIK ze stávajícího OPPI.</w:t>
            </w:r>
            <w:r w:rsidR="00F65A82" w:rsidRPr="00C15C0C">
              <w:rPr>
                <w:rFonts w:ascii="Times New Roman" w:eastAsia="Times New Roman" w:hAnsi="Times New Roman" w:cs="Times New Roman"/>
                <w:szCs w:val="20"/>
                <w:lang w:eastAsia="cs-CZ"/>
              </w:rPr>
              <w:t xml:space="preserve"> I proto by bylo vhodné </w:t>
            </w:r>
            <w:r w:rsidRPr="00C15C0C">
              <w:rPr>
                <w:rFonts w:ascii="Times New Roman" w:eastAsia="Times New Roman" w:hAnsi="Times New Roman" w:cs="Times New Roman"/>
                <w:szCs w:val="20"/>
                <w:lang w:eastAsia="cs-CZ"/>
              </w:rPr>
              <w:t xml:space="preserve">uvést dosavadní zkušenosti </w:t>
            </w:r>
            <w:r w:rsidR="000F6660" w:rsidRPr="00C15C0C">
              <w:rPr>
                <w:rFonts w:ascii="Times New Roman" w:eastAsia="Times New Roman" w:hAnsi="Times New Roman" w:cs="Times New Roman"/>
                <w:szCs w:val="20"/>
                <w:lang w:eastAsia="cs-CZ"/>
              </w:rPr>
              <w:t>a výsledky</w:t>
            </w:r>
            <w:r w:rsidR="00F65A82" w:rsidRPr="00C15C0C">
              <w:rPr>
                <w:rFonts w:ascii="Times New Roman" w:eastAsia="Times New Roman" w:hAnsi="Times New Roman" w:cs="Times New Roman"/>
                <w:szCs w:val="20"/>
                <w:lang w:eastAsia="cs-CZ"/>
              </w:rPr>
              <w:t xml:space="preserve"> uplatňování horizontálních přístupů v OPPI </w:t>
            </w:r>
            <w:r w:rsidRPr="00C15C0C">
              <w:rPr>
                <w:rFonts w:ascii="Times New Roman" w:eastAsia="Times New Roman" w:hAnsi="Times New Roman" w:cs="Times New Roman"/>
                <w:szCs w:val="20"/>
                <w:lang w:eastAsia="cs-CZ"/>
              </w:rPr>
              <w:t>a</w:t>
            </w:r>
            <w:r w:rsidR="00E715AF" w:rsidRPr="00C15C0C">
              <w:rPr>
                <w:rFonts w:ascii="Times New Roman" w:eastAsia="Times New Roman" w:hAnsi="Times New Roman" w:cs="Times New Roman"/>
                <w:szCs w:val="20"/>
                <w:lang w:eastAsia="cs-CZ"/>
              </w:rPr>
              <w:t xml:space="preserve"> v návaznosti na to</w:t>
            </w:r>
            <w:r w:rsidRPr="00C15C0C">
              <w:rPr>
                <w:rFonts w:ascii="Times New Roman" w:eastAsia="Times New Roman" w:hAnsi="Times New Roman" w:cs="Times New Roman"/>
                <w:szCs w:val="20"/>
                <w:lang w:eastAsia="cs-CZ"/>
              </w:rPr>
              <w:t xml:space="preserve"> případné </w:t>
            </w:r>
            <w:r w:rsidR="007C6B16" w:rsidRPr="00C15C0C">
              <w:rPr>
                <w:rFonts w:ascii="Times New Roman" w:eastAsia="Times New Roman" w:hAnsi="Times New Roman" w:cs="Times New Roman"/>
                <w:szCs w:val="20"/>
                <w:lang w:eastAsia="cs-CZ"/>
              </w:rPr>
              <w:t>změny</w:t>
            </w:r>
            <w:r w:rsidR="00F65A82" w:rsidRPr="00C15C0C">
              <w:rPr>
                <w:rFonts w:ascii="Times New Roman" w:eastAsia="Times New Roman" w:hAnsi="Times New Roman" w:cs="Times New Roman"/>
                <w:szCs w:val="20"/>
                <w:lang w:eastAsia="cs-CZ"/>
              </w:rPr>
              <w:t>/posuny</w:t>
            </w:r>
            <w:r w:rsidR="000F6660" w:rsidRPr="00C15C0C">
              <w:rPr>
                <w:rFonts w:ascii="Times New Roman" w:eastAsia="Times New Roman" w:hAnsi="Times New Roman" w:cs="Times New Roman"/>
                <w:szCs w:val="20"/>
                <w:lang w:eastAsia="cs-CZ"/>
              </w:rPr>
              <w:t xml:space="preserve"> v pojetí </w:t>
            </w:r>
            <w:r w:rsidR="00F65A82" w:rsidRPr="00C15C0C">
              <w:rPr>
                <w:rFonts w:ascii="Times New Roman" w:eastAsia="Times New Roman" w:hAnsi="Times New Roman" w:cs="Times New Roman"/>
                <w:szCs w:val="20"/>
                <w:lang w:eastAsia="cs-CZ"/>
              </w:rPr>
              <w:t>těchto principů</w:t>
            </w:r>
            <w:r w:rsidR="00E715AF" w:rsidRPr="00C15C0C">
              <w:rPr>
                <w:rFonts w:ascii="Times New Roman" w:eastAsia="Times New Roman" w:hAnsi="Times New Roman" w:cs="Times New Roman"/>
                <w:szCs w:val="20"/>
                <w:lang w:eastAsia="cs-CZ"/>
              </w:rPr>
              <w:t xml:space="preserve"> v OP PIK</w:t>
            </w:r>
            <w:r w:rsidRPr="00C15C0C">
              <w:rPr>
                <w:rFonts w:ascii="Times New Roman" w:eastAsia="Times New Roman" w:hAnsi="Times New Roman" w:cs="Times New Roman"/>
                <w:szCs w:val="20"/>
                <w:lang w:eastAsia="cs-CZ"/>
              </w:rPr>
              <w:t xml:space="preserve">. </w:t>
            </w:r>
          </w:p>
        </w:tc>
      </w:tr>
    </w:tbl>
    <w:p w:rsidR="00746584" w:rsidRDefault="00746584" w:rsidP="00746584">
      <w:pPr>
        <w:spacing w:after="120"/>
        <w:rPr>
          <w:rFonts w:cs="Tahoma"/>
          <w:szCs w:val="20"/>
        </w:rPr>
      </w:pPr>
    </w:p>
    <w:p w:rsidR="004373D8" w:rsidRDefault="004373D8" w:rsidP="004373D8">
      <w:pPr>
        <w:pStyle w:val="Nadpis2"/>
      </w:pPr>
      <w:bookmarkStart w:id="22" w:name="_Toc392583669"/>
      <w:r>
        <w:t>R</w:t>
      </w:r>
      <w:r w:rsidRPr="004373D8">
        <w:t>egionální dimenze a integrované přístupy</w:t>
      </w:r>
      <w:bookmarkEnd w:id="22"/>
    </w:p>
    <w:p w:rsidR="002C6BB2" w:rsidRPr="002C6BB2" w:rsidRDefault="002C6BB2" w:rsidP="002C6BB2">
      <w:pPr>
        <w:tabs>
          <w:tab w:val="num" w:pos="720"/>
        </w:tabs>
        <w:spacing w:after="120"/>
        <w:rPr>
          <w:u w:val="single"/>
        </w:rPr>
      </w:pPr>
      <w:r w:rsidRPr="002C6BB2">
        <w:rPr>
          <w:u w:val="single"/>
        </w:rPr>
        <w:t>Úkol:</w:t>
      </w:r>
    </w:p>
    <w:p w:rsidR="002C6BB2" w:rsidRDefault="002C6BB2" w:rsidP="002C6BB2">
      <w:pPr>
        <w:spacing w:after="120"/>
        <w:rPr>
          <w:rFonts w:cs="Tahoma"/>
          <w:szCs w:val="20"/>
        </w:rPr>
      </w:pPr>
      <w:r>
        <w:rPr>
          <w:rFonts w:cs="Tahoma"/>
          <w:szCs w:val="20"/>
        </w:rPr>
        <w:t>Posoudit</w:t>
      </w:r>
      <w:r w:rsidRPr="002C6BB2">
        <w:rPr>
          <w:rFonts w:cs="Tahoma"/>
          <w:szCs w:val="20"/>
        </w:rPr>
        <w:t xml:space="preserve"> pojetí a způsob zapracování regionální dimenze, regionálního rozměru intervencí a integrovaných přístupů v</w:t>
      </w:r>
      <w:r>
        <w:rPr>
          <w:rFonts w:cs="Tahoma"/>
          <w:szCs w:val="20"/>
        </w:rPr>
        <w:t> </w:t>
      </w:r>
      <w:r w:rsidRPr="002C6BB2">
        <w:rPr>
          <w:rFonts w:cs="Tahoma"/>
          <w:szCs w:val="20"/>
        </w:rPr>
        <w:t>programu</w:t>
      </w:r>
      <w:r>
        <w:rPr>
          <w:rFonts w:cs="Tahoma"/>
          <w:szCs w:val="20"/>
        </w:rPr>
        <w:t>, dále posoudit</w:t>
      </w:r>
      <w:r w:rsidRPr="002C6BB2">
        <w:rPr>
          <w:rFonts w:cs="Tahoma"/>
          <w:szCs w:val="20"/>
        </w:rPr>
        <w:t xml:space="preserve">, jak a do jaké míry zohledňuje program specifické regionální potřeby a regionální rozdíly </w:t>
      </w:r>
      <w:r>
        <w:rPr>
          <w:rFonts w:cs="Tahoma"/>
          <w:szCs w:val="20"/>
        </w:rPr>
        <w:t xml:space="preserve">a také posoudit </w:t>
      </w:r>
      <w:r w:rsidRPr="002C6BB2">
        <w:rPr>
          <w:rFonts w:cs="Tahoma"/>
          <w:szCs w:val="20"/>
        </w:rPr>
        <w:t>relevanc</w:t>
      </w:r>
      <w:r>
        <w:rPr>
          <w:rFonts w:cs="Tahoma"/>
          <w:szCs w:val="20"/>
        </w:rPr>
        <w:t>i</w:t>
      </w:r>
      <w:r w:rsidRPr="002C6BB2">
        <w:rPr>
          <w:rFonts w:cs="Tahoma"/>
          <w:szCs w:val="20"/>
        </w:rPr>
        <w:t xml:space="preserve"> </w:t>
      </w:r>
      <w:r>
        <w:rPr>
          <w:rFonts w:cs="Tahoma"/>
          <w:szCs w:val="20"/>
        </w:rPr>
        <w:t xml:space="preserve">návrhů na </w:t>
      </w:r>
      <w:r w:rsidRPr="002C6BB2">
        <w:rPr>
          <w:rFonts w:cs="Tahoma"/>
          <w:szCs w:val="20"/>
        </w:rPr>
        <w:t>zařazení územních jednotek či funkčních území k podpoře poskytované v rámci programu, včetně regionálních aktérů</w:t>
      </w:r>
      <w:r w:rsidRPr="003B233D">
        <w:rPr>
          <w:rFonts w:cs="Tahoma"/>
          <w:szCs w:val="20"/>
        </w:rPr>
        <w:t>.</w:t>
      </w:r>
    </w:p>
    <w:p w:rsidR="00022E68" w:rsidRPr="003B233D" w:rsidRDefault="00022E68" w:rsidP="00022E68">
      <w:pPr>
        <w:tabs>
          <w:tab w:val="num" w:pos="720"/>
        </w:tabs>
        <w:spacing w:after="120"/>
        <w:rPr>
          <w:u w:val="single"/>
        </w:rPr>
      </w:pPr>
      <w:r>
        <w:rPr>
          <w:u w:val="single"/>
        </w:rPr>
        <w:t>Východiska</w:t>
      </w:r>
      <w:r w:rsidRPr="003B233D">
        <w:rPr>
          <w:u w:val="single"/>
        </w:rPr>
        <w:t>:</w:t>
      </w:r>
    </w:p>
    <w:p w:rsidR="00022E68" w:rsidRPr="00E52E5C" w:rsidRDefault="00022E68" w:rsidP="00022E68">
      <w:pPr>
        <w:spacing w:after="120"/>
        <w:rPr>
          <w:rFonts w:cs="Tahoma"/>
          <w:szCs w:val="20"/>
        </w:rPr>
      </w:pPr>
      <w:r w:rsidRPr="00E52E5C">
        <w:rPr>
          <w:rFonts w:cs="Tahoma"/>
          <w:szCs w:val="20"/>
        </w:rPr>
        <w:t xml:space="preserve">Východiskem pro hodnocení je především </w:t>
      </w:r>
      <w:r w:rsidR="00A2310F">
        <w:rPr>
          <w:rFonts w:cs="Tahoma"/>
          <w:szCs w:val="20"/>
        </w:rPr>
        <w:t>oddíl</w:t>
      </w:r>
      <w:r w:rsidRPr="00E52E5C">
        <w:rPr>
          <w:rFonts w:cs="Tahoma"/>
          <w:szCs w:val="20"/>
        </w:rPr>
        <w:t xml:space="preserve"> </w:t>
      </w:r>
      <w:r w:rsidR="000F6660" w:rsidRPr="00E52E5C">
        <w:rPr>
          <w:rFonts w:cs="Tahoma"/>
          <w:szCs w:val="20"/>
        </w:rPr>
        <w:t>4</w:t>
      </w:r>
      <w:r w:rsidRPr="00E52E5C">
        <w:rPr>
          <w:rFonts w:cs="Tahoma"/>
          <w:szCs w:val="20"/>
        </w:rPr>
        <w:t xml:space="preserve"> „</w:t>
      </w:r>
      <w:r w:rsidR="006D241D">
        <w:rPr>
          <w:rFonts w:cs="Tahoma"/>
          <w:szCs w:val="20"/>
        </w:rPr>
        <w:t>I</w:t>
      </w:r>
      <w:r w:rsidR="000F6660" w:rsidRPr="00E52E5C">
        <w:rPr>
          <w:rFonts w:cs="Tahoma"/>
          <w:szCs w:val="20"/>
        </w:rPr>
        <w:t>ntegrovan</w:t>
      </w:r>
      <w:r w:rsidR="006D241D">
        <w:rPr>
          <w:rFonts w:cs="Tahoma"/>
          <w:szCs w:val="20"/>
        </w:rPr>
        <w:t>ý</w:t>
      </w:r>
      <w:r w:rsidR="000F6660" w:rsidRPr="00E52E5C">
        <w:rPr>
          <w:rFonts w:cs="Tahoma"/>
          <w:szCs w:val="20"/>
        </w:rPr>
        <w:t xml:space="preserve"> přístup</w:t>
      </w:r>
      <w:r w:rsidR="006D241D">
        <w:rPr>
          <w:rFonts w:cs="Tahoma"/>
          <w:szCs w:val="20"/>
        </w:rPr>
        <w:t xml:space="preserve"> k </w:t>
      </w:r>
      <w:r w:rsidR="000F6660" w:rsidRPr="00E52E5C">
        <w:rPr>
          <w:rFonts w:cs="Tahoma"/>
          <w:szCs w:val="20"/>
        </w:rPr>
        <w:t>územní</w:t>
      </w:r>
      <w:r w:rsidR="006D241D">
        <w:rPr>
          <w:rFonts w:cs="Tahoma"/>
          <w:szCs w:val="20"/>
        </w:rPr>
        <w:t>mu</w:t>
      </w:r>
      <w:r w:rsidR="000F6660" w:rsidRPr="00E52E5C">
        <w:rPr>
          <w:rFonts w:cs="Tahoma"/>
          <w:szCs w:val="20"/>
        </w:rPr>
        <w:t xml:space="preserve"> rozvoj</w:t>
      </w:r>
      <w:r w:rsidR="006D241D">
        <w:rPr>
          <w:rFonts w:cs="Tahoma"/>
          <w:szCs w:val="20"/>
        </w:rPr>
        <w:t>i</w:t>
      </w:r>
      <w:r w:rsidRPr="00E52E5C">
        <w:rPr>
          <w:rFonts w:cs="Tahoma"/>
          <w:szCs w:val="20"/>
        </w:rPr>
        <w:t xml:space="preserve">“ a průřezově také ostatní </w:t>
      </w:r>
      <w:r w:rsidR="00A2310F">
        <w:rPr>
          <w:rFonts w:cs="Tahoma"/>
          <w:szCs w:val="20"/>
        </w:rPr>
        <w:t>oddíly</w:t>
      </w:r>
      <w:r w:rsidRPr="00E52E5C">
        <w:rPr>
          <w:rFonts w:cs="Tahoma"/>
          <w:szCs w:val="20"/>
        </w:rPr>
        <w:t xml:space="preserve"> textu programu</w:t>
      </w:r>
      <w:r w:rsidR="000F6660" w:rsidRPr="00E52E5C">
        <w:rPr>
          <w:rFonts w:cs="Tahoma"/>
          <w:szCs w:val="20"/>
        </w:rPr>
        <w:t xml:space="preserve">, zejména </w:t>
      </w:r>
      <w:r w:rsidR="00A2310F">
        <w:rPr>
          <w:rFonts w:cs="Tahoma"/>
          <w:szCs w:val="20"/>
        </w:rPr>
        <w:t>oddíl</w:t>
      </w:r>
      <w:r w:rsidR="000F6660" w:rsidRPr="00E52E5C">
        <w:rPr>
          <w:rFonts w:cs="Tahoma"/>
          <w:szCs w:val="20"/>
        </w:rPr>
        <w:t xml:space="preserve"> 2</w:t>
      </w:r>
      <w:r w:rsidRPr="00E52E5C">
        <w:rPr>
          <w:rFonts w:cs="Tahoma"/>
          <w:szCs w:val="20"/>
        </w:rPr>
        <w:t>.</w:t>
      </w:r>
    </w:p>
    <w:p w:rsidR="00022E68" w:rsidRPr="00E52E5C" w:rsidRDefault="00A2310F" w:rsidP="00022E68">
      <w:pPr>
        <w:spacing w:after="120"/>
        <w:rPr>
          <w:rFonts w:cs="Tahoma"/>
          <w:szCs w:val="20"/>
        </w:rPr>
      </w:pPr>
      <w:r>
        <w:rPr>
          <w:rFonts w:cs="Tahoma"/>
          <w:szCs w:val="20"/>
        </w:rPr>
        <w:lastRenderedPageBreak/>
        <w:t>Oddíl</w:t>
      </w:r>
      <w:r w:rsidR="00022E68" w:rsidRPr="00E52E5C">
        <w:rPr>
          <w:rFonts w:cs="Tahoma"/>
          <w:szCs w:val="20"/>
        </w:rPr>
        <w:t xml:space="preserve"> </w:t>
      </w:r>
      <w:r w:rsidR="00E52E5C" w:rsidRPr="00E52E5C">
        <w:rPr>
          <w:rFonts w:cs="Tahoma"/>
          <w:szCs w:val="20"/>
        </w:rPr>
        <w:t>4 uvádí a popisuje jako východisk</w:t>
      </w:r>
      <w:r w:rsidR="00E26320">
        <w:rPr>
          <w:rFonts w:cs="Tahoma"/>
          <w:szCs w:val="20"/>
        </w:rPr>
        <w:t>a</w:t>
      </w:r>
      <w:r w:rsidR="00E52E5C" w:rsidRPr="00E52E5C">
        <w:rPr>
          <w:rFonts w:cs="Tahoma"/>
          <w:szCs w:val="20"/>
        </w:rPr>
        <w:t xml:space="preserve"> pro zaměření územní dimenze v operačním programu </w:t>
      </w:r>
      <w:r w:rsidR="00E26320">
        <w:rPr>
          <w:rFonts w:cs="Tahoma"/>
          <w:szCs w:val="20"/>
        </w:rPr>
        <w:t xml:space="preserve">jednak Národní dokument k územní dimenzi a také </w:t>
      </w:r>
      <w:r w:rsidR="00E52E5C" w:rsidRPr="00E52E5C">
        <w:rPr>
          <w:rFonts w:cs="Tahoma"/>
          <w:szCs w:val="20"/>
        </w:rPr>
        <w:t xml:space="preserve">Strategii regionálního rozvoje ČR 2014-2020. </w:t>
      </w:r>
      <w:r w:rsidR="00E52E5C">
        <w:rPr>
          <w:rFonts w:cs="Tahoma"/>
          <w:szCs w:val="20"/>
        </w:rPr>
        <w:t xml:space="preserve">Dále popisuje </w:t>
      </w:r>
      <w:r w:rsidR="00E52E5C" w:rsidRPr="00E52E5C">
        <w:rPr>
          <w:rFonts w:cs="Tahoma"/>
          <w:szCs w:val="20"/>
        </w:rPr>
        <w:t>způsob řešení územní dimenze a integrovaných přístupů v jednotlivých prioritních osách a specifických cílech OP PIK</w:t>
      </w:r>
      <w:r w:rsidR="00E52E5C">
        <w:rPr>
          <w:rFonts w:cs="Tahoma"/>
          <w:szCs w:val="20"/>
        </w:rPr>
        <w:t>.</w:t>
      </w:r>
    </w:p>
    <w:p w:rsidR="00022E68" w:rsidRPr="00022E68" w:rsidRDefault="00022E68" w:rsidP="00022E68">
      <w:pPr>
        <w:tabs>
          <w:tab w:val="num" w:pos="720"/>
        </w:tabs>
        <w:spacing w:after="120"/>
        <w:rPr>
          <w:u w:val="single"/>
        </w:rPr>
      </w:pPr>
      <w:r w:rsidRPr="00843927">
        <w:rPr>
          <w:u w:val="single"/>
        </w:rPr>
        <w:t>Zjištění</w:t>
      </w:r>
      <w:r>
        <w:rPr>
          <w:u w:val="single"/>
        </w:rPr>
        <w:t xml:space="preserve"> v návaznosti na evaluační otázky a úkoly</w:t>
      </w:r>
      <w:r w:rsidRPr="00843927">
        <w:rPr>
          <w:u w:val="single"/>
        </w:rPr>
        <w:t>:</w:t>
      </w:r>
    </w:p>
    <w:tbl>
      <w:tblPr>
        <w:tblW w:w="922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06"/>
        <w:gridCol w:w="2511"/>
        <w:gridCol w:w="1843"/>
        <w:gridCol w:w="3969"/>
      </w:tblGrid>
      <w:tr w:rsidR="00022E68" w:rsidRPr="00C15C0C" w:rsidTr="00C03DCD">
        <w:trPr>
          <w:trHeight w:val="1350"/>
          <w:tblHeader/>
        </w:trPr>
        <w:tc>
          <w:tcPr>
            <w:tcW w:w="906" w:type="dxa"/>
            <w:shd w:val="clear" w:color="000000" w:fill="BFBFBF"/>
            <w:vAlign w:val="center"/>
            <w:hideMark/>
          </w:tcPr>
          <w:p w:rsidR="00022E68" w:rsidRPr="00C15C0C" w:rsidRDefault="00022E68" w:rsidP="00022E68">
            <w:pPr>
              <w:jc w:val="center"/>
              <w:rPr>
                <w:rFonts w:ascii="Times New Roman" w:eastAsia="Times New Roman" w:hAnsi="Times New Roman" w:cs="Times New Roman"/>
                <w:b/>
                <w:bCs/>
                <w:szCs w:val="20"/>
                <w:lang w:eastAsia="cs-CZ"/>
              </w:rPr>
            </w:pPr>
            <w:proofErr w:type="spellStart"/>
            <w:r w:rsidRPr="00C15C0C">
              <w:rPr>
                <w:rFonts w:ascii="Times New Roman" w:eastAsia="Times New Roman" w:hAnsi="Times New Roman" w:cs="Times New Roman"/>
                <w:b/>
                <w:bCs/>
                <w:szCs w:val="20"/>
                <w:lang w:eastAsia="cs-CZ"/>
              </w:rPr>
              <w:t>Poř</w:t>
            </w:r>
            <w:proofErr w:type="spellEnd"/>
            <w:r w:rsidRPr="00C15C0C">
              <w:rPr>
                <w:rFonts w:ascii="Times New Roman" w:eastAsia="Times New Roman" w:hAnsi="Times New Roman" w:cs="Times New Roman"/>
                <w:b/>
                <w:bCs/>
                <w:szCs w:val="20"/>
                <w:lang w:eastAsia="cs-CZ"/>
              </w:rPr>
              <w:t>. č.</w:t>
            </w:r>
          </w:p>
        </w:tc>
        <w:tc>
          <w:tcPr>
            <w:tcW w:w="2511" w:type="dxa"/>
            <w:shd w:val="clear" w:color="000000" w:fill="BFBFBF"/>
            <w:vAlign w:val="center"/>
            <w:hideMark/>
          </w:tcPr>
          <w:p w:rsidR="00022E68" w:rsidRPr="00C15C0C" w:rsidRDefault="00022E68" w:rsidP="00022E68">
            <w:pPr>
              <w:jc w:val="center"/>
              <w:rPr>
                <w:rFonts w:ascii="Times New Roman" w:eastAsia="Times New Roman" w:hAnsi="Times New Roman" w:cs="Times New Roman"/>
                <w:b/>
                <w:bCs/>
                <w:szCs w:val="20"/>
                <w:lang w:eastAsia="cs-CZ"/>
              </w:rPr>
            </w:pPr>
            <w:r w:rsidRPr="00C15C0C">
              <w:rPr>
                <w:rFonts w:ascii="Times New Roman" w:eastAsia="Times New Roman" w:hAnsi="Times New Roman" w:cs="Times New Roman"/>
                <w:b/>
                <w:bCs/>
                <w:szCs w:val="20"/>
                <w:lang w:eastAsia="cs-CZ"/>
              </w:rPr>
              <w:t>Evaluační otázka / úkol</w:t>
            </w:r>
          </w:p>
        </w:tc>
        <w:tc>
          <w:tcPr>
            <w:tcW w:w="1843" w:type="dxa"/>
            <w:shd w:val="clear" w:color="000000" w:fill="BFBFBF"/>
            <w:vAlign w:val="center"/>
            <w:hideMark/>
          </w:tcPr>
          <w:p w:rsidR="00022E68" w:rsidRPr="00C15C0C" w:rsidRDefault="00022E68" w:rsidP="005C0ADF">
            <w:pPr>
              <w:jc w:val="center"/>
              <w:rPr>
                <w:rFonts w:ascii="Times New Roman" w:eastAsia="Times New Roman" w:hAnsi="Times New Roman" w:cs="Times New Roman"/>
                <w:b/>
                <w:bCs/>
                <w:szCs w:val="20"/>
                <w:lang w:eastAsia="cs-CZ"/>
              </w:rPr>
            </w:pPr>
            <w:r w:rsidRPr="00C15C0C">
              <w:rPr>
                <w:rFonts w:ascii="Times New Roman" w:eastAsia="Times New Roman" w:hAnsi="Times New Roman" w:cs="Times New Roman"/>
                <w:b/>
                <w:bCs/>
                <w:szCs w:val="20"/>
                <w:lang w:eastAsia="cs-CZ"/>
              </w:rPr>
              <w:t>Zhodnocení</w:t>
            </w:r>
            <w:r w:rsidRPr="00C15C0C">
              <w:rPr>
                <w:rFonts w:ascii="Times New Roman" w:eastAsia="Times New Roman" w:hAnsi="Times New Roman" w:cs="Times New Roman"/>
                <w:b/>
                <w:bCs/>
                <w:szCs w:val="20"/>
                <w:lang w:eastAsia="cs-CZ"/>
              </w:rPr>
              <w:br/>
            </w:r>
            <w:r w:rsidRPr="00C15C0C">
              <w:rPr>
                <w:rFonts w:ascii="Times New Roman" w:eastAsia="Times New Roman" w:hAnsi="Times New Roman" w:cs="Times New Roman"/>
                <w:szCs w:val="20"/>
                <w:lang w:eastAsia="cs-CZ"/>
              </w:rPr>
              <w:t>(A - Ano, SA - Spíše ano, SN - Spíše ne, N - Ne, NR - Není relevantní)</w:t>
            </w:r>
          </w:p>
        </w:tc>
        <w:tc>
          <w:tcPr>
            <w:tcW w:w="3969" w:type="dxa"/>
            <w:shd w:val="clear" w:color="000000" w:fill="BFBFBF"/>
            <w:vAlign w:val="center"/>
            <w:hideMark/>
          </w:tcPr>
          <w:p w:rsidR="00022E68" w:rsidRPr="00C15C0C" w:rsidRDefault="00022E68" w:rsidP="00022E68">
            <w:pPr>
              <w:jc w:val="center"/>
              <w:rPr>
                <w:rFonts w:ascii="Times New Roman" w:eastAsia="Times New Roman" w:hAnsi="Times New Roman" w:cs="Times New Roman"/>
                <w:b/>
                <w:bCs/>
                <w:szCs w:val="20"/>
                <w:lang w:eastAsia="cs-CZ"/>
              </w:rPr>
            </w:pPr>
            <w:r w:rsidRPr="00C15C0C">
              <w:rPr>
                <w:rFonts w:ascii="Times New Roman" w:eastAsia="Times New Roman" w:hAnsi="Times New Roman" w:cs="Times New Roman"/>
                <w:b/>
                <w:bCs/>
                <w:szCs w:val="20"/>
                <w:lang w:eastAsia="cs-CZ"/>
              </w:rPr>
              <w:t>Komentář, doporučení</w:t>
            </w:r>
          </w:p>
        </w:tc>
      </w:tr>
      <w:tr w:rsidR="00C53FA1" w:rsidRPr="00C15C0C" w:rsidTr="00C03DCD">
        <w:trPr>
          <w:trHeight w:val="755"/>
        </w:trPr>
        <w:tc>
          <w:tcPr>
            <w:tcW w:w="906" w:type="dxa"/>
            <w:shd w:val="clear" w:color="000000" w:fill="C5D9F1"/>
            <w:hideMark/>
          </w:tcPr>
          <w:p w:rsidR="00C53FA1" w:rsidRPr="00842AEB" w:rsidRDefault="00C53FA1" w:rsidP="005C0ADF">
            <w:pPr>
              <w:rPr>
                <w:rFonts w:ascii="Times New Roman" w:eastAsia="Times New Roman" w:hAnsi="Times New Roman" w:cs="Times New Roman"/>
                <w:szCs w:val="20"/>
                <w:lang w:eastAsia="cs-CZ"/>
              </w:rPr>
            </w:pPr>
            <w:r w:rsidRPr="00842AEB">
              <w:rPr>
                <w:rFonts w:ascii="Times New Roman" w:eastAsia="Times New Roman" w:hAnsi="Times New Roman" w:cs="Times New Roman"/>
                <w:szCs w:val="20"/>
                <w:lang w:eastAsia="cs-CZ"/>
              </w:rPr>
              <w:t>01.21</w:t>
            </w:r>
          </w:p>
        </w:tc>
        <w:tc>
          <w:tcPr>
            <w:tcW w:w="2511" w:type="dxa"/>
            <w:shd w:val="clear" w:color="000000" w:fill="C5D9F1"/>
            <w:hideMark/>
          </w:tcPr>
          <w:p w:rsidR="00C53FA1" w:rsidRPr="00842AEB" w:rsidRDefault="00C53FA1" w:rsidP="005C0ADF">
            <w:pPr>
              <w:rPr>
                <w:rFonts w:ascii="Times New Roman" w:eastAsia="Times New Roman" w:hAnsi="Times New Roman" w:cs="Times New Roman"/>
                <w:szCs w:val="20"/>
                <w:lang w:eastAsia="cs-CZ"/>
              </w:rPr>
            </w:pPr>
            <w:r w:rsidRPr="00842AEB">
              <w:rPr>
                <w:rFonts w:ascii="Times New Roman" w:eastAsia="Times New Roman" w:hAnsi="Times New Roman" w:cs="Times New Roman"/>
                <w:szCs w:val="20"/>
                <w:lang w:eastAsia="cs-CZ"/>
              </w:rPr>
              <w:t>Jsou v programu vhodně popsány územní dimenze a relevantní integrované přístupy k územnímu rozvoji, tj. je zřejmé, zda a jak budou tyto aspekty přispívat k cílům a očekávaným výsledkům programu?</w:t>
            </w:r>
          </w:p>
        </w:tc>
        <w:tc>
          <w:tcPr>
            <w:tcW w:w="1843" w:type="dxa"/>
            <w:shd w:val="clear" w:color="000000" w:fill="C5D9F1"/>
            <w:vAlign w:val="center"/>
            <w:hideMark/>
          </w:tcPr>
          <w:p w:rsidR="00C53FA1" w:rsidRPr="00842AEB" w:rsidRDefault="00C53FA1" w:rsidP="00611C01">
            <w:pPr>
              <w:jc w:val="center"/>
              <w:rPr>
                <w:rFonts w:ascii="Times New Roman" w:eastAsia="Times New Roman" w:hAnsi="Times New Roman" w:cs="Times New Roman"/>
                <w:szCs w:val="20"/>
                <w:lang w:eastAsia="cs-CZ"/>
              </w:rPr>
            </w:pPr>
            <w:r w:rsidRPr="00842AEB">
              <w:rPr>
                <w:rFonts w:ascii="Times New Roman" w:eastAsia="Times New Roman" w:hAnsi="Times New Roman" w:cs="Times New Roman"/>
                <w:szCs w:val="20"/>
                <w:lang w:eastAsia="cs-CZ"/>
              </w:rPr>
              <w:t>SA</w:t>
            </w:r>
          </w:p>
        </w:tc>
        <w:tc>
          <w:tcPr>
            <w:tcW w:w="3969" w:type="dxa"/>
            <w:shd w:val="clear" w:color="000000" w:fill="C5D9F1"/>
            <w:hideMark/>
          </w:tcPr>
          <w:p w:rsidR="00C53FA1" w:rsidRPr="001875D2" w:rsidRDefault="00C53FA1" w:rsidP="00C53FA1">
            <w:pPr>
              <w:autoSpaceDE w:val="0"/>
              <w:autoSpaceDN w:val="0"/>
              <w:adjustRightInd w:val="0"/>
              <w:rPr>
                <w:rFonts w:ascii="Times New Roman" w:eastAsia="Times New Roman" w:hAnsi="Times New Roman" w:cs="Times New Roman"/>
                <w:szCs w:val="20"/>
                <w:lang w:eastAsia="cs-CZ"/>
              </w:rPr>
            </w:pPr>
            <w:r w:rsidRPr="001875D2">
              <w:rPr>
                <w:rFonts w:ascii="Times New Roman" w:eastAsia="Times New Roman" w:hAnsi="Times New Roman" w:cs="Times New Roman"/>
                <w:szCs w:val="20"/>
                <w:lang w:eastAsia="cs-CZ"/>
              </w:rPr>
              <w:t>V programu je naznačeno, jakým způsobem budou územní dimenze a integrované přístupy uplatněny v jednotlivých prioritních osách programu s tím, že detailní řešení bude obsaženo v prováděcí dokumentaci</w:t>
            </w:r>
            <w:r w:rsidR="00E26320" w:rsidRPr="001875D2">
              <w:rPr>
                <w:rFonts w:ascii="Times New Roman" w:eastAsia="Times New Roman" w:hAnsi="Times New Roman" w:cs="Times New Roman"/>
                <w:szCs w:val="20"/>
                <w:lang w:eastAsia="cs-CZ"/>
              </w:rPr>
              <w:t xml:space="preserve"> a v návaznosti na regionální integrované strategie.</w:t>
            </w:r>
            <w:r w:rsidR="00171662" w:rsidRPr="001875D2">
              <w:rPr>
                <w:rFonts w:ascii="Times New Roman" w:eastAsia="Times New Roman" w:hAnsi="Times New Roman" w:cs="Times New Roman"/>
                <w:szCs w:val="20"/>
                <w:lang w:eastAsia="cs-CZ"/>
              </w:rPr>
              <w:t xml:space="preserve"> </w:t>
            </w:r>
          </w:p>
          <w:p w:rsidR="00171662" w:rsidRPr="001875D2" w:rsidRDefault="00171662" w:rsidP="00C53FA1">
            <w:pPr>
              <w:autoSpaceDE w:val="0"/>
              <w:autoSpaceDN w:val="0"/>
              <w:adjustRightInd w:val="0"/>
              <w:rPr>
                <w:rFonts w:ascii="Times New Roman" w:eastAsia="Times New Roman" w:hAnsi="Times New Roman" w:cs="Times New Roman"/>
                <w:szCs w:val="20"/>
                <w:lang w:eastAsia="cs-CZ"/>
              </w:rPr>
            </w:pPr>
          </w:p>
          <w:p w:rsidR="00C53FA1" w:rsidRPr="001875D2" w:rsidRDefault="00C53FA1" w:rsidP="00C53FA1">
            <w:pPr>
              <w:autoSpaceDE w:val="0"/>
              <w:autoSpaceDN w:val="0"/>
              <w:adjustRightInd w:val="0"/>
              <w:rPr>
                <w:rFonts w:ascii="Times New Roman" w:eastAsia="Times New Roman" w:hAnsi="Times New Roman" w:cs="Times New Roman"/>
                <w:szCs w:val="20"/>
                <w:lang w:eastAsia="cs-CZ"/>
              </w:rPr>
            </w:pPr>
            <w:r w:rsidRPr="001875D2">
              <w:rPr>
                <w:rFonts w:ascii="Times New Roman" w:eastAsia="Times New Roman" w:hAnsi="Times New Roman" w:cs="Times New Roman"/>
                <w:szCs w:val="20"/>
                <w:lang w:eastAsia="cs-CZ"/>
              </w:rPr>
              <w:t xml:space="preserve">V programovém dokumentu by měly být </w:t>
            </w:r>
            <w:r w:rsidR="00201CFD" w:rsidRPr="001875D2">
              <w:rPr>
                <w:rFonts w:ascii="Times New Roman" w:eastAsia="Times New Roman" w:hAnsi="Times New Roman" w:cs="Times New Roman"/>
                <w:szCs w:val="20"/>
                <w:lang w:eastAsia="cs-CZ"/>
              </w:rPr>
              <w:t xml:space="preserve">detailněji </w:t>
            </w:r>
            <w:r w:rsidRPr="001875D2">
              <w:rPr>
                <w:rFonts w:ascii="Times New Roman" w:eastAsia="Times New Roman" w:hAnsi="Times New Roman" w:cs="Times New Roman"/>
                <w:szCs w:val="20"/>
                <w:lang w:eastAsia="cs-CZ"/>
              </w:rPr>
              <w:t xml:space="preserve">popsány základní principy naplňování územní dimenze </w:t>
            </w:r>
            <w:r w:rsidR="00201CFD" w:rsidRPr="001875D2">
              <w:rPr>
                <w:rFonts w:ascii="Times New Roman" w:eastAsia="Times New Roman" w:hAnsi="Times New Roman" w:cs="Times New Roman"/>
                <w:szCs w:val="20"/>
                <w:lang w:eastAsia="cs-CZ"/>
              </w:rPr>
              <w:t>v návaznosti na Národní dokument k územní dimenzi.</w:t>
            </w:r>
            <w:r w:rsidRPr="001875D2">
              <w:rPr>
                <w:rFonts w:ascii="Times New Roman" w:eastAsia="Times New Roman" w:hAnsi="Times New Roman" w:cs="Times New Roman"/>
                <w:szCs w:val="20"/>
                <w:lang w:eastAsia="cs-CZ"/>
              </w:rPr>
              <w:t xml:space="preserve"> </w:t>
            </w:r>
          </w:p>
          <w:p w:rsidR="00C53FA1" w:rsidRPr="001875D2" w:rsidRDefault="00C53FA1" w:rsidP="00C53FA1">
            <w:pPr>
              <w:autoSpaceDE w:val="0"/>
              <w:autoSpaceDN w:val="0"/>
              <w:adjustRightInd w:val="0"/>
              <w:rPr>
                <w:rFonts w:ascii="Times New Roman" w:eastAsia="Times New Roman" w:hAnsi="Times New Roman" w:cs="Times New Roman"/>
                <w:szCs w:val="20"/>
                <w:lang w:eastAsia="cs-CZ"/>
              </w:rPr>
            </w:pPr>
          </w:p>
          <w:p w:rsidR="00C53FA1" w:rsidRDefault="00C53FA1" w:rsidP="00DA6E30">
            <w:pPr>
              <w:autoSpaceDE w:val="0"/>
              <w:autoSpaceDN w:val="0"/>
              <w:adjustRightInd w:val="0"/>
              <w:rPr>
                <w:rFonts w:ascii="Times New Roman" w:eastAsia="Times New Roman" w:hAnsi="Times New Roman" w:cs="Times New Roman"/>
                <w:szCs w:val="20"/>
                <w:lang w:eastAsia="cs-CZ"/>
              </w:rPr>
            </w:pPr>
            <w:r w:rsidRPr="001875D2">
              <w:rPr>
                <w:rFonts w:ascii="Times New Roman" w:eastAsia="Times New Roman" w:hAnsi="Times New Roman" w:cs="Times New Roman"/>
                <w:szCs w:val="20"/>
                <w:lang w:eastAsia="cs-CZ"/>
              </w:rPr>
              <w:t>V</w:t>
            </w:r>
            <w:r w:rsidR="00E26320" w:rsidRPr="001875D2">
              <w:rPr>
                <w:rFonts w:ascii="Times New Roman" w:eastAsia="Times New Roman" w:hAnsi="Times New Roman" w:cs="Times New Roman"/>
                <w:szCs w:val="20"/>
                <w:lang w:eastAsia="cs-CZ"/>
              </w:rPr>
              <w:t> </w:t>
            </w:r>
            <w:r w:rsidRPr="001875D2">
              <w:rPr>
                <w:rFonts w:ascii="Times New Roman" w:eastAsia="Times New Roman" w:hAnsi="Times New Roman" w:cs="Times New Roman"/>
                <w:szCs w:val="20"/>
                <w:lang w:eastAsia="cs-CZ"/>
              </w:rPr>
              <w:t>tabul</w:t>
            </w:r>
            <w:r w:rsidR="00E26320" w:rsidRPr="001875D2">
              <w:rPr>
                <w:rFonts w:ascii="Times New Roman" w:eastAsia="Times New Roman" w:hAnsi="Times New Roman" w:cs="Times New Roman"/>
                <w:szCs w:val="20"/>
                <w:lang w:eastAsia="cs-CZ"/>
              </w:rPr>
              <w:t>ce 2</w:t>
            </w:r>
            <w:r w:rsidRPr="001875D2">
              <w:rPr>
                <w:rFonts w:ascii="Times New Roman" w:eastAsia="Times New Roman" w:hAnsi="Times New Roman" w:cs="Times New Roman"/>
                <w:szCs w:val="20"/>
                <w:lang w:eastAsia="cs-CZ"/>
              </w:rPr>
              <w:t>0 zatím chybí orientační částky podpory/orientační finanční příděl a bližší popis pro integrovaná opatření pro udržitelný rozvoj měst (zejména v kap. 4.2 -  v tomto bodě např. chybí přehled „integrovaných územních investic“, který je ale zmiňován dále v textu).</w:t>
            </w:r>
          </w:p>
          <w:p w:rsidR="009B27D9" w:rsidRDefault="009B27D9" w:rsidP="00DA6E30">
            <w:pPr>
              <w:autoSpaceDE w:val="0"/>
              <w:autoSpaceDN w:val="0"/>
              <w:adjustRightInd w:val="0"/>
              <w:rPr>
                <w:rFonts w:ascii="Times New Roman" w:eastAsia="Times New Roman" w:hAnsi="Times New Roman" w:cs="Times New Roman"/>
                <w:szCs w:val="20"/>
                <w:lang w:eastAsia="cs-CZ"/>
              </w:rPr>
            </w:pPr>
          </w:p>
          <w:p w:rsidR="009B27D9" w:rsidRPr="001875D2" w:rsidRDefault="009B27D9" w:rsidP="009B27D9">
            <w:pPr>
              <w:autoSpaceDE w:val="0"/>
              <w:autoSpaceDN w:val="0"/>
              <w:adjustRightInd w:val="0"/>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Jak již bylo uvedeno v předchozím textu této zprávy, hodnotitel doporučuje významnou územní koncentraci intervencí OP PIK.</w:t>
            </w:r>
          </w:p>
        </w:tc>
      </w:tr>
    </w:tbl>
    <w:p w:rsidR="004373D8" w:rsidRDefault="004373D8" w:rsidP="00573C39">
      <w:pPr>
        <w:tabs>
          <w:tab w:val="num" w:pos="720"/>
        </w:tabs>
        <w:spacing w:after="120"/>
      </w:pPr>
    </w:p>
    <w:p w:rsidR="004373D8" w:rsidRPr="00074462" w:rsidRDefault="00C33503" w:rsidP="00C33503">
      <w:pPr>
        <w:pStyle w:val="Nadpis2"/>
      </w:pPr>
      <w:bookmarkStart w:id="23" w:name="_Toc392583670"/>
      <w:r w:rsidRPr="00074462">
        <w:t>Ex-ante kondicionality</w:t>
      </w:r>
      <w:bookmarkEnd w:id="23"/>
    </w:p>
    <w:p w:rsidR="002C6BB2" w:rsidRPr="002C6BB2" w:rsidRDefault="002C6BB2" w:rsidP="002C6BB2">
      <w:pPr>
        <w:tabs>
          <w:tab w:val="num" w:pos="720"/>
        </w:tabs>
        <w:spacing w:after="120"/>
        <w:rPr>
          <w:u w:val="single"/>
        </w:rPr>
      </w:pPr>
      <w:r w:rsidRPr="002C6BB2">
        <w:rPr>
          <w:u w:val="single"/>
        </w:rPr>
        <w:t>Úkol:</w:t>
      </w:r>
    </w:p>
    <w:p w:rsidR="002C6BB2" w:rsidRPr="003B233D" w:rsidRDefault="002C6BB2" w:rsidP="002C6BB2">
      <w:pPr>
        <w:spacing w:after="120"/>
        <w:rPr>
          <w:rFonts w:cs="Tahoma"/>
          <w:szCs w:val="20"/>
        </w:rPr>
      </w:pPr>
      <w:r>
        <w:rPr>
          <w:rFonts w:cs="Tahoma"/>
          <w:szCs w:val="20"/>
        </w:rPr>
        <w:t>Posoudit</w:t>
      </w:r>
      <w:r w:rsidRPr="002C6BB2">
        <w:rPr>
          <w:rFonts w:cs="Tahoma"/>
          <w:szCs w:val="20"/>
        </w:rPr>
        <w:t xml:space="preserve"> </w:t>
      </w:r>
      <w:r>
        <w:rPr>
          <w:rFonts w:cs="Tahoma"/>
          <w:szCs w:val="20"/>
        </w:rPr>
        <w:t>míru</w:t>
      </w:r>
      <w:r w:rsidRPr="002C6BB2">
        <w:rPr>
          <w:rFonts w:cs="Tahoma"/>
          <w:szCs w:val="20"/>
        </w:rPr>
        <w:t xml:space="preserve"> zohlednění, splnění a zapracování požadavků na ex-ante kondicionality v programu</w:t>
      </w:r>
      <w:r w:rsidRPr="003B233D">
        <w:rPr>
          <w:rFonts w:cs="Tahoma"/>
          <w:szCs w:val="20"/>
        </w:rPr>
        <w:t>.</w:t>
      </w:r>
    </w:p>
    <w:p w:rsidR="00022E68" w:rsidRPr="003B233D" w:rsidRDefault="00022E68" w:rsidP="00022E68">
      <w:pPr>
        <w:tabs>
          <w:tab w:val="num" w:pos="720"/>
        </w:tabs>
        <w:spacing w:after="120"/>
        <w:rPr>
          <w:u w:val="single"/>
        </w:rPr>
      </w:pPr>
      <w:r>
        <w:rPr>
          <w:u w:val="single"/>
        </w:rPr>
        <w:t>Východiska</w:t>
      </w:r>
      <w:r w:rsidRPr="003B233D">
        <w:rPr>
          <w:u w:val="single"/>
        </w:rPr>
        <w:t>:</w:t>
      </w:r>
    </w:p>
    <w:p w:rsidR="00022E68" w:rsidRPr="00667E35" w:rsidRDefault="00022E68" w:rsidP="00022E68">
      <w:pPr>
        <w:spacing w:after="120"/>
        <w:rPr>
          <w:rFonts w:cs="Tahoma"/>
          <w:szCs w:val="20"/>
        </w:rPr>
      </w:pPr>
      <w:r w:rsidRPr="006D241D">
        <w:rPr>
          <w:rFonts w:cs="Tahoma"/>
          <w:szCs w:val="20"/>
        </w:rPr>
        <w:t xml:space="preserve">Východiskem pro hodnocení je především </w:t>
      </w:r>
      <w:r w:rsidR="00A2310F" w:rsidRPr="006D241D">
        <w:rPr>
          <w:rFonts w:cs="Tahoma"/>
          <w:szCs w:val="20"/>
        </w:rPr>
        <w:t>oddíl</w:t>
      </w:r>
      <w:r w:rsidRPr="006D241D">
        <w:rPr>
          <w:rFonts w:cs="Tahoma"/>
          <w:szCs w:val="20"/>
        </w:rPr>
        <w:t xml:space="preserve"> </w:t>
      </w:r>
      <w:r w:rsidR="001466C1" w:rsidRPr="006D241D">
        <w:rPr>
          <w:rFonts w:cs="Tahoma"/>
          <w:szCs w:val="20"/>
        </w:rPr>
        <w:t>9</w:t>
      </w:r>
      <w:r w:rsidRPr="006D241D">
        <w:rPr>
          <w:rFonts w:cs="Tahoma"/>
          <w:szCs w:val="20"/>
        </w:rPr>
        <w:t>. „</w:t>
      </w:r>
      <w:r w:rsidR="001466C1" w:rsidRPr="006D241D">
        <w:rPr>
          <w:rFonts w:cs="Tahoma"/>
          <w:szCs w:val="20"/>
        </w:rPr>
        <w:t>Předběžné podmínky</w:t>
      </w:r>
      <w:r w:rsidRPr="006D241D">
        <w:rPr>
          <w:rFonts w:cs="Tahoma"/>
          <w:szCs w:val="20"/>
        </w:rPr>
        <w:t>“</w:t>
      </w:r>
      <w:r w:rsidR="00B04D95" w:rsidRPr="006D241D">
        <w:rPr>
          <w:rFonts w:cs="Tahoma"/>
          <w:szCs w:val="20"/>
        </w:rPr>
        <w:t xml:space="preserve"> a Příloha č. </w:t>
      </w:r>
      <w:r w:rsidR="006D241D" w:rsidRPr="006D241D">
        <w:rPr>
          <w:rFonts w:cs="Tahoma"/>
          <w:szCs w:val="20"/>
        </w:rPr>
        <w:t>II</w:t>
      </w:r>
      <w:r w:rsidR="00B04D95" w:rsidRPr="006D241D">
        <w:rPr>
          <w:rFonts w:cs="Tahoma"/>
          <w:szCs w:val="20"/>
        </w:rPr>
        <w:t xml:space="preserve"> „</w:t>
      </w:r>
      <w:r w:rsidR="006D241D" w:rsidRPr="006D241D">
        <w:rPr>
          <w:rFonts w:cs="Tahoma"/>
          <w:szCs w:val="20"/>
        </w:rPr>
        <w:t>Dokumentace o posouzení použitelnos</w:t>
      </w:r>
      <w:r w:rsidR="006D241D" w:rsidRPr="00667E35">
        <w:rPr>
          <w:rFonts w:cs="Tahoma"/>
          <w:szCs w:val="20"/>
        </w:rPr>
        <w:t>ti a plnění p</w:t>
      </w:r>
      <w:r w:rsidR="00B04D95" w:rsidRPr="00667E35">
        <w:rPr>
          <w:rFonts w:cs="Tahoma"/>
          <w:szCs w:val="20"/>
        </w:rPr>
        <w:t>ředběžn</w:t>
      </w:r>
      <w:r w:rsidR="006D241D" w:rsidRPr="00667E35">
        <w:rPr>
          <w:rFonts w:cs="Tahoma"/>
          <w:szCs w:val="20"/>
        </w:rPr>
        <w:t>ých</w:t>
      </w:r>
      <w:r w:rsidR="00B04D95" w:rsidRPr="00667E35">
        <w:rPr>
          <w:rFonts w:cs="Tahoma"/>
          <w:szCs w:val="20"/>
        </w:rPr>
        <w:t xml:space="preserve"> podmín</w:t>
      </w:r>
      <w:r w:rsidR="006D241D" w:rsidRPr="00667E35">
        <w:rPr>
          <w:rFonts w:cs="Tahoma"/>
          <w:szCs w:val="20"/>
        </w:rPr>
        <w:t>e</w:t>
      </w:r>
      <w:r w:rsidR="00B04D95" w:rsidRPr="00667E35">
        <w:rPr>
          <w:rFonts w:cs="Tahoma"/>
          <w:szCs w:val="20"/>
        </w:rPr>
        <w:t>k“.</w:t>
      </w:r>
      <w:r w:rsidR="001466C1" w:rsidRPr="00667E35">
        <w:rPr>
          <w:rFonts w:cs="Tahoma"/>
          <w:szCs w:val="20"/>
        </w:rPr>
        <w:t xml:space="preserve"> </w:t>
      </w:r>
    </w:p>
    <w:p w:rsidR="00B04D95" w:rsidRDefault="00A2310F" w:rsidP="00704477">
      <w:pPr>
        <w:spacing w:after="120"/>
        <w:rPr>
          <w:rFonts w:cs="Tahoma"/>
          <w:szCs w:val="20"/>
        </w:rPr>
      </w:pPr>
      <w:r w:rsidRPr="00667E35">
        <w:rPr>
          <w:rFonts w:cs="Tahoma"/>
          <w:szCs w:val="20"/>
        </w:rPr>
        <w:t>Oddíl</w:t>
      </w:r>
      <w:r w:rsidR="00022E68" w:rsidRPr="00667E35">
        <w:rPr>
          <w:rFonts w:cs="Tahoma"/>
          <w:szCs w:val="20"/>
        </w:rPr>
        <w:t xml:space="preserve"> </w:t>
      </w:r>
      <w:r w:rsidR="001466C1" w:rsidRPr="00667E35">
        <w:rPr>
          <w:rFonts w:cs="Tahoma"/>
          <w:szCs w:val="20"/>
        </w:rPr>
        <w:t>9</w:t>
      </w:r>
      <w:r w:rsidR="00022E68" w:rsidRPr="00667E35">
        <w:rPr>
          <w:rFonts w:cs="Tahoma"/>
          <w:szCs w:val="20"/>
        </w:rPr>
        <w:t xml:space="preserve"> </w:t>
      </w:r>
      <w:r w:rsidR="00704477" w:rsidRPr="00667E35">
        <w:rPr>
          <w:rFonts w:cs="Tahoma"/>
          <w:szCs w:val="20"/>
        </w:rPr>
        <w:t xml:space="preserve">popisuje koordinaci a způsoby zajištění naplňování předběžných podmínek a také rizika jejich plnění. Zároveň je zde uveden tabulkový přehled všech platných obecných i tematických předběžných podmínek v OP PIK a popis opatření, která je potřeba provést pro splnění předběžných podmínek. </w:t>
      </w:r>
    </w:p>
    <w:p w:rsidR="009F764E" w:rsidRDefault="009F764E" w:rsidP="00022E68">
      <w:pPr>
        <w:tabs>
          <w:tab w:val="num" w:pos="720"/>
        </w:tabs>
        <w:spacing w:after="120"/>
        <w:rPr>
          <w:u w:val="single"/>
        </w:rPr>
      </w:pPr>
    </w:p>
    <w:p w:rsidR="00F21883" w:rsidRDefault="00F21883" w:rsidP="00022E68">
      <w:pPr>
        <w:tabs>
          <w:tab w:val="num" w:pos="720"/>
        </w:tabs>
        <w:spacing w:after="120"/>
        <w:rPr>
          <w:u w:val="single"/>
        </w:rPr>
      </w:pPr>
    </w:p>
    <w:p w:rsidR="00F21883" w:rsidRDefault="00F21883" w:rsidP="00022E68">
      <w:pPr>
        <w:tabs>
          <w:tab w:val="num" w:pos="720"/>
        </w:tabs>
        <w:spacing w:after="120"/>
        <w:rPr>
          <w:u w:val="single"/>
        </w:rPr>
      </w:pPr>
    </w:p>
    <w:p w:rsidR="00F21883" w:rsidRDefault="00F21883" w:rsidP="00022E68">
      <w:pPr>
        <w:tabs>
          <w:tab w:val="num" w:pos="720"/>
        </w:tabs>
        <w:spacing w:after="120"/>
        <w:rPr>
          <w:u w:val="single"/>
        </w:rPr>
      </w:pPr>
    </w:p>
    <w:p w:rsidR="00F21883" w:rsidRDefault="00F21883" w:rsidP="00022E68">
      <w:pPr>
        <w:tabs>
          <w:tab w:val="num" w:pos="720"/>
        </w:tabs>
        <w:spacing w:after="120"/>
        <w:rPr>
          <w:u w:val="single"/>
        </w:rPr>
      </w:pPr>
    </w:p>
    <w:p w:rsidR="00F21883" w:rsidRDefault="00F21883" w:rsidP="00022E68">
      <w:pPr>
        <w:tabs>
          <w:tab w:val="num" w:pos="720"/>
        </w:tabs>
        <w:spacing w:after="120"/>
        <w:rPr>
          <w:u w:val="single"/>
        </w:rPr>
      </w:pPr>
    </w:p>
    <w:p w:rsidR="00022E68" w:rsidRPr="00843927" w:rsidRDefault="00022E68" w:rsidP="00022E68">
      <w:pPr>
        <w:tabs>
          <w:tab w:val="num" w:pos="720"/>
        </w:tabs>
        <w:spacing w:after="120"/>
        <w:rPr>
          <w:u w:val="single"/>
        </w:rPr>
      </w:pPr>
      <w:r w:rsidRPr="00843927">
        <w:rPr>
          <w:u w:val="single"/>
        </w:rPr>
        <w:lastRenderedPageBreak/>
        <w:t>Zjištění</w:t>
      </w:r>
      <w:r>
        <w:rPr>
          <w:u w:val="single"/>
        </w:rPr>
        <w:t xml:space="preserve"> v návaznosti na evaluační otázky a úkoly</w:t>
      </w:r>
      <w:r w:rsidRPr="00843927">
        <w:rPr>
          <w:u w:val="single"/>
        </w:rPr>
        <w:t>:</w:t>
      </w:r>
    </w:p>
    <w:tbl>
      <w:tblPr>
        <w:tblW w:w="922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80"/>
        <w:gridCol w:w="2963"/>
        <w:gridCol w:w="1417"/>
        <w:gridCol w:w="3969"/>
      </w:tblGrid>
      <w:tr w:rsidR="00022E68" w:rsidRPr="00E82B06" w:rsidTr="000707AF">
        <w:trPr>
          <w:trHeight w:val="1350"/>
          <w:tblHeader/>
        </w:trPr>
        <w:tc>
          <w:tcPr>
            <w:tcW w:w="880" w:type="dxa"/>
            <w:shd w:val="clear" w:color="000000" w:fill="BFBFBF"/>
            <w:vAlign w:val="center"/>
            <w:hideMark/>
          </w:tcPr>
          <w:p w:rsidR="00022E68" w:rsidRPr="00E82B06" w:rsidRDefault="00022E68" w:rsidP="00022E68">
            <w:pPr>
              <w:jc w:val="center"/>
              <w:rPr>
                <w:rFonts w:ascii="Times New Roman" w:eastAsia="Times New Roman" w:hAnsi="Times New Roman" w:cs="Times New Roman"/>
                <w:b/>
                <w:bCs/>
                <w:szCs w:val="20"/>
                <w:lang w:eastAsia="cs-CZ"/>
              </w:rPr>
            </w:pPr>
            <w:proofErr w:type="spellStart"/>
            <w:r w:rsidRPr="00E82B06">
              <w:rPr>
                <w:rFonts w:ascii="Times New Roman" w:eastAsia="Times New Roman" w:hAnsi="Times New Roman" w:cs="Times New Roman"/>
                <w:b/>
                <w:bCs/>
                <w:szCs w:val="20"/>
                <w:lang w:eastAsia="cs-CZ"/>
              </w:rPr>
              <w:t>Poř</w:t>
            </w:r>
            <w:proofErr w:type="spellEnd"/>
            <w:r w:rsidRPr="00E82B06">
              <w:rPr>
                <w:rFonts w:ascii="Times New Roman" w:eastAsia="Times New Roman" w:hAnsi="Times New Roman" w:cs="Times New Roman"/>
                <w:b/>
                <w:bCs/>
                <w:szCs w:val="20"/>
                <w:lang w:eastAsia="cs-CZ"/>
              </w:rPr>
              <w:t>. č.</w:t>
            </w:r>
          </w:p>
        </w:tc>
        <w:tc>
          <w:tcPr>
            <w:tcW w:w="2963" w:type="dxa"/>
            <w:shd w:val="clear" w:color="000000" w:fill="BFBFBF"/>
            <w:vAlign w:val="center"/>
            <w:hideMark/>
          </w:tcPr>
          <w:p w:rsidR="00022E68" w:rsidRPr="00E82B06" w:rsidRDefault="00022E68" w:rsidP="00022E68">
            <w:pPr>
              <w:jc w:val="center"/>
              <w:rPr>
                <w:rFonts w:ascii="Times New Roman" w:eastAsia="Times New Roman" w:hAnsi="Times New Roman" w:cs="Times New Roman"/>
                <w:b/>
                <w:bCs/>
                <w:szCs w:val="20"/>
                <w:lang w:eastAsia="cs-CZ"/>
              </w:rPr>
            </w:pPr>
            <w:r w:rsidRPr="00E82B06">
              <w:rPr>
                <w:rFonts w:ascii="Times New Roman" w:eastAsia="Times New Roman" w:hAnsi="Times New Roman" w:cs="Times New Roman"/>
                <w:b/>
                <w:bCs/>
                <w:szCs w:val="20"/>
                <w:lang w:eastAsia="cs-CZ"/>
              </w:rPr>
              <w:t>Evaluační otázka / úkol</w:t>
            </w:r>
          </w:p>
        </w:tc>
        <w:tc>
          <w:tcPr>
            <w:tcW w:w="1417" w:type="dxa"/>
            <w:shd w:val="clear" w:color="000000" w:fill="BFBFBF"/>
            <w:vAlign w:val="center"/>
            <w:hideMark/>
          </w:tcPr>
          <w:p w:rsidR="00022E68" w:rsidRPr="00E82B06" w:rsidRDefault="00022E68" w:rsidP="00022E68">
            <w:pPr>
              <w:jc w:val="center"/>
              <w:rPr>
                <w:rFonts w:ascii="Times New Roman" w:eastAsia="Times New Roman" w:hAnsi="Times New Roman" w:cs="Times New Roman"/>
                <w:b/>
                <w:bCs/>
                <w:szCs w:val="20"/>
                <w:lang w:eastAsia="cs-CZ"/>
              </w:rPr>
            </w:pPr>
            <w:r w:rsidRPr="00E82B06">
              <w:rPr>
                <w:rFonts w:ascii="Times New Roman" w:eastAsia="Times New Roman" w:hAnsi="Times New Roman" w:cs="Times New Roman"/>
                <w:b/>
                <w:bCs/>
                <w:szCs w:val="20"/>
                <w:lang w:eastAsia="cs-CZ"/>
              </w:rPr>
              <w:t>Zhodnocení</w:t>
            </w:r>
            <w:r w:rsidRPr="00E82B06">
              <w:rPr>
                <w:rFonts w:ascii="Times New Roman" w:eastAsia="Times New Roman" w:hAnsi="Times New Roman" w:cs="Times New Roman"/>
                <w:b/>
                <w:bCs/>
                <w:szCs w:val="20"/>
                <w:lang w:eastAsia="cs-CZ"/>
              </w:rPr>
              <w:br/>
            </w:r>
            <w:r w:rsidRPr="00E82B06">
              <w:rPr>
                <w:rFonts w:ascii="Times New Roman" w:eastAsia="Times New Roman" w:hAnsi="Times New Roman" w:cs="Times New Roman"/>
                <w:szCs w:val="20"/>
                <w:lang w:eastAsia="cs-CZ"/>
              </w:rPr>
              <w:t>(A - Ano, SA - Spíše ano, SN - Spíše ne, N - Ne, NR - Není relevantní)</w:t>
            </w:r>
          </w:p>
        </w:tc>
        <w:tc>
          <w:tcPr>
            <w:tcW w:w="3969" w:type="dxa"/>
            <w:shd w:val="clear" w:color="000000" w:fill="BFBFBF"/>
            <w:vAlign w:val="center"/>
            <w:hideMark/>
          </w:tcPr>
          <w:p w:rsidR="00022E68" w:rsidRPr="00E82B06" w:rsidRDefault="00022E68" w:rsidP="00022E68">
            <w:pPr>
              <w:jc w:val="center"/>
              <w:rPr>
                <w:rFonts w:ascii="Times New Roman" w:eastAsia="Times New Roman" w:hAnsi="Times New Roman" w:cs="Times New Roman"/>
                <w:b/>
                <w:bCs/>
                <w:szCs w:val="20"/>
                <w:lang w:eastAsia="cs-CZ"/>
              </w:rPr>
            </w:pPr>
            <w:r w:rsidRPr="00E82B06">
              <w:rPr>
                <w:rFonts w:ascii="Times New Roman" w:eastAsia="Times New Roman" w:hAnsi="Times New Roman" w:cs="Times New Roman"/>
                <w:b/>
                <w:bCs/>
                <w:szCs w:val="20"/>
                <w:lang w:eastAsia="cs-CZ"/>
              </w:rPr>
              <w:t>Komentář, doporučení</w:t>
            </w:r>
          </w:p>
        </w:tc>
      </w:tr>
      <w:tr w:rsidR="00022E68" w:rsidRPr="00E82B06" w:rsidTr="000707AF">
        <w:trPr>
          <w:trHeight w:val="540"/>
        </w:trPr>
        <w:tc>
          <w:tcPr>
            <w:tcW w:w="880" w:type="dxa"/>
            <w:shd w:val="clear" w:color="000000" w:fill="8DB4E3"/>
            <w:hideMark/>
          </w:tcPr>
          <w:p w:rsidR="00022E68" w:rsidRPr="00E82B06" w:rsidRDefault="00022E68" w:rsidP="009A3D63">
            <w:pPr>
              <w:rPr>
                <w:rFonts w:ascii="Times New Roman" w:eastAsia="Times New Roman" w:hAnsi="Times New Roman" w:cs="Times New Roman"/>
                <w:szCs w:val="20"/>
                <w:lang w:eastAsia="cs-CZ"/>
              </w:rPr>
            </w:pPr>
            <w:r w:rsidRPr="00E82B06">
              <w:rPr>
                <w:rFonts w:ascii="Times New Roman" w:eastAsia="Times New Roman" w:hAnsi="Times New Roman" w:cs="Times New Roman"/>
                <w:szCs w:val="20"/>
                <w:lang w:eastAsia="cs-CZ"/>
              </w:rPr>
              <w:t>01.22</w:t>
            </w:r>
          </w:p>
        </w:tc>
        <w:tc>
          <w:tcPr>
            <w:tcW w:w="2963" w:type="dxa"/>
            <w:shd w:val="clear" w:color="000000" w:fill="8DB4E3"/>
            <w:hideMark/>
          </w:tcPr>
          <w:p w:rsidR="00022E68" w:rsidRPr="00667E35" w:rsidRDefault="00022E68" w:rsidP="009A3D63">
            <w:pPr>
              <w:rPr>
                <w:rFonts w:ascii="Times New Roman" w:eastAsia="Times New Roman" w:hAnsi="Times New Roman" w:cs="Times New Roman"/>
                <w:szCs w:val="20"/>
                <w:lang w:eastAsia="cs-CZ"/>
              </w:rPr>
            </w:pPr>
            <w:r w:rsidRPr="00667E35">
              <w:rPr>
                <w:rFonts w:ascii="Times New Roman" w:eastAsia="Times New Roman" w:hAnsi="Times New Roman" w:cs="Times New Roman"/>
                <w:szCs w:val="20"/>
                <w:lang w:eastAsia="cs-CZ"/>
              </w:rPr>
              <w:t>Jsou splněna kritéria tematických ex-ante kondicionalit pro relevantní tematické oblasti OP PIK?</w:t>
            </w:r>
          </w:p>
        </w:tc>
        <w:tc>
          <w:tcPr>
            <w:tcW w:w="1417" w:type="dxa"/>
            <w:shd w:val="clear" w:color="000000" w:fill="8DB4E3"/>
            <w:vAlign w:val="center"/>
            <w:hideMark/>
          </w:tcPr>
          <w:p w:rsidR="00022E68" w:rsidRPr="00667E35" w:rsidRDefault="0064213A" w:rsidP="009A3D63">
            <w:pPr>
              <w:jc w:val="center"/>
              <w:rPr>
                <w:rFonts w:ascii="Times New Roman" w:eastAsia="Times New Roman" w:hAnsi="Times New Roman" w:cs="Times New Roman"/>
                <w:szCs w:val="20"/>
                <w:lang w:eastAsia="cs-CZ"/>
              </w:rPr>
            </w:pPr>
            <w:r w:rsidRPr="00667E35">
              <w:rPr>
                <w:rFonts w:ascii="Times New Roman" w:eastAsia="Times New Roman" w:hAnsi="Times New Roman" w:cs="Times New Roman"/>
                <w:szCs w:val="20"/>
                <w:lang w:eastAsia="cs-CZ"/>
              </w:rPr>
              <w:t>A</w:t>
            </w:r>
          </w:p>
        </w:tc>
        <w:tc>
          <w:tcPr>
            <w:tcW w:w="3969" w:type="dxa"/>
            <w:shd w:val="clear" w:color="000000" w:fill="8DB4E3"/>
            <w:hideMark/>
          </w:tcPr>
          <w:p w:rsidR="00D72DAE" w:rsidRPr="00667E35" w:rsidRDefault="00D72DAE" w:rsidP="0064213A">
            <w:pPr>
              <w:rPr>
                <w:rFonts w:ascii="Times New Roman" w:eastAsia="Times New Roman" w:hAnsi="Times New Roman" w:cs="Times New Roman"/>
                <w:szCs w:val="20"/>
                <w:lang w:eastAsia="cs-CZ"/>
              </w:rPr>
            </w:pPr>
            <w:r w:rsidRPr="00667E35">
              <w:rPr>
                <w:rFonts w:ascii="Times New Roman" w:eastAsia="Times New Roman" w:hAnsi="Times New Roman" w:cs="Times New Roman"/>
                <w:szCs w:val="20"/>
                <w:lang w:eastAsia="cs-CZ"/>
              </w:rPr>
              <w:t xml:space="preserve">V textu OP PIK je vymezeno celkem </w:t>
            </w:r>
            <w:r w:rsidR="002A172D" w:rsidRPr="00667E35">
              <w:rPr>
                <w:rFonts w:ascii="Times New Roman" w:eastAsia="Times New Roman" w:hAnsi="Times New Roman" w:cs="Times New Roman"/>
                <w:szCs w:val="20"/>
                <w:lang w:eastAsia="cs-CZ"/>
              </w:rPr>
              <w:t>9</w:t>
            </w:r>
            <w:r w:rsidRPr="00667E35">
              <w:rPr>
                <w:rFonts w:ascii="Times New Roman" w:eastAsia="Times New Roman" w:hAnsi="Times New Roman" w:cs="Times New Roman"/>
                <w:szCs w:val="20"/>
                <w:lang w:eastAsia="cs-CZ"/>
              </w:rPr>
              <w:t xml:space="preserve"> tematických předběžných podmínek,</w:t>
            </w:r>
            <w:r w:rsidR="0064213A" w:rsidRPr="00667E35">
              <w:rPr>
                <w:rFonts w:ascii="Times New Roman" w:eastAsia="Times New Roman" w:hAnsi="Times New Roman" w:cs="Times New Roman"/>
                <w:szCs w:val="20"/>
                <w:lang w:eastAsia="cs-CZ"/>
              </w:rPr>
              <w:t xml:space="preserve"> </w:t>
            </w:r>
            <w:r w:rsidR="00C95C0A" w:rsidRPr="00667E35">
              <w:rPr>
                <w:rFonts w:ascii="Times New Roman" w:eastAsia="Times New Roman" w:hAnsi="Times New Roman" w:cs="Times New Roman"/>
                <w:szCs w:val="20"/>
                <w:lang w:eastAsia="cs-CZ"/>
              </w:rPr>
              <w:t>ne všechn</w:t>
            </w:r>
            <w:r w:rsidR="0064213A" w:rsidRPr="00667E35">
              <w:rPr>
                <w:rFonts w:ascii="Times New Roman" w:eastAsia="Times New Roman" w:hAnsi="Times New Roman" w:cs="Times New Roman"/>
                <w:szCs w:val="20"/>
                <w:lang w:eastAsia="cs-CZ"/>
              </w:rPr>
              <w:t>a</w:t>
            </w:r>
            <w:r w:rsidR="00C95C0A" w:rsidRPr="00667E35">
              <w:rPr>
                <w:rFonts w:ascii="Times New Roman" w:eastAsia="Times New Roman" w:hAnsi="Times New Roman" w:cs="Times New Roman"/>
                <w:szCs w:val="20"/>
                <w:lang w:eastAsia="cs-CZ"/>
              </w:rPr>
              <w:t xml:space="preserve"> jsou ovšem v gesci MPO</w:t>
            </w:r>
            <w:r w:rsidRPr="00667E35">
              <w:rPr>
                <w:rFonts w:ascii="Times New Roman" w:eastAsia="Times New Roman" w:hAnsi="Times New Roman" w:cs="Times New Roman"/>
                <w:szCs w:val="20"/>
                <w:lang w:eastAsia="cs-CZ"/>
              </w:rPr>
              <w:t>.</w:t>
            </w:r>
            <w:r w:rsidR="0064213A" w:rsidRPr="00667E35">
              <w:t xml:space="preserve"> </w:t>
            </w:r>
            <w:r w:rsidR="0064213A" w:rsidRPr="00667E35">
              <w:rPr>
                <w:rFonts w:ascii="Times New Roman" w:eastAsia="Times New Roman" w:hAnsi="Times New Roman" w:cs="Times New Roman"/>
                <w:szCs w:val="20"/>
                <w:lang w:eastAsia="cs-CZ"/>
              </w:rPr>
              <w:t>Kritéria v gesci MPO jsou splněna.</w:t>
            </w:r>
          </w:p>
        </w:tc>
      </w:tr>
      <w:tr w:rsidR="00022E68" w:rsidRPr="00E82B06" w:rsidTr="000707AF">
        <w:trPr>
          <w:trHeight w:val="270"/>
        </w:trPr>
        <w:tc>
          <w:tcPr>
            <w:tcW w:w="880" w:type="dxa"/>
            <w:shd w:val="clear" w:color="000000" w:fill="8DB4E3"/>
            <w:hideMark/>
          </w:tcPr>
          <w:p w:rsidR="00022E68" w:rsidRPr="00E82B06" w:rsidRDefault="00022E68" w:rsidP="009A3D63">
            <w:pPr>
              <w:rPr>
                <w:rFonts w:ascii="Times New Roman" w:eastAsia="Times New Roman" w:hAnsi="Times New Roman" w:cs="Times New Roman"/>
                <w:szCs w:val="20"/>
                <w:lang w:eastAsia="cs-CZ"/>
              </w:rPr>
            </w:pPr>
            <w:r w:rsidRPr="00E82B06">
              <w:rPr>
                <w:rFonts w:ascii="Times New Roman" w:eastAsia="Times New Roman" w:hAnsi="Times New Roman" w:cs="Times New Roman"/>
                <w:szCs w:val="20"/>
                <w:lang w:eastAsia="cs-CZ"/>
              </w:rPr>
              <w:t>01.23</w:t>
            </w:r>
          </w:p>
        </w:tc>
        <w:tc>
          <w:tcPr>
            <w:tcW w:w="2963" w:type="dxa"/>
            <w:shd w:val="clear" w:color="000000" w:fill="8DB4E3"/>
            <w:hideMark/>
          </w:tcPr>
          <w:p w:rsidR="00022E68" w:rsidRPr="00667E35" w:rsidRDefault="00022E68" w:rsidP="009A3D63">
            <w:pPr>
              <w:rPr>
                <w:rFonts w:ascii="Times New Roman" w:eastAsia="Times New Roman" w:hAnsi="Times New Roman" w:cs="Times New Roman"/>
                <w:szCs w:val="20"/>
                <w:lang w:eastAsia="cs-CZ"/>
              </w:rPr>
            </w:pPr>
            <w:r w:rsidRPr="00667E35">
              <w:rPr>
                <w:rFonts w:ascii="Times New Roman" w:eastAsia="Times New Roman" w:hAnsi="Times New Roman" w:cs="Times New Roman"/>
                <w:szCs w:val="20"/>
                <w:lang w:eastAsia="cs-CZ"/>
              </w:rPr>
              <w:t>Jsou splněna kritéria obecných ex-ante kondicionalit?</w:t>
            </w:r>
          </w:p>
        </w:tc>
        <w:tc>
          <w:tcPr>
            <w:tcW w:w="1417" w:type="dxa"/>
            <w:shd w:val="clear" w:color="000000" w:fill="8DB4E3"/>
            <w:vAlign w:val="center"/>
            <w:hideMark/>
          </w:tcPr>
          <w:p w:rsidR="00022E68" w:rsidRPr="00667E35" w:rsidRDefault="0064213A" w:rsidP="009A3D63">
            <w:pPr>
              <w:jc w:val="center"/>
              <w:rPr>
                <w:rFonts w:ascii="Times New Roman" w:eastAsia="Times New Roman" w:hAnsi="Times New Roman" w:cs="Times New Roman"/>
                <w:szCs w:val="20"/>
                <w:lang w:eastAsia="cs-CZ"/>
              </w:rPr>
            </w:pPr>
            <w:r w:rsidRPr="00667E35">
              <w:rPr>
                <w:rFonts w:ascii="Times New Roman" w:eastAsia="Times New Roman" w:hAnsi="Times New Roman" w:cs="Times New Roman"/>
                <w:szCs w:val="20"/>
                <w:lang w:eastAsia="cs-CZ"/>
              </w:rPr>
              <w:t>SA</w:t>
            </w:r>
          </w:p>
        </w:tc>
        <w:tc>
          <w:tcPr>
            <w:tcW w:w="3969" w:type="dxa"/>
            <w:shd w:val="clear" w:color="000000" w:fill="8DB4E3"/>
            <w:hideMark/>
          </w:tcPr>
          <w:p w:rsidR="00FC45E0" w:rsidRPr="00667E35" w:rsidRDefault="0064213A" w:rsidP="0064213A">
            <w:pPr>
              <w:rPr>
                <w:rFonts w:ascii="Times New Roman" w:eastAsia="Times New Roman" w:hAnsi="Times New Roman" w:cs="Times New Roman"/>
                <w:szCs w:val="20"/>
                <w:lang w:eastAsia="cs-CZ"/>
              </w:rPr>
            </w:pPr>
            <w:r w:rsidRPr="00667E35">
              <w:rPr>
                <w:rFonts w:ascii="Times New Roman" w:eastAsia="Times New Roman" w:hAnsi="Times New Roman" w:cs="Times New Roman"/>
                <w:szCs w:val="20"/>
                <w:lang w:eastAsia="cs-CZ"/>
              </w:rPr>
              <w:t>Splněná kritéria jsou 4 obecná  (nediskriminace, rovné příležitosti, zdravotně postižení a veřejné zakázky), ostatní jsou splněna částečně,</w:t>
            </w:r>
            <w:r w:rsidR="00C95C0A" w:rsidRPr="00667E35">
              <w:rPr>
                <w:rFonts w:ascii="Times New Roman" w:eastAsia="Times New Roman" w:hAnsi="Times New Roman" w:cs="Times New Roman"/>
                <w:szCs w:val="20"/>
                <w:lang w:eastAsia="cs-CZ"/>
              </w:rPr>
              <w:t xml:space="preserve"> obecné předběžné podmínky nejsou ovšem v gesci MPO</w:t>
            </w:r>
            <w:r w:rsidR="00FC45E0" w:rsidRPr="00667E35">
              <w:rPr>
                <w:rFonts w:ascii="Times New Roman" w:eastAsia="Times New Roman" w:hAnsi="Times New Roman" w:cs="Times New Roman"/>
                <w:szCs w:val="20"/>
                <w:lang w:eastAsia="cs-CZ"/>
              </w:rPr>
              <w:t>.</w:t>
            </w:r>
          </w:p>
        </w:tc>
      </w:tr>
      <w:tr w:rsidR="00022E68" w:rsidRPr="00E82B06" w:rsidTr="000707AF">
        <w:trPr>
          <w:trHeight w:val="540"/>
        </w:trPr>
        <w:tc>
          <w:tcPr>
            <w:tcW w:w="880" w:type="dxa"/>
            <w:shd w:val="clear" w:color="000000" w:fill="8DB4E3"/>
            <w:hideMark/>
          </w:tcPr>
          <w:p w:rsidR="00022E68" w:rsidRPr="00E82B06" w:rsidRDefault="00022E68" w:rsidP="009A3D63">
            <w:pPr>
              <w:rPr>
                <w:rFonts w:ascii="Times New Roman" w:eastAsia="Times New Roman" w:hAnsi="Times New Roman" w:cs="Times New Roman"/>
                <w:szCs w:val="20"/>
                <w:lang w:eastAsia="cs-CZ"/>
              </w:rPr>
            </w:pPr>
            <w:r w:rsidRPr="00E82B06">
              <w:rPr>
                <w:rFonts w:ascii="Times New Roman" w:eastAsia="Times New Roman" w:hAnsi="Times New Roman" w:cs="Times New Roman"/>
                <w:szCs w:val="20"/>
                <w:lang w:eastAsia="cs-CZ"/>
              </w:rPr>
              <w:t>01.24</w:t>
            </w:r>
          </w:p>
        </w:tc>
        <w:tc>
          <w:tcPr>
            <w:tcW w:w="2963" w:type="dxa"/>
            <w:shd w:val="clear" w:color="000000" w:fill="8DB4E3"/>
            <w:hideMark/>
          </w:tcPr>
          <w:p w:rsidR="00022E68" w:rsidRPr="00E82B06" w:rsidRDefault="00022E68" w:rsidP="009A3D63">
            <w:pPr>
              <w:rPr>
                <w:rFonts w:ascii="Times New Roman" w:eastAsia="Times New Roman" w:hAnsi="Times New Roman" w:cs="Times New Roman"/>
                <w:szCs w:val="20"/>
                <w:lang w:eastAsia="cs-CZ"/>
              </w:rPr>
            </w:pPr>
            <w:r w:rsidRPr="00E82B06">
              <w:rPr>
                <w:rFonts w:ascii="Times New Roman" w:eastAsia="Times New Roman" w:hAnsi="Times New Roman" w:cs="Times New Roman"/>
                <w:szCs w:val="20"/>
                <w:lang w:eastAsia="cs-CZ"/>
              </w:rPr>
              <w:t>Je realistické naplnění popisu opatření ke splnění ex-ante kondicionalit?</w:t>
            </w:r>
          </w:p>
        </w:tc>
        <w:tc>
          <w:tcPr>
            <w:tcW w:w="1417" w:type="dxa"/>
            <w:shd w:val="clear" w:color="000000" w:fill="8DB4E3"/>
            <w:vAlign w:val="center"/>
            <w:hideMark/>
          </w:tcPr>
          <w:p w:rsidR="00022E68" w:rsidRPr="00E82B06" w:rsidRDefault="00F10F6B" w:rsidP="009A3D63">
            <w:pPr>
              <w:jc w:val="center"/>
              <w:rPr>
                <w:rFonts w:ascii="Times New Roman" w:eastAsia="Times New Roman" w:hAnsi="Times New Roman" w:cs="Times New Roman"/>
                <w:szCs w:val="20"/>
                <w:lang w:eastAsia="cs-CZ"/>
              </w:rPr>
            </w:pPr>
            <w:r w:rsidRPr="00E82B06">
              <w:rPr>
                <w:rFonts w:ascii="Times New Roman" w:eastAsia="Times New Roman" w:hAnsi="Times New Roman" w:cs="Times New Roman"/>
                <w:szCs w:val="20"/>
                <w:lang w:eastAsia="cs-CZ"/>
              </w:rPr>
              <w:t>SA</w:t>
            </w:r>
          </w:p>
        </w:tc>
        <w:tc>
          <w:tcPr>
            <w:tcW w:w="3969" w:type="dxa"/>
            <w:shd w:val="clear" w:color="000000" w:fill="8DB4E3"/>
            <w:hideMark/>
          </w:tcPr>
          <w:p w:rsidR="00022E68" w:rsidRDefault="00F10F6B" w:rsidP="006C2656">
            <w:pPr>
              <w:rPr>
                <w:rFonts w:ascii="Times New Roman" w:eastAsia="Times New Roman" w:hAnsi="Times New Roman" w:cs="Times New Roman"/>
                <w:szCs w:val="20"/>
                <w:lang w:eastAsia="cs-CZ"/>
              </w:rPr>
            </w:pPr>
            <w:r w:rsidRPr="00E82B06">
              <w:rPr>
                <w:rFonts w:ascii="Times New Roman" w:eastAsia="Times New Roman" w:hAnsi="Times New Roman" w:cs="Times New Roman"/>
                <w:szCs w:val="20"/>
                <w:lang w:eastAsia="cs-CZ"/>
              </w:rPr>
              <w:t>Naplnění popisu opatření ke splnění ex-ante kondicionalit je realistické, ovšem pouze za předpokladu aktivního přístupu a spolupráce odpovědných orgánů při řešení příslušných opatření</w:t>
            </w:r>
            <w:r w:rsidR="006C2656">
              <w:rPr>
                <w:rFonts w:ascii="Times New Roman" w:eastAsia="Times New Roman" w:hAnsi="Times New Roman" w:cs="Times New Roman"/>
                <w:szCs w:val="20"/>
                <w:lang w:eastAsia="cs-CZ"/>
              </w:rPr>
              <w:t xml:space="preserve"> a důsledného dodržování a plnění akčních plánů pro jednotlivé předběžné podmínky. </w:t>
            </w:r>
          </w:p>
          <w:p w:rsidR="006C2656" w:rsidRPr="00E82B06" w:rsidRDefault="00F22889" w:rsidP="006C2656">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S</w:t>
            </w:r>
            <w:r w:rsidR="006C2656">
              <w:rPr>
                <w:rFonts w:ascii="Times New Roman" w:eastAsia="Times New Roman" w:hAnsi="Times New Roman" w:cs="Times New Roman"/>
                <w:szCs w:val="20"/>
                <w:lang w:eastAsia="cs-CZ"/>
              </w:rPr>
              <w:t xml:space="preserve">plnění předběžných podmínek by mělo být jednou z hlavních priorit vlády ČR. </w:t>
            </w:r>
          </w:p>
        </w:tc>
      </w:tr>
    </w:tbl>
    <w:p w:rsidR="00746584" w:rsidRDefault="00746584" w:rsidP="00746584">
      <w:pPr>
        <w:spacing w:after="120"/>
        <w:rPr>
          <w:rFonts w:cs="Tahoma"/>
          <w:szCs w:val="20"/>
        </w:rPr>
      </w:pPr>
    </w:p>
    <w:p w:rsidR="00746584" w:rsidRDefault="00746584" w:rsidP="00746584">
      <w:pPr>
        <w:spacing w:after="120"/>
        <w:rPr>
          <w:rFonts w:cs="Tahoma"/>
          <w:szCs w:val="20"/>
        </w:rPr>
      </w:pPr>
      <w:r>
        <w:rPr>
          <w:rFonts w:cs="Tahoma"/>
          <w:szCs w:val="20"/>
        </w:rPr>
        <w:t>Další komentáře a doporučení:</w:t>
      </w:r>
    </w:p>
    <w:p w:rsidR="00B02A33" w:rsidRPr="00B204B6" w:rsidRDefault="00B02A33" w:rsidP="00C6279B">
      <w:pPr>
        <w:pStyle w:val="Odstavecseseznamem"/>
        <w:numPr>
          <w:ilvl w:val="0"/>
          <w:numId w:val="8"/>
        </w:numPr>
        <w:spacing w:after="120"/>
        <w:rPr>
          <w:rFonts w:ascii="Tahoma" w:hAnsi="Tahoma" w:cs="Tahoma"/>
          <w:sz w:val="20"/>
          <w:szCs w:val="20"/>
        </w:rPr>
      </w:pPr>
      <w:r>
        <w:rPr>
          <w:rFonts w:ascii="Tahoma" w:hAnsi="Tahoma" w:cs="Tahoma"/>
          <w:sz w:val="20"/>
          <w:szCs w:val="20"/>
        </w:rPr>
        <w:t>Tematické</w:t>
      </w:r>
      <w:r w:rsidRPr="00B204B6">
        <w:rPr>
          <w:rFonts w:ascii="Tahoma" w:hAnsi="Tahoma" w:cs="Tahoma"/>
          <w:sz w:val="20"/>
          <w:szCs w:val="20"/>
        </w:rPr>
        <w:t xml:space="preserve"> předběžné podmínky</w:t>
      </w:r>
      <w:r>
        <w:rPr>
          <w:rFonts w:ascii="Tahoma" w:hAnsi="Tahoma" w:cs="Tahoma"/>
          <w:sz w:val="20"/>
          <w:szCs w:val="20"/>
        </w:rPr>
        <w:t>:</w:t>
      </w:r>
    </w:p>
    <w:tbl>
      <w:tblPr>
        <w:tblStyle w:val="Mkatabulky"/>
        <w:tblW w:w="9214" w:type="dxa"/>
        <w:tblInd w:w="108" w:type="dxa"/>
        <w:tblLook w:val="04A0"/>
      </w:tblPr>
      <w:tblGrid>
        <w:gridCol w:w="426"/>
        <w:gridCol w:w="8788"/>
      </w:tblGrid>
      <w:tr w:rsidR="00B02A33" w:rsidTr="00764FC3">
        <w:tc>
          <w:tcPr>
            <w:tcW w:w="426" w:type="dxa"/>
          </w:tcPr>
          <w:p w:rsidR="00B02A33" w:rsidRPr="00C41112" w:rsidRDefault="005A24B5" w:rsidP="00764FC3">
            <w:pPr>
              <w:spacing w:after="120"/>
              <w:jc w:val="center"/>
              <w:rPr>
                <w:rFonts w:cs="Tahoma"/>
                <w:szCs w:val="20"/>
              </w:rPr>
            </w:pPr>
            <w:r>
              <w:rPr>
                <w:rFonts w:cs="Tahoma"/>
                <w:szCs w:val="20"/>
              </w:rPr>
              <w:t>1</w:t>
            </w:r>
          </w:p>
        </w:tc>
        <w:tc>
          <w:tcPr>
            <w:tcW w:w="8788" w:type="dxa"/>
          </w:tcPr>
          <w:p w:rsidR="00B02A33" w:rsidRPr="00C41112" w:rsidRDefault="00B02A33" w:rsidP="00764FC3">
            <w:pPr>
              <w:spacing w:after="120"/>
              <w:rPr>
                <w:rFonts w:cs="Tahoma"/>
                <w:i/>
                <w:szCs w:val="20"/>
              </w:rPr>
            </w:pPr>
            <w:r>
              <w:rPr>
                <w:rFonts w:cs="Tahoma"/>
                <w:i/>
                <w:szCs w:val="20"/>
              </w:rPr>
              <w:t xml:space="preserve">2.1: Digitální růst: Strategický rámec politiky pro digitální růst, jež má stimulovat poptávku po cenově dostupných, kvalitních a </w:t>
            </w:r>
            <w:proofErr w:type="spellStart"/>
            <w:r>
              <w:rPr>
                <w:rFonts w:cs="Tahoma"/>
                <w:i/>
                <w:szCs w:val="20"/>
              </w:rPr>
              <w:t>interoperabilních</w:t>
            </w:r>
            <w:proofErr w:type="spellEnd"/>
            <w:r>
              <w:rPr>
                <w:rFonts w:cs="Tahoma"/>
                <w:i/>
                <w:szCs w:val="20"/>
              </w:rPr>
              <w:t xml:space="preserve"> soukromých a veřejných službách v oblasti IKT a zvýšit míru jejich využívání, včetně zranitelných skupin, podniky a orgány veřejné správy včetně příhraničních iniciativ</w:t>
            </w:r>
          </w:p>
          <w:p w:rsidR="00B02A33" w:rsidRPr="00C41112" w:rsidRDefault="00B02A33" w:rsidP="00EC326B">
            <w:pPr>
              <w:spacing w:after="120"/>
              <w:rPr>
                <w:rFonts w:cs="Tahoma"/>
                <w:szCs w:val="20"/>
              </w:rPr>
            </w:pPr>
            <w:r w:rsidRPr="00C41112">
              <w:rPr>
                <w:rFonts w:cs="Tahoma"/>
                <w:szCs w:val="20"/>
              </w:rPr>
              <w:t xml:space="preserve">Hodnotitel se domnívá, že </w:t>
            </w:r>
            <w:r>
              <w:rPr>
                <w:rFonts w:cs="Tahoma"/>
                <w:szCs w:val="20"/>
              </w:rPr>
              <w:t xml:space="preserve">dokument Digitální Česko 2.0 není odpovědí na předmětnou ex-ante </w:t>
            </w:r>
            <w:proofErr w:type="spellStart"/>
            <w:r>
              <w:rPr>
                <w:rFonts w:cs="Tahoma"/>
                <w:szCs w:val="20"/>
              </w:rPr>
              <w:t>kondicionalitu</w:t>
            </w:r>
            <w:proofErr w:type="spellEnd"/>
            <w:r>
              <w:rPr>
                <w:rFonts w:cs="Tahoma"/>
                <w:szCs w:val="20"/>
              </w:rPr>
              <w:t>.</w:t>
            </w:r>
            <w:r w:rsidR="007B6866">
              <w:rPr>
                <w:rFonts w:cs="Tahoma"/>
                <w:szCs w:val="20"/>
              </w:rPr>
              <w:t xml:space="preserve"> Předběžné podmínce více odpovídá koncepční dokument: „Strategický rozvoj </w:t>
            </w:r>
            <w:proofErr w:type="spellStart"/>
            <w:r w:rsidR="007B6866">
              <w:rPr>
                <w:rFonts w:cs="Tahoma"/>
                <w:szCs w:val="20"/>
              </w:rPr>
              <w:t>eGovernmentu</w:t>
            </w:r>
            <w:proofErr w:type="spellEnd"/>
            <w:r w:rsidR="007B6866">
              <w:rPr>
                <w:rFonts w:cs="Tahoma"/>
                <w:szCs w:val="20"/>
              </w:rPr>
              <w:t xml:space="preserve"> 2014 – 2020“, který připravuje MV ČR</w:t>
            </w:r>
            <w:r w:rsidR="00EC326B">
              <w:rPr>
                <w:rFonts w:cs="Tahoma"/>
                <w:szCs w:val="20"/>
              </w:rPr>
              <w:t>. D</w:t>
            </w:r>
            <w:r w:rsidR="00C95C0A">
              <w:rPr>
                <w:rFonts w:cs="Tahoma"/>
                <w:szCs w:val="20"/>
              </w:rPr>
              <w:t xml:space="preserve">le vyjádření zadavatele </w:t>
            </w:r>
            <w:r w:rsidR="00EC326B">
              <w:rPr>
                <w:rFonts w:cs="Tahoma"/>
                <w:szCs w:val="20"/>
              </w:rPr>
              <w:t xml:space="preserve">je tato otázka řešena společně resorty MPO a MV. </w:t>
            </w:r>
          </w:p>
        </w:tc>
      </w:tr>
    </w:tbl>
    <w:p w:rsidR="00B20E7C" w:rsidRDefault="00B20E7C" w:rsidP="00B20E7C">
      <w:pPr>
        <w:pStyle w:val="Odstavecseseznamem"/>
        <w:spacing w:after="120"/>
        <w:rPr>
          <w:rFonts w:ascii="Tahoma" w:hAnsi="Tahoma" w:cs="Tahoma"/>
          <w:sz w:val="20"/>
          <w:szCs w:val="20"/>
        </w:rPr>
      </w:pPr>
    </w:p>
    <w:p w:rsidR="00C33503" w:rsidRDefault="00C33503" w:rsidP="00C33503">
      <w:pPr>
        <w:pStyle w:val="Nadpis2"/>
      </w:pPr>
      <w:bookmarkStart w:id="24" w:name="_Toc392583671"/>
      <w:r>
        <w:t>P</w:t>
      </w:r>
      <w:r w:rsidRPr="00C33503">
        <w:t>rincip partnerství</w:t>
      </w:r>
      <w:bookmarkEnd w:id="24"/>
    </w:p>
    <w:p w:rsidR="002C6BB2" w:rsidRPr="002C6BB2" w:rsidRDefault="002C6BB2" w:rsidP="002C6BB2">
      <w:pPr>
        <w:tabs>
          <w:tab w:val="num" w:pos="720"/>
        </w:tabs>
        <w:spacing w:after="120"/>
        <w:rPr>
          <w:u w:val="single"/>
        </w:rPr>
      </w:pPr>
      <w:r w:rsidRPr="002C6BB2">
        <w:rPr>
          <w:u w:val="single"/>
        </w:rPr>
        <w:t>Úkol:</w:t>
      </w:r>
    </w:p>
    <w:p w:rsidR="004373D8" w:rsidRPr="002C6BB2" w:rsidRDefault="002C6BB2" w:rsidP="002C6BB2">
      <w:pPr>
        <w:spacing w:after="120"/>
        <w:rPr>
          <w:rFonts w:cs="Tahoma"/>
          <w:szCs w:val="20"/>
        </w:rPr>
      </w:pPr>
      <w:r w:rsidRPr="002C6BB2">
        <w:rPr>
          <w:rFonts w:cs="Tahoma"/>
          <w:szCs w:val="20"/>
        </w:rPr>
        <w:t>Zhodnotit naplňování principu partnerství během přípravy programu a posoudit zapracování a zohlednění principu partnerství v programovém dokumentu ve smyslu dodržování tohoto principu během implementace programu.</w:t>
      </w:r>
    </w:p>
    <w:p w:rsidR="00022E68" w:rsidRPr="003B233D" w:rsidRDefault="00022E68" w:rsidP="00022E68">
      <w:pPr>
        <w:tabs>
          <w:tab w:val="num" w:pos="720"/>
        </w:tabs>
        <w:spacing w:after="120"/>
        <w:rPr>
          <w:u w:val="single"/>
        </w:rPr>
      </w:pPr>
      <w:r>
        <w:rPr>
          <w:u w:val="single"/>
        </w:rPr>
        <w:t>Východiska</w:t>
      </w:r>
      <w:r w:rsidRPr="003B233D">
        <w:rPr>
          <w:u w:val="single"/>
        </w:rPr>
        <w:t>:</w:t>
      </w:r>
    </w:p>
    <w:p w:rsidR="002034E1" w:rsidRPr="00B1342A" w:rsidRDefault="00022E68" w:rsidP="00B1342A">
      <w:pPr>
        <w:spacing w:after="120"/>
        <w:rPr>
          <w:rFonts w:cs="Tahoma"/>
          <w:szCs w:val="20"/>
        </w:rPr>
      </w:pPr>
      <w:r w:rsidRPr="00B1342A">
        <w:rPr>
          <w:rFonts w:cs="Tahoma"/>
          <w:szCs w:val="20"/>
        </w:rPr>
        <w:t xml:space="preserve">Východiskem pro hodnocení je především kapitola </w:t>
      </w:r>
      <w:bookmarkStart w:id="25" w:name="_Toc368313819"/>
      <w:r w:rsidR="00B1342A">
        <w:rPr>
          <w:rFonts w:cs="Tahoma"/>
          <w:szCs w:val="20"/>
        </w:rPr>
        <w:t>7.2 „</w:t>
      </w:r>
      <w:r w:rsidR="001F0013">
        <w:rPr>
          <w:rFonts w:cs="Tahoma"/>
          <w:szCs w:val="20"/>
        </w:rPr>
        <w:t>Zapojení příslušných partnerů</w:t>
      </w:r>
      <w:bookmarkEnd w:id="25"/>
      <w:r w:rsidR="00B1342A">
        <w:rPr>
          <w:rFonts w:cs="Tahoma"/>
          <w:szCs w:val="20"/>
        </w:rPr>
        <w:t>“</w:t>
      </w:r>
      <w:r w:rsidR="00B04D95">
        <w:rPr>
          <w:rFonts w:cs="Tahoma"/>
          <w:szCs w:val="20"/>
        </w:rPr>
        <w:t xml:space="preserve"> a také kapitola 12.3 „</w:t>
      </w:r>
      <w:r w:rsidR="00B04D95" w:rsidRPr="00B04D95">
        <w:rPr>
          <w:rFonts w:cs="Tahoma"/>
          <w:szCs w:val="20"/>
        </w:rPr>
        <w:t xml:space="preserve">Seznam </w:t>
      </w:r>
      <w:r w:rsidR="00DA0FAE">
        <w:rPr>
          <w:rFonts w:cs="Tahoma"/>
          <w:szCs w:val="20"/>
        </w:rPr>
        <w:t>příslušných</w:t>
      </w:r>
      <w:r w:rsidR="00B04D95" w:rsidRPr="00B04D95">
        <w:rPr>
          <w:rFonts w:cs="Tahoma"/>
          <w:szCs w:val="20"/>
        </w:rPr>
        <w:t xml:space="preserve"> partnerů zapojených do přípravy operačního programu</w:t>
      </w:r>
      <w:r w:rsidR="00B04D95">
        <w:rPr>
          <w:rFonts w:cs="Tahoma"/>
          <w:szCs w:val="20"/>
        </w:rPr>
        <w:t xml:space="preserve">“. </w:t>
      </w:r>
      <w:r w:rsidR="00B1342A">
        <w:rPr>
          <w:rFonts w:cs="Tahoma"/>
          <w:szCs w:val="20"/>
        </w:rPr>
        <w:t xml:space="preserve"> </w:t>
      </w:r>
    </w:p>
    <w:p w:rsidR="00B1342A" w:rsidRPr="00B1342A" w:rsidRDefault="00B1342A" w:rsidP="00B1342A">
      <w:pPr>
        <w:spacing w:after="120"/>
        <w:rPr>
          <w:rFonts w:cs="Tahoma"/>
          <w:szCs w:val="20"/>
        </w:rPr>
      </w:pPr>
      <w:r w:rsidRPr="00B1342A">
        <w:rPr>
          <w:rFonts w:cs="Tahoma"/>
          <w:szCs w:val="20"/>
        </w:rPr>
        <w:t xml:space="preserve">V kapitole </w:t>
      </w:r>
      <w:r w:rsidR="00B04D95">
        <w:rPr>
          <w:rFonts w:cs="Tahoma"/>
          <w:szCs w:val="20"/>
        </w:rPr>
        <w:t xml:space="preserve">7.2 </w:t>
      </w:r>
      <w:r w:rsidRPr="00B1342A">
        <w:rPr>
          <w:rFonts w:cs="Tahoma"/>
          <w:szCs w:val="20"/>
        </w:rPr>
        <w:t>j</w:t>
      </w:r>
      <w:r>
        <w:rPr>
          <w:rFonts w:cs="Tahoma"/>
          <w:szCs w:val="20"/>
        </w:rPr>
        <w:t xml:space="preserve">sou popsány </w:t>
      </w:r>
      <w:bookmarkStart w:id="26" w:name="_Toc368313820"/>
      <w:r>
        <w:rPr>
          <w:rFonts w:cs="Tahoma"/>
          <w:szCs w:val="20"/>
        </w:rPr>
        <w:t>r</w:t>
      </w:r>
      <w:r w:rsidRPr="00B1342A">
        <w:rPr>
          <w:rFonts w:cs="Tahoma"/>
          <w:szCs w:val="20"/>
        </w:rPr>
        <w:t>ole relevantních partnerů při přípravě, implementaci, monitoringu a evaluaci operačního programu</w:t>
      </w:r>
      <w:bookmarkEnd w:id="26"/>
      <w:r>
        <w:rPr>
          <w:rFonts w:cs="Tahoma"/>
          <w:szCs w:val="20"/>
        </w:rPr>
        <w:t xml:space="preserve"> a h</w:t>
      </w:r>
      <w:r w:rsidRPr="00B1342A">
        <w:rPr>
          <w:rFonts w:cs="Tahoma"/>
          <w:szCs w:val="20"/>
        </w:rPr>
        <w:t>lavní výsledky a závěry z jednání s partnery ve fázi přípravy programu a jejich zohlednění v operačním programu</w:t>
      </w:r>
      <w:r>
        <w:rPr>
          <w:rFonts w:cs="Tahoma"/>
          <w:szCs w:val="20"/>
        </w:rPr>
        <w:t>.</w:t>
      </w:r>
    </w:p>
    <w:p w:rsidR="009F764E" w:rsidRDefault="009F764E" w:rsidP="00022E68">
      <w:pPr>
        <w:tabs>
          <w:tab w:val="num" w:pos="720"/>
        </w:tabs>
        <w:spacing w:after="120"/>
        <w:rPr>
          <w:u w:val="single"/>
        </w:rPr>
      </w:pPr>
    </w:p>
    <w:p w:rsidR="009F764E" w:rsidRDefault="009F764E" w:rsidP="00022E68">
      <w:pPr>
        <w:tabs>
          <w:tab w:val="num" w:pos="720"/>
        </w:tabs>
        <w:spacing w:after="120"/>
        <w:rPr>
          <w:u w:val="single"/>
        </w:rPr>
      </w:pPr>
    </w:p>
    <w:p w:rsidR="00022E68" w:rsidRPr="00843927" w:rsidRDefault="00022E68" w:rsidP="00022E68">
      <w:pPr>
        <w:tabs>
          <w:tab w:val="num" w:pos="720"/>
        </w:tabs>
        <w:spacing w:after="120"/>
        <w:rPr>
          <w:u w:val="single"/>
        </w:rPr>
      </w:pPr>
      <w:r w:rsidRPr="00843927">
        <w:rPr>
          <w:u w:val="single"/>
        </w:rPr>
        <w:lastRenderedPageBreak/>
        <w:t>Zjištění</w:t>
      </w:r>
      <w:r>
        <w:rPr>
          <w:u w:val="single"/>
        </w:rPr>
        <w:t xml:space="preserve"> v návaznosti na evaluační otázky a úkoly</w:t>
      </w:r>
      <w:r w:rsidRPr="00843927">
        <w:rPr>
          <w:u w:val="single"/>
        </w:rPr>
        <w:t>:</w:t>
      </w:r>
    </w:p>
    <w:tbl>
      <w:tblPr>
        <w:tblW w:w="922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06"/>
        <w:gridCol w:w="2795"/>
        <w:gridCol w:w="1417"/>
        <w:gridCol w:w="4111"/>
      </w:tblGrid>
      <w:tr w:rsidR="00022E68" w:rsidRPr="00DA7980" w:rsidTr="00F61EE5">
        <w:trPr>
          <w:trHeight w:val="1350"/>
          <w:tblHeader/>
        </w:trPr>
        <w:tc>
          <w:tcPr>
            <w:tcW w:w="906" w:type="dxa"/>
            <w:shd w:val="clear" w:color="000000" w:fill="BFBFBF"/>
            <w:vAlign w:val="center"/>
            <w:hideMark/>
          </w:tcPr>
          <w:p w:rsidR="00022E68" w:rsidRPr="00DA7980" w:rsidRDefault="00022E68" w:rsidP="00022E68">
            <w:pPr>
              <w:jc w:val="center"/>
              <w:rPr>
                <w:rFonts w:ascii="Times New Roman" w:eastAsia="Times New Roman" w:hAnsi="Times New Roman" w:cs="Times New Roman"/>
                <w:b/>
                <w:bCs/>
                <w:szCs w:val="20"/>
                <w:lang w:eastAsia="cs-CZ"/>
              </w:rPr>
            </w:pPr>
            <w:proofErr w:type="spellStart"/>
            <w:r w:rsidRPr="00DA7980">
              <w:rPr>
                <w:rFonts w:ascii="Times New Roman" w:eastAsia="Times New Roman" w:hAnsi="Times New Roman" w:cs="Times New Roman"/>
                <w:b/>
                <w:bCs/>
                <w:szCs w:val="20"/>
                <w:lang w:eastAsia="cs-CZ"/>
              </w:rPr>
              <w:t>Poř</w:t>
            </w:r>
            <w:proofErr w:type="spellEnd"/>
            <w:r w:rsidRPr="00DA7980">
              <w:rPr>
                <w:rFonts w:ascii="Times New Roman" w:eastAsia="Times New Roman" w:hAnsi="Times New Roman" w:cs="Times New Roman"/>
                <w:b/>
                <w:bCs/>
                <w:szCs w:val="20"/>
                <w:lang w:eastAsia="cs-CZ"/>
              </w:rPr>
              <w:t>. č.</w:t>
            </w:r>
          </w:p>
        </w:tc>
        <w:tc>
          <w:tcPr>
            <w:tcW w:w="2795" w:type="dxa"/>
            <w:shd w:val="clear" w:color="000000" w:fill="BFBFBF"/>
            <w:vAlign w:val="center"/>
            <w:hideMark/>
          </w:tcPr>
          <w:p w:rsidR="00022E68" w:rsidRPr="00DA7980" w:rsidRDefault="00022E68" w:rsidP="00022E68">
            <w:pPr>
              <w:jc w:val="center"/>
              <w:rPr>
                <w:rFonts w:ascii="Times New Roman" w:eastAsia="Times New Roman" w:hAnsi="Times New Roman" w:cs="Times New Roman"/>
                <w:b/>
                <w:bCs/>
                <w:szCs w:val="20"/>
                <w:lang w:eastAsia="cs-CZ"/>
              </w:rPr>
            </w:pPr>
            <w:r w:rsidRPr="00DA7980">
              <w:rPr>
                <w:rFonts w:ascii="Times New Roman" w:eastAsia="Times New Roman" w:hAnsi="Times New Roman" w:cs="Times New Roman"/>
                <w:b/>
                <w:bCs/>
                <w:szCs w:val="20"/>
                <w:lang w:eastAsia="cs-CZ"/>
              </w:rPr>
              <w:t>Evaluační otázka / úkol</w:t>
            </w:r>
          </w:p>
        </w:tc>
        <w:tc>
          <w:tcPr>
            <w:tcW w:w="1417" w:type="dxa"/>
            <w:shd w:val="clear" w:color="000000" w:fill="BFBFBF"/>
            <w:vAlign w:val="center"/>
            <w:hideMark/>
          </w:tcPr>
          <w:p w:rsidR="00022E68" w:rsidRPr="00DA7980" w:rsidRDefault="00022E68" w:rsidP="00022E68">
            <w:pPr>
              <w:jc w:val="center"/>
              <w:rPr>
                <w:rFonts w:ascii="Times New Roman" w:eastAsia="Times New Roman" w:hAnsi="Times New Roman" w:cs="Times New Roman"/>
                <w:b/>
                <w:bCs/>
                <w:szCs w:val="20"/>
                <w:lang w:eastAsia="cs-CZ"/>
              </w:rPr>
            </w:pPr>
            <w:r w:rsidRPr="00DA7980">
              <w:rPr>
                <w:rFonts w:ascii="Times New Roman" w:eastAsia="Times New Roman" w:hAnsi="Times New Roman" w:cs="Times New Roman"/>
                <w:b/>
                <w:bCs/>
                <w:szCs w:val="20"/>
                <w:lang w:eastAsia="cs-CZ"/>
              </w:rPr>
              <w:t>Zhodnocení</w:t>
            </w:r>
            <w:r w:rsidRPr="00DA7980">
              <w:rPr>
                <w:rFonts w:ascii="Times New Roman" w:eastAsia="Times New Roman" w:hAnsi="Times New Roman" w:cs="Times New Roman"/>
                <w:b/>
                <w:bCs/>
                <w:szCs w:val="20"/>
                <w:lang w:eastAsia="cs-CZ"/>
              </w:rPr>
              <w:br/>
            </w:r>
            <w:r w:rsidRPr="00DA7980">
              <w:rPr>
                <w:rFonts w:ascii="Times New Roman" w:eastAsia="Times New Roman" w:hAnsi="Times New Roman" w:cs="Times New Roman"/>
                <w:szCs w:val="20"/>
                <w:lang w:eastAsia="cs-CZ"/>
              </w:rPr>
              <w:t>(A - Ano, SA - Spíše ano, SN - Spíše ne, N - Ne, NR - Není relevantní)</w:t>
            </w:r>
          </w:p>
        </w:tc>
        <w:tc>
          <w:tcPr>
            <w:tcW w:w="4111" w:type="dxa"/>
            <w:shd w:val="clear" w:color="000000" w:fill="BFBFBF"/>
            <w:vAlign w:val="center"/>
            <w:hideMark/>
          </w:tcPr>
          <w:p w:rsidR="00022E68" w:rsidRPr="00DA7980" w:rsidRDefault="00022E68" w:rsidP="00022E68">
            <w:pPr>
              <w:jc w:val="center"/>
              <w:rPr>
                <w:rFonts w:ascii="Times New Roman" w:eastAsia="Times New Roman" w:hAnsi="Times New Roman" w:cs="Times New Roman"/>
                <w:b/>
                <w:bCs/>
                <w:szCs w:val="20"/>
                <w:lang w:eastAsia="cs-CZ"/>
              </w:rPr>
            </w:pPr>
            <w:r w:rsidRPr="00DA7980">
              <w:rPr>
                <w:rFonts w:ascii="Times New Roman" w:eastAsia="Times New Roman" w:hAnsi="Times New Roman" w:cs="Times New Roman"/>
                <w:b/>
                <w:bCs/>
                <w:szCs w:val="20"/>
                <w:lang w:eastAsia="cs-CZ"/>
              </w:rPr>
              <w:t>Komentář, doporučení</w:t>
            </w:r>
          </w:p>
        </w:tc>
      </w:tr>
      <w:tr w:rsidR="00022E68" w:rsidRPr="00DA7980" w:rsidTr="00806D90">
        <w:trPr>
          <w:trHeight w:val="301"/>
        </w:trPr>
        <w:tc>
          <w:tcPr>
            <w:tcW w:w="906" w:type="dxa"/>
            <w:shd w:val="clear" w:color="000000" w:fill="C5D9F1"/>
            <w:hideMark/>
          </w:tcPr>
          <w:p w:rsidR="00022E68" w:rsidRPr="00DA7980" w:rsidRDefault="00022E68"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01.25</w:t>
            </w:r>
          </w:p>
        </w:tc>
        <w:tc>
          <w:tcPr>
            <w:tcW w:w="2795" w:type="dxa"/>
            <w:shd w:val="clear" w:color="000000" w:fill="C5D9F1"/>
            <w:hideMark/>
          </w:tcPr>
          <w:p w:rsidR="00022E68" w:rsidRPr="00DA7980" w:rsidRDefault="00022E68"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Jsou dostatečným způsobem zapojeny klíčové instituce (partneři) do přípravy a provádění programu?</w:t>
            </w:r>
          </w:p>
        </w:tc>
        <w:tc>
          <w:tcPr>
            <w:tcW w:w="1417" w:type="dxa"/>
            <w:shd w:val="clear" w:color="000000" w:fill="C5D9F1"/>
            <w:vAlign w:val="center"/>
            <w:hideMark/>
          </w:tcPr>
          <w:p w:rsidR="00022E68" w:rsidRPr="00DA7980" w:rsidRDefault="00A83E1E" w:rsidP="005C0ADF">
            <w:pPr>
              <w:jc w:val="cente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S</w:t>
            </w:r>
            <w:r w:rsidR="00CC0CE7" w:rsidRPr="00DA7980">
              <w:rPr>
                <w:rFonts w:ascii="Times New Roman" w:eastAsia="Times New Roman" w:hAnsi="Times New Roman" w:cs="Times New Roman"/>
                <w:szCs w:val="20"/>
                <w:lang w:eastAsia="cs-CZ"/>
              </w:rPr>
              <w:t>A</w:t>
            </w:r>
          </w:p>
        </w:tc>
        <w:tc>
          <w:tcPr>
            <w:tcW w:w="4111" w:type="dxa"/>
            <w:shd w:val="clear" w:color="000000" w:fill="C5D9F1"/>
            <w:hideMark/>
          </w:tcPr>
          <w:p w:rsidR="00A83E1E" w:rsidRPr="00DA7980" w:rsidRDefault="00BE0DC1"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 xml:space="preserve">Hodnotitel se domnívá, že princip partnerství </w:t>
            </w:r>
            <w:r w:rsidRPr="00DA7980">
              <w:rPr>
                <w:rFonts w:ascii="Times New Roman" w:eastAsia="Times New Roman" w:hAnsi="Times New Roman" w:cs="Times New Roman"/>
                <w:szCs w:val="20"/>
                <w:u w:val="single"/>
                <w:lang w:eastAsia="cs-CZ"/>
              </w:rPr>
              <w:t>při přípravě programu</w:t>
            </w:r>
            <w:r w:rsidRPr="00DA7980">
              <w:rPr>
                <w:rFonts w:ascii="Times New Roman" w:eastAsia="Times New Roman" w:hAnsi="Times New Roman" w:cs="Times New Roman"/>
                <w:szCs w:val="20"/>
                <w:lang w:eastAsia="cs-CZ"/>
              </w:rPr>
              <w:t xml:space="preserve"> je naplňován dostatečným způsobem</w:t>
            </w:r>
            <w:r w:rsidR="00E81CC5" w:rsidRPr="00DA7980">
              <w:rPr>
                <w:rFonts w:ascii="Times New Roman" w:eastAsia="Times New Roman" w:hAnsi="Times New Roman" w:cs="Times New Roman"/>
                <w:szCs w:val="20"/>
                <w:lang w:eastAsia="cs-CZ"/>
              </w:rPr>
              <w:t xml:space="preserve"> a je rovněž dostatečným způsobem popsán v textu programu</w:t>
            </w:r>
            <w:r w:rsidRPr="00DA7980">
              <w:rPr>
                <w:rFonts w:ascii="Times New Roman" w:eastAsia="Times New Roman" w:hAnsi="Times New Roman" w:cs="Times New Roman"/>
                <w:szCs w:val="20"/>
                <w:lang w:eastAsia="cs-CZ"/>
              </w:rPr>
              <w:t>.</w:t>
            </w:r>
          </w:p>
          <w:p w:rsidR="00E9793B" w:rsidRPr="00DA7980" w:rsidRDefault="00E9793B"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 xml:space="preserve"> </w:t>
            </w:r>
          </w:p>
          <w:p w:rsidR="00E81CC5" w:rsidRPr="00DA7980" w:rsidRDefault="002375C4"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Hodnotitel doporučuje více</w:t>
            </w:r>
            <w:r w:rsidR="00E81CC5" w:rsidRPr="00DA7980">
              <w:rPr>
                <w:rFonts w:ascii="Times New Roman" w:eastAsia="Times New Roman" w:hAnsi="Times New Roman" w:cs="Times New Roman"/>
                <w:szCs w:val="20"/>
                <w:lang w:eastAsia="cs-CZ"/>
              </w:rPr>
              <w:t xml:space="preserve"> pops</w:t>
            </w:r>
            <w:r w:rsidRPr="00DA7980">
              <w:rPr>
                <w:rFonts w:ascii="Times New Roman" w:eastAsia="Times New Roman" w:hAnsi="Times New Roman" w:cs="Times New Roman"/>
                <w:szCs w:val="20"/>
                <w:lang w:eastAsia="cs-CZ"/>
              </w:rPr>
              <w:t>at</w:t>
            </w:r>
            <w:r w:rsidR="00E81CC5" w:rsidRPr="00DA7980">
              <w:rPr>
                <w:rFonts w:ascii="Times New Roman" w:eastAsia="Times New Roman" w:hAnsi="Times New Roman" w:cs="Times New Roman"/>
                <w:szCs w:val="20"/>
                <w:lang w:eastAsia="cs-CZ"/>
              </w:rPr>
              <w:t xml:space="preserve"> </w:t>
            </w:r>
            <w:r w:rsidR="00A83E1E" w:rsidRPr="00DA7980">
              <w:rPr>
                <w:rFonts w:ascii="Times New Roman" w:eastAsia="Times New Roman" w:hAnsi="Times New Roman" w:cs="Times New Roman"/>
                <w:szCs w:val="20"/>
                <w:lang w:eastAsia="cs-CZ"/>
              </w:rPr>
              <w:t xml:space="preserve">budoucí </w:t>
            </w:r>
            <w:r w:rsidR="00E81CC5" w:rsidRPr="00DA7980">
              <w:rPr>
                <w:rFonts w:ascii="Times New Roman" w:eastAsia="Times New Roman" w:hAnsi="Times New Roman" w:cs="Times New Roman"/>
                <w:szCs w:val="20"/>
                <w:lang w:eastAsia="cs-CZ"/>
              </w:rPr>
              <w:t xml:space="preserve">role partnerů </w:t>
            </w:r>
            <w:r w:rsidR="00E81CC5" w:rsidRPr="00DA7980">
              <w:rPr>
                <w:rFonts w:ascii="Times New Roman" w:eastAsia="Times New Roman" w:hAnsi="Times New Roman" w:cs="Times New Roman"/>
                <w:szCs w:val="20"/>
                <w:u w:val="single"/>
                <w:lang w:eastAsia="cs-CZ"/>
              </w:rPr>
              <w:t>při implementaci, monitoringu a evaluaci programu</w:t>
            </w:r>
            <w:r w:rsidR="00E81CC5" w:rsidRPr="00DA7980">
              <w:rPr>
                <w:rFonts w:ascii="Times New Roman" w:eastAsia="Times New Roman" w:hAnsi="Times New Roman" w:cs="Times New Roman"/>
                <w:szCs w:val="20"/>
                <w:lang w:eastAsia="cs-CZ"/>
              </w:rPr>
              <w:t>.</w:t>
            </w:r>
          </w:p>
          <w:p w:rsidR="00A83E1E" w:rsidRPr="00DA7980" w:rsidRDefault="00A83E1E" w:rsidP="005C0ADF">
            <w:pPr>
              <w:rPr>
                <w:rFonts w:ascii="Times New Roman" w:eastAsia="Times New Roman" w:hAnsi="Times New Roman" w:cs="Times New Roman"/>
                <w:szCs w:val="20"/>
                <w:lang w:eastAsia="cs-CZ"/>
              </w:rPr>
            </w:pPr>
          </w:p>
          <w:p w:rsidR="00022E68" w:rsidRPr="00DA7980" w:rsidRDefault="00F719CA"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 xml:space="preserve">Bylo by </w:t>
            </w:r>
            <w:r w:rsidR="00E81CC5" w:rsidRPr="00DA7980">
              <w:rPr>
                <w:rFonts w:ascii="Times New Roman" w:eastAsia="Times New Roman" w:hAnsi="Times New Roman" w:cs="Times New Roman"/>
                <w:szCs w:val="20"/>
                <w:lang w:eastAsia="cs-CZ"/>
              </w:rPr>
              <w:t xml:space="preserve">také </w:t>
            </w:r>
            <w:r w:rsidRPr="00DA7980">
              <w:rPr>
                <w:rFonts w:ascii="Times New Roman" w:eastAsia="Times New Roman" w:hAnsi="Times New Roman" w:cs="Times New Roman"/>
                <w:szCs w:val="20"/>
                <w:lang w:eastAsia="cs-CZ"/>
              </w:rPr>
              <w:t xml:space="preserve">vhodné uvést dosavadní zkušenosti a výsledky a v návaznosti na to případné změny </w:t>
            </w:r>
            <w:r w:rsidR="00E81CC5" w:rsidRPr="00DA7980">
              <w:rPr>
                <w:rFonts w:ascii="Times New Roman" w:eastAsia="Times New Roman" w:hAnsi="Times New Roman" w:cs="Times New Roman"/>
                <w:szCs w:val="20"/>
                <w:lang w:eastAsia="cs-CZ"/>
              </w:rPr>
              <w:t xml:space="preserve">v uplatňování principu partnerství </w:t>
            </w:r>
            <w:r w:rsidRPr="00DA7980">
              <w:rPr>
                <w:rFonts w:ascii="Times New Roman" w:eastAsia="Times New Roman" w:hAnsi="Times New Roman" w:cs="Times New Roman"/>
                <w:szCs w:val="20"/>
                <w:lang w:eastAsia="cs-CZ"/>
              </w:rPr>
              <w:t>v</w:t>
            </w:r>
            <w:r w:rsidR="00E81CC5" w:rsidRPr="00DA7980">
              <w:rPr>
                <w:rFonts w:ascii="Times New Roman" w:eastAsia="Times New Roman" w:hAnsi="Times New Roman" w:cs="Times New Roman"/>
                <w:szCs w:val="20"/>
                <w:lang w:eastAsia="cs-CZ"/>
              </w:rPr>
              <w:t xml:space="preserve"> </w:t>
            </w:r>
            <w:r w:rsidRPr="00DA7980">
              <w:rPr>
                <w:rFonts w:ascii="Times New Roman" w:eastAsia="Times New Roman" w:hAnsi="Times New Roman" w:cs="Times New Roman"/>
                <w:szCs w:val="20"/>
                <w:lang w:eastAsia="cs-CZ"/>
              </w:rPr>
              <w:t>OP PIK</w:t>
            </w:r>
            <w:r w:rsidR="00E81CC5" w:rsidRPr="00DA7980">
              <w:rPr>
                <w:rFonts w:ascii="Times New Roman" w:eastAsia="Times New Roman" w:hAnsi="Times New Roman" w:cs="Times New Roman"/>
                <w:szCs w:val="20"/>
                <w:lang w:eastAsia="cs-CZ"/>
              </w:rPr>
              <w:t xml:space="preserve"> oproti OPPI</w:t>
            </w:r>
            <w:r w:rsidRPr="00DA7980">
              <w:rPr>
                <w:rFonts w:ascii="Times New Roman" w:eastAsia="Times New Roman" w:hAnsi="Times New Roman" w:cs="Times New Roman"/>
                <w:szCs w:val="20"/>
                <w:lang w:eastAsia="cs-CZ"/>
              </w:rPr>
              <w:t xml:space="preserve">. </w:t>
            </w:r>
          </w:p>
        </w:tc>
      </w:tr>
    </w:tbl>
    <w:p w:rsidR="002C6BB2" w:rsidRDefault="002C6BB2" w:rsidP="00573C39">
      <w:pPr>
        <w:tabs>
          <w:tab w:val="num" w:pos="720"/>
        </w:tabs>
        <w:spacing w:after="120"/>
      </w:pPr>
    </w:p>
    <w:p w:rsidR="00746584" w:rsidRDefault="00746584" w:rsidP="00746584">
      <w:pPr>
        <w:spacing w:after="120"/>
        <w:rPr>
          <w:rFonts w:cs="Tahoma"/>
          <w:szCs w:val="20"/>
        </w:rPr>
      </w:pPr>
      <w:r>
        <w:rPr>
          <w:rFonts w:cs="Tahoma"/>
          <w:szCs w:val="20"/>
        </w:rPr>
        <w:t>Další komentáře a doporučení:</w:t>
      </w:r>
    </w:p>
    <w:tbl>
      <w:tblPr>
        <w:tblStyle w:val="Mkatabulky"/>
        <w:tblW w:w="9214" w:type="dxa"/>
        <w:tblInd w:w="108" w:type="dxa"/>
        <w:tblLook w:val="04A0"/>
      </w:tblPr>
      <w:tblGrid>
        <w:gridCol w:w="426"/>
        <w:gridCol w:w="8788"/>
      </w:tblGrid>
      <w:tr w:rsidR="006A095C" w:rsidTr="006A095C">
        <w:tc>
          <w:tcPr>
            <w:tcW w:w="426" w:type="dxa"/>
          </w:tcPr>
          <w:p w:rsidR="006A095C" w:rsidRPr="00E81CC5" w:rsidRDefault="006A095C" w:rsidP="006A095C">
            <w:pPr>
              <w:spacing w:after="120"/>
              <w:jc w:val="center"/>
            </w:pPr>
            <w:r>
              <w:t>1</w:t>
            </w:r>
          </w:p>
        </w:tc>
        <w:tc>
          <w:tcPr>
            <w:tcW w:w="8788" w:type="dxa"/>
          </w:tcPr>
          <w:p w:rsidR="006A095C" w:rsidRPr="00E81CC5" w:rsidRDefault="006A095C" w:rsidP="00E81CC5">
            <w:pPr>
              <w:spacing w:after="120"/>
            </w:pPr>
            <w:r w:rsidRPr="00E81CC5">
              <w:t xml:space="preserve">Do procesu tvorby programu je zapojena široká škála partnerských institucí, jejichž zástupci mají možnost zapojovat se do činnosti pracovních skupin, vyjadřovat se formou připomínek k textům návrhů programu i osobně na jednáních pracovních skupin nebo dalších platforem. </w:t>
            </w:r>
          </w:p>
          <w:p w:rsidR="006A095C" w:rsidRPr="00E81CC5" w:rsidRDefault="006A095C" w:rsidP="00EE784B">
            <w:pPr>
              <w:spacing w:after="120"/>
            </w:pPr>
            <w:r w:rsidRPr="00E81CC5">
              <w:t>Je zcela pochopitelné, že při takto široce uplatněném partnerském přístupu se objevují rozdílné, někdy i protichůdné názory na obsah i zaměření programu. Nelze však vyhovět všem představám a požadavkům.</w:t>
            </w:r>
            <w:r w:rsidR="00EE784B">
              <w:t xml:space="preserve"> </w:t>
            </w:r>
            <w:r w:rsidRPr="00E81CC5">
              <w:t xml:space="preserve">Zodpovědnost za přípravu nového programu nese řídící orgán a jeho úkolem je určovat strategii a zároveň činit zásadní a „konečná“ rozhodnutí ve vztahu k OP PIK, zejména co se týká vymezení a zaměření specifických cílů a podporovaných aktivit.    </w:t>
            </w:r>
          </w:p>
        </w:tc>
      </w:tr>
      <w:tr w:rsidR="000F4688" w:rsidRPr="000F4688" w:rsidTr="006A095C">
        <w:tc>
          <w:tcPr>
            <w:tcW w:w="426" w:type="dxa"/>
          </w:tcPr>
          <w:p w:rsidR="000F4688" w:rsidRPr="000F4688" w:rsidRDefault="000F4688" w:rsidP="006A095C">
            <w:pPr>
              <w:spacing w:after="120"/>
              <w:jc w:val="center"/>
            </w:pPr>
            <w:r>
              <w:t>2</w:t>
            </w:r>
          </w:p>
        </w:tc>
        <w:tc>
          <w:tcPr>
            <w:tcW w:w="8788" w:type="dxa"/>
          </w:tcPr>
          <w:p w:rsidR="000F4688" w:rsidRPr="000F4688" w:rsidRDefault="000F4688" w:rsidP="000F4688">
            <w:pPr>
              <w:spacing w:after="120"/>
              <w:rPr>
                <w:rFonts w:cs="Tahoma"/>
                <w:szCs w:val="20"/>
              </w:rPr>
            </w:pPr>
            <w:r w:rsidRPr="000F4688">
              <w:rPr>
                <w:rFonts w:cs="Tahoma"/>
                <w:szCs w:val="20"/>
              </w:rPr>
              <w:t xml:space="preserve">Zapojení partnerů do </w:t>
            </w:r>
            <w:r w:rsidRPr="00FA3C76">
              <w:rPr>
                <w:rFonts w:cs="Tahoma"/>
                <w:szCs w:val="20"/>
                <w:u w:val="single"/>
              </w:rPr>
              <w:t>implementace programu</w:t>
            </w:r>
            <w:r w:rsidRPr="000F4688">
              <w:rPr>
                <w:rFonts w:cs="Tahoma"/>
                <w:szCs w:val="20"/>
              </w:rPr>
              <w:t>, tj. především do přípravy výzev, zpráv o pokroku, monitorování a hodnocení programu by mělo být zajištěno následujícím způsobem:</w:t>
            </w:r>
          </w:p>
          <w:p w:rsidR="000F4688" w:rsidRPr="000F4688" w:rsidRDefault="000F4688" w:rsidP="00C6279B">
            <w:pPr>
              <w:pStyle w:val="Odstavecseseznamem"/>
              <w:numPr>
                <w:ilvl w:val="0"/>
                <w:numId w:val="16"/>
              </w:numPr>
              <w:spacing w:after="120"/>
              <w:ind w:left="459" w:hanging="426"/>
              <w:jc w:val="both"/>
              <w:rPr>
                <w:rFonts w:ascii="Tahoma" w:hAnsi="Tahoma" w:cs="Tahoma"/>
                <w:sz w:val="20"/>
                <w:szCs w:val="20"/>
              </w:rPr>
            </w:pPr>
            <w:r w:rsidRPr="000F4688">
              <w:rPr>
                <w:rFonts w:ascii="Tahoma" w:hAnsi="Tahoma" w:cs="Tahoma"/>
                <w:sz w:val="20"/>
                <w:szCs w:val="20"/>
              </w:rPr>
              <w:t xml:space="preserve">Zapojení partnerů do </w:t>
            </w:r>
            <w:r w:rsidRPr="00DA0FAE">
              <w:rPr>
                <w:rFonts w:ascii="Tahoma" w:hAnsi="Tahoma" w:cs="Tahoma"/>
                <w:sz w:val="20"/>
                <w:szCs w:val="20"/>
              </w:rPr>
              <w:t>monitoringu</w:t>
            </w:r>
            <w:r w:rsidRPr="000F4688">
              <w:rPr>
                <w:rFonts w:ascii="Tahoma" w:hAnsi="Tahoma" w:cs="Tahoma"/>
                <w:sz w:val="20"/>
                <w:szCs w:val="20"/>
              </w:rPr>
              <w:t xml:space="preserve">: řídící orgán by měl zapojit partnery - v rozsahu odpovědnosti monitorovacího výboru – do sledování věcného a finančního pokroku realizace </w:t>
            </w:r>
            <w:r>
              <w:rPr>
                <w:rFonts w:ascii="Tahoma" w:hAnsi="Tahoma" w:cs="Tahoma"/>
                <w:sz w:val="20"/>
                <w:szCs w:val="20"/>
              </w:rPr>
              <w:t>jednotlivých prioritních os OP PIK</w:t>
            </w:r>
            <w:r w:rsidRPr="000F4688">
              <w:rPr>
                <w:rFonts w:ascii="Tahoma" w:hAnsi="Tahoma" w:cs="Tahoma"/>
                <w:sz w:val="20"/>
                <w:szCs w:val="20"/>
              </w:rPr>
              <w:t>. Kromě toho by partneři měli spolupracovat s řídícím orgánem v rámci činnosti monitorovacího výboru a pracovních skupin na přípravě výročních zpráv o provádění programu.</w:t>
            </w:r>
          </w:p>
          <w:p w:rsidR="000F4688" w:rsidRPr="000F4688" w:rsidRDefault="000F4688" w:rsidP="00C6279B">
            <w:pPr>
              <w:pStyle w:val="Odstavecseseznamem"/>
              <w:numPr>
                <w:ilvl w:val="0"/>
                <w:numId w:val="16"/>
              </w:numPr>
              <w:spacing w:after="120"/>
              <w:ind w:left="459" w:hanging="426"/>
              <w:jc w:val="both"/>
              <w:rPr>
                <w:rFonts w:ascii="Tahoma" w:hAnsi="Tahoma" w:cs="Tahoma"/>
                <w:sz w:val="20"/>
                <w:szCs w:val="20"/>
              </w:rPr>
            </w:pPr>
            <w:r w:rsidRPr="000F4688">
              <w:rPr>
                <w:rFonts w:ascii="Tahoma" w:hAnsi="Tahoma" w:cs="Tahoma"/>
                <w:sz w:val="20"/>
                <w:szCs w:val="20"/>
              </w:rPr>
              <w:t xml:space="preserve">Zapojení partnerů do </w:t>
            </w:r>
            <w:r w:rsidRPr="00DA0FAE">
              <w:rPr>
                <w:rFonts w:ascii="Tahoma" w:hAnsi="Tahoma" w:cs="Tahoma"/>
                <w:sz w:val="20"/>
                <w:szCs w:val="20"/>
              </w:rPr>
              <w:t>reportingu:</w:t>
            </w:r>
            <w:r w:rsidRPr="000F4688">
              <w:rPr>
                <w:rFonts w:ascii="Tahoma" w:hAnsi="Tahoma" w:cs="Tahoma"/>
                <w:sz w:val="20"/>
                <w:szCs w:val="20"/>
              </w:rPr>
              <w:t xml:space="preserve"> řídící orgán by měl zapojit příslušné partnery do přípravy zpráv o pokroku dle čl. 52 obecného nařízení, a to především prostřednictvím monitorovacího výboru. Informace obsažené v těchto zprávách musí poskytovat informace, které umožní posoudit roli partnerů při provádění operačního programu.</w:t>
            </w:r>
          </w:p>
          <w:p w:rsidR="000F4688" w:rsidRPr="000F4688" w:rsidRDefault="000F4688" w:rsidP="00C6279B">
            <w:pPr>
              <w:pStyle w:val="Odstavecseseznamem"/>
              <w:numPr>
                <w:ilvl w:val="0"/>
                <w:numId w:val="16"/>
              </w:numPr>
              <w:spacing w:after="120"/>
              <w:ind w:left="459" w:hanging="426"/>
              <w:jc w:val="both"/>
              <w:rPr>
                <w:rFonts w:ascii="Tahoma" w:hAnsi="Tahoma" w:cs="Tahoma"/>
                <w:sz w:val="20"/>
                <w:szCs w:val="20"/>
              </w:rPr>
            </w:pPr>
            <w:r w:rsidRPr="000F4688">
              <w:rPr>
                <w:rFonts w:ascii="Tahoma" w:hAnsi="Tahoma" w:cs="Tahoma"/>
                <w:sz w:val="20"/>
                <w:szCs w:val="20"/>
              </w:rPr>
              <w:t xml:space="preserve">Zapojení partnerů </w:t>
            </w:r>
            <w:r w:rsidRPr="00DA0FAE">
              <w:rPr>
                <w:rFonts w:ascii="Tahoma" w:hAnsi="Tahoma" w:cs="Tahoma"/>
                <w:sz w:val="20"/>
                <w:szCs w:val="20"/>
              </w:rPr>
              <w:t>do hodnocení</w:t>
            </w:r>
            <w:r w:rsidRPr="000F4688">
              <w:rPr>
                <w:rFonts w:ascii="Tahoma" w:hAnsi="Tahoma" w:cs="Tahoma"/>
                <w:sz w:val="20"/>
                <w:szCs w:val="20"/>
              </w:rPr>
              <w:t>: řídící orgán zapojí příslušné partnery do hodnocení programu prostřednictvím monitorovacího výboru a případně také do zvláštní pracovní skupiny pro evaluace. Zároveň by měl řídící orgán konzultovat s relevantními partnery závěry a zjištění z hodnocení prováděných v průběhu programového období.</w:t>
            </w:r>
          </w:p>
          <w:p w:rsidR="000F4688" w:rsidRPr="000F4688" w:rsidRDefault="000F4688" w:rsidP="00C6279B">
            <w:pPr>
              <w:pStyle w:val="Odstavecseseznamem"/>
              <w:numPr>
                <w:ilvl w:val="0"/>
                <w:numId w:val="16"/>
              </w:numPr>
              <w:spacing w:after="120"/>
              <w:ind w:left="459" w:hanging="426"/>
              <w:jc w:val="both"/>
              <w:rPr>
                <w:rFonts w:ascii="Tahoma" w:hAnsi="Tahoma" w:cs="Tahoma"/>
                <w:sz w:val="20"/>
                <w:szCs w:val="20"/>
              </w:rPr>
            </w:pPr>
            <w:r w:rsidRPr="000F4688">
              <w:rPr>
                <w:rFonts w:ascii="Tahoma" w:hAnsi="Tahoma" w:cs="Tahoma"/>
                <w:sz w:val="20"/>
                <w:szCs w:val="20"/>
              </w:rPr>
              <w:t xml:space="preserve">Zapojení partnerů do </w:t>
            </w:r>
            <w:r w:rsidRPr="00DA0FAE">
              <w:rPr>
                <w:rFonts w:ascii="Tahoma" w:hAnsi="Tahoma" w:cs="Tahoma"/>
                <w:sz w:val="20"/>
                <w:szCs w:val="20"/>
              </w:rPr>
              <w:t>výzev k předkládání projektů: tam,</w:t>
            </w:r>
            <w:r w:rsidRPr="000F4688">
              <w:rPr>
                <w:rFonts w:ascii="Tahoma" w:hAnsi="Tahoma" w:cs="Tahoma"/>
                <w:sz w:val="20"/>
                <w:szCs w:val="20"/>
              </w:rPr>
              <w:t xml:space="preserve"> kde to považuje za vhodné, může řídící orgán zapojit relevantní partnery i do přípravy výzev k předkládání projektů. V tom případě ovšem musejí být předem stanoveny jasné postupy a pravidla tak, aby se zabránilo případnému střetu zájmů jakéhokoliv partnera nebo jeho zástupce, zejména v případě, kdy by mohl vystupovat jako předkladatel projektů a/nebo hodnotitel.</w:t>
            </w:r>
          </w:p>
          <w:p w:rsidR="000F4688" w:rsidRPr="000F4688" w:rsidRDefault="000F4688" w:rsidP="009B27D9">
            <w:pPr>
              <w:spacing w:after="120"/>
              <w:rPr>
                <w:rFonts w:cs="Tahoma"/>
                <w:szCs w:val="20"/>
              </w:rPr>
            </w:pPr>
            <w:r w:rsidRPr="000F4688">
              <w:rPr>
                <w:rFonts w:cs="Tahoma"/>
                <w:szCs w:val="20"/>
              </w:rPr>
              <w:t>V návaznosti na výše uvedené hodnotitel doporučuje</w:t>
            </w:r>
            <w:r>
              <w:rPr>
                <w:rFonts w:cs="Tahoma"/>
                <w:szCs w:val="20"/>
              </w:rPr>
              <w:t xml:space="preserve"> </w:t>
            </w:r>
            <w:r w:rsidRPr="000F4688">
              <w:rPr>
                <w:rFonts w:cs="Tahoma"/>
                <w:szCs w:val="20"/>
              </w:rPr>
              <w:t xml:space="preserve">doplnit text operačního programu </w:t>
            </w:r>
            <w:r w:rsidR="009B27D9">
              <w:rPr>
                <w:rFonts w:cs="Tahoma"/>
                <w:szCs w:val="20"/>
              </w:rPr>
              <w:t>o informace, zda a</w:t>
            </w:r>
            <w:r w:rsidRPr="000F4688">
              <w:rPr>
                <w:rFonts w:cs="Tahoma"/>
                <w:szCs w:val="20"/>
              </w:rPr>
              <w:t xml:space="preserve"> jakým způsobem budou aplikovány výše uvedené principy zapojení partnerů do implementace, hodnocení a monitorování OP </w:t>
            </w:r>
            <w:r>
              <w:rPr>
                <w:rFonts w:cs="Tahoma"/>
                <w:szCs w:val="20"/>
              </w:rPr>
              <w:t>PIK</w:t>
            </w:r>
            <w:r w:rsidRPr="000F4688">
              <w:rPr>
                <w:rFonts w:cs="Tahoma"/>
                <w:szCs w:val="20"/>
              </w:rPr>
              <w:t>.</w:t>
            </w:r>
          </w:p>
        </w:tc>
      </w:tr>
    </w:tbl>
    <w:p w:rsidR="004C617B" w:rsidRPr="00353D6E" w:rsidRDefault="00190B4B" w:rsidP="00353D6E">
      <w:pPr>
        <w:spacing w:after="120"/>
        <w:rPr>
          <w:rFonts w:cs="Tahoma"/>
          <w:szCs w:val="20"/>
        </w:rPr>
      </w:pPr>
      <w:r>
        <w:t xml:space="preserve">   </w:t>
      </w:r>
    </w:p>
    <w:p w:rsidR="00AD13CF" w:rsidRPr="00E21647" w:rsidRDefault="00080EB9" w:rsidP="009C5AC9">
      <w:pPr>
        <w:pStyle w:val="Nadpis1"/>
      </w:pPr>
      <w:bookmarkStart w:id="27" w:name="_Toc392583672"/>
      <w:r w:rsidRPr="00E21647">
        <w:lastRenderedPageBreak/>
        <w:t>Indikátory, monitoring a evaluace</w:t>
      </w:r>
      <w:bookmarkEnd w:id="27"/>
    </w:p>
    <w:p w:rsidR="0087255C" w:rsidRDefault="00746584" w:rsidP="0087255C">
      <w:pPr>
        <w:spacing w:after="120"/>
        <w:rPr>
          <w:rFonts w:cs="Tahoma"/>
          <w:szCs w:val="20"/>
        </w:rPr>
      </w:pPr>
      <w:r>
        <w:rPr>
          <w:rFonts w:cs="Tahoma"/>
          <w:szCs w:val="20"/>
        </w:rPr>
        <w:t>Smyslem</w:t>
      </w:r>
      <w:r w:rsidR="0087255C" w:rsidRPr="00071C9F">
        <w:rPr>
          <w:rFonts w:cs="Tahoma"/>
          <w:szCs w:val="20"/>
        </w:rPr>
        <w:t xml:space="preserve"> této části </w:t>
      </w:r>
      <w:r w:rsidR="0087255C">
        <w:rPr>
          <w:rFonts w:cs="Tahoma"/>
          <w:szCs w:val="20"/>
        </w:rPr>
        <w:t>evaluačního projektu</w:t>
      </w:r>
      <w:r w:rsidR="0087255C" w:rsidRPr="00071C9F">
        <w:rPr>
          <w:rFonts w:cs="Tahoma"/>
          <w:szCs w:val="20"/>
        </w:rPr>
        <w:t xml:space="preserve"> je </w:t>
      </w:r>
      <w:r w:rsidR="0087255C">
        <w:rPr>
          <w:rFonts w:cs="Tahoma"/>
          <w:szCs w:val="20"/>
        </w:rPr>
        <w:t>zajistit k</w:t>
      </w:r>
      <w:r w:rsidR="0087255C" w:rsidRPr="00071C9F">
        <w:rPr>
          <w:rFonts w:cs="Tahoma"/>
          <w:szCs w:val="20"/>
        </w:rPr>
        <w:t>valitn</w:t>
      </w:r>
      <w:r w:rsidR="0087255C">
        <w:rPr>
          <w:rFonts w:cs="Tahoma"/>
          <w:szCs w:val="20"/>
        </w:rPr>
        <w:t>í</w:t>
      </w:r>
      <w:r w:rsidR="0087255C" w:rsidRPr="00071C9F">
        <w:rPr>
          <w:rFonts w:cs="Tahoma"/>
          <w:szCs w:val="20"/>
        </w:rPr>
        <w:t xml:space="preserve"> nastavení indikátorové soustavy OP</w:t>
      </w:r>
      <w:r w:rsidR="0087255C">
        <w:rPr>
          <w:rFonts w:cs="Tahoma"/>
          <w:szCs w:val="20"/>
        </w:rPr>
        <w:t xml:space="preserve"> PIK</w:t>
      </w:r>
      <w:r w:rsidR="0087255C" w:rsidRPr="00071C9F">
        <w:rPr>
          <w:rFonts w:cs="Tahoma"/>
          <w:szCs w:val="20"/>
        </w:rPr>
        <w:t xml:space="preserve"> tak, aby byla schopna zajistit </w:t>
      </w:r>
      <w:r w:rsidR="0087255C">
        <w:rPr>
          <w:rFonts w:cs="Tahoma"/>
          <w:szCs w:val="20"/>
        </w:rPr>
        <w:t xml:space="preserve">optimální </w:t>
      </w:r>
      <w:r w:rsidR="0087255C" w:rsidRPr="00071C9F">
        <w:rPr>
          <w:rFonts w:cs="Tahoma"/>
          <w:szCs w:val="20"/>
        </w:rPr>
        <w:t>data pro budoucí průběžné i závěrečné zhodnocení plnění cílů OP</w:t>
      </w:r>
      <w:r w:rsidR="0087255C">
        <w:rPr>
          <w:rFonts w:cs="Tahoma"/>
          <w:szCs w:val="20"/>
        </w:rPr>
        <w:t xml:space="preserve"> PIK</w:t>
      </w:r>
      <w:r w:rsidR="0087255C" w:rsidRPr="00071C9F">
        <w:rPr>
          <w:rFonts w:cs="Tahoma"/>
          <w:szCs w:val="20"/>
        </w:rPr>
        <w:t xml:space="preserve"> a jeho příspěvku k</w:t>
      </w:r>
      <w:r w:rsidR="0087255C">
        <w:rPr>
          <w:rFonts w:cs="Tahoma"/>
          <w:szCs w:val="20"/>
        </w:rPr>
        <w:t> naplňování strategie Evropa 2020, Dohody o partnerství i dalších relevantních strategií ČR.</w:t>
      </w:r>
      <w:r w:rsidR="0087255C" w:rsidRPr="00071C9F">
        <w:rPr>
          <w:rFonts w:cs="Tahoma"/>
          <w:szCs w:val="20"/>
        </w:rPr>
        <w:t xml:space="preserve"> Současně toho hodnocení slouž</w:t>
      </w:r>
      <w:r w:rsidR="0087255C">
        <w:rPr>
          <w:rFonts w:cs="Tahoma"/>
          <w:szCs w:val="20"/>
        </w:rPr>
        <w:t>í</w:t>
      </w:r>
      <w:r w:rsidR="0087255C" w:rsidRPr="00071C9F">
        <w:rPr>
          <w:rFonts w:cs="Tahoma"/>
          <w:szCs w:val="20"/>
        </w:rPr>
        <w:t xml:space="preserve"> i k ověření </w:t>
      </w:r>
      <w:r w:rsidR="0087255C">
        <w:rPr>
          <w:rFonts w:cs="Tahoma"/>
          <w:szCs w:val="20"/>
        </w:rPr>
        <w:t>nastavení</w:t>
      </w:r>
      <w:r w:rsidR="0087255C" w:rsidRPr="00071C9F">
        <w:rPr>
          <w:rFonts w:cs="Tahoma"/>
          <w:szCs w:val="20"/>
        </w:rPr>
        <w:t xml:space="preserve"> monitorovacího systému. Ve své podstatě jde o dosažení efektivního fungování monitorovacího a hodnotícího systému</w:t>
      </w:r>
      <w:r w:rsidR="0087255C">
        <w:rPr>
          <w:rFonts w:cs="Tahoma"/>
          <w:szCs w:val="20"/>
        </w:rPr>
        <w:t xml:space="preserve"> tak</w:t>
      </w:r>
      <w:r w:rsidR="0087255C" w:rsidRPr="00071C9F">
        <w:rPr>
          <w:rFonts w:cs="Tahoma"/>
          <w:szCs w:val="20"/>
        </w:rPr>
        <w:t>, aby bylo možno analyzovat a kontrolovat směřování OP</w:t>
      </w:r>
      <w:r w:rsidR="0087255C">
        <w:rPr>
          <w:rFonts w:cs="Tahoma"/>
          <w:szCs w:val="20"/>
        </w:rPr>
        <w:t xml:space="preserve"> PIK</w:t>
      </w:r>
      <w:r w:rsidR="0087255C" w:rsidRPr="00071C9F">
        <w:rPr>
          <w:rFonts w:cs="Tahoma"/>
          <w:szCs w:val="20"/>
        </w:rPr>
        <w:t xml:space="preserve"> k předpokládaným cílům.</w:t>
      </w:r>
    </w:p>
    <w:p w:rsidR="0087255C" w:rsidRDefault="00746584" w:rsidP="0087255C">
      <w:pPr>
        <w:spacing w:after="120"/>
        <w:rPr>
          <w:rFonts w:cs="Tahoma"/>
          <w:szCs w:val="20"/>
        </w:rPr>
      </w:pPr>
      <w:r>
        <w:rPr>
          <w:rFonts w:cs="Tahoma"/>
          <w:szCs w:val="20"/>
        </w:rPr>
        <w:t>Účelem</w:t>
      </w:r>
      <w:r w:rsidR="0087255C">
        <w:rPr>
          <w:rFonts w:cs="Tahoma"/>
          <w:szCs w:val="20"/>
        </w:rPr>
        <w:t xml:space="preserve"> hodnocení administrativní kapacity, procedury sběru dat a evaluace je ověřit, zda je nastavení personálních kapacit pro řízení programu a postupů pro monitorování programu a sběr dat pro evaluace dostatečné a efektivní.</w:t>
      </w:r>
    </w:p>
    <w:p w:rsidR="00B40936" w:rsidRPr="00C33503" w:rsidRDefault="00B40936" w:rsidP="00C33503">
      <w:pPr>
        <w:pStyle w:val="Nadpis2"/>
      </w:pPr>
      <w:bookmarkStart w:id="28" w:name="_Toc392583673"/>
      <w:r w:rsidRPr="00C33503">
        <w:t>Relevantnost a srozumitelnost navržených programových indikátorů</w:t>
      </w:r>
      <w:bookmarkEnd w:id="28"/>
    </w:p>
    <w:p w:rsidR="002C6BB2" w:rsidRPr="002C6BB2" w:rsidRDefault="002C6BB2" w:rsidP="002C6BB2">
      <w:pPr>
        <w:tabs>
          <w:tab w:val="num" w:pos="720"/>
        </w:tabs>
        <w:spacing w:after="120"/>
        <w:rPr>
          <w:u w:val="single"/>
        </w:rPr>
      </w:pPr>
      <w:r w:rsidRPr="002C6BB2">
        <w:rPr>
          <w:u w:val="single"/>
        </w:rPr>
        <w:t>Úkol:</w:t>
      </w:r>
    </w:p>
    <w:p w:rsidR="00B27A2C" w:rsidRDefault="00B27A2C" w:rsidP="00B27A2C">
      <w:pPr>
        <w:spacing w:after="120"/>
        <w:rPr>
          <w:rFonts w:cs="Tahoma"/>
          <w:szCs w:val="20"/>
        </w:rPr>
      </w:pPr>
      <w:r>
        <w:rPr>
          <w:rFonts w:cs="Tahoma"/>
          <w:szCs w:val="20"/>
        </w:rPr>
        <w:t>Posoudit, zda:</w:t>
      </w:r>
    </w:p>
    <w:p w:rsidR="00B27A2C" w:rsidRPr="00B27A2C" w:rsidRDefault="00B27A2C" w:rsidP="00C6279B">
      <w:pPr>
        <w:pStyle w:val="Odstavecseseznamem"/>
        <w:numPr>
          <w:ilvl w:val="0"/>
          <w:numId w:val="7"/>
        </w:numPr>
        <w:spacing w:after="120"/>
        <w:jc w:val="both"/>
        <w:rPr>
          <w:rFonts w:ascii="Tahoma" w:hAnsi="Tahoma" w:cs="Tahoma"/>
          <w:sz w:val="20"/>
          <w:szCs w:val="20"/>
        </w:rPr>
      </w:pPr>
      <w:r w:rsidRPr="00B27A2C">
        <w:rPr>
          <w:rFonts w:ascii="Tahoma" w:hAnsi="Tahoma" w:cs="Tahoma"/>
          <w:sz w:val="20"/>
          <w:szCs w:val="20"/>
        </w:rPr>
        <w:t xml:space="preserve">indikátory reflektují plánované aktivity a </w:t>
      </w:r>
      <w:r w:rsidR="00F64FA5">
        <w:rPr>
          <w:rFonts w:ascii="Tahoma" w:hAnsi="Tahoma" w:cs="Tahoma"/>
          <w:sz w:val="20"/>
          <w:szCs w:val="20"/>
        </w:rPr>
        <w:t xml:space="preserve">specifické cíle </w:t>
      </w:r>
      <w:r w:rsidRPr="00B27A2C">
        <w:rPr>
          <w:rFonts w:ascii="Tahoma" w:hAnsi="Tahoma" w:cs="Tahoma"/>
          <w:sz w:val="20"/>
          <w:szCs w:val="20"/>
        </w:rPr>
        <w:t xml:space="preserve">prioritních os; </w:t>
      </w:r>
    </w:p>
    <w:p w:rsidR="00B27A2C" w:rsidRPr="00B27A2C" w:rsidRDefault="00B27A2C" w:rsidP="00C6279B">
      <w:pPr>
        <w:pStyle w:val="Odstavecseseznamem"/>
        <w:numPr>
          <w:ilvl w:val="0"/>
          <w:numId w:val="7"/>
        </w:numPr>
        <w:spacing w:after="120"/>
        <w:jc w:val="both"/>
        <w:rPr>
          <w:rFonts w:ascii="Tahoma" w:hAnsi="Tahoma" w:cs="Tahoma"/>
          <w:sz w:val="20"/>
          <w:szCs w:val="20"/>
        </w:rPr>
      </w:pPr>
      <w:r w:rsidRPr="00B27A2C">
        <w:rPr>
          <w:rFonts w:ascii="Tahoma" w:hAnsi="Tahoma" w:cs="Tahoma"/>
          <w:sz w:val="20"/>
          <w:szCs w:val="20"/>
        </w:rPr>
        <w:t>indikátory jsou jasně nadefinované</w:t>
      </w:r>
      <w:r>
        <w:rPr>
          <w:rFonts w:ascii="Tahoma" w:hAnsi="Tahoma" w:cs="Tahoma"/>
          <w:sz w:val="20"/>
          <w:szCs w:val="20"/>
        </w:rPr>
        <w:t xml:space="preserve">, tj. </w:t>
      </w:r>
      <w:r w:rsidRPr="00B27A2C">
        <w:rPr>
          <w:rFonts w:ascii="Tahoma" w:hAnsi="Tahoma" w:cs="Tahoma"/>
          <w:sz w:val="20"/>
          <w:szCs w:val="20"/>
        </w:rPr>
        <w:t xml:space="preserve">mají jednoznačné názvy a definice, které je možné bez problémů pochopit a jednotně interpretovat. </w:t>
      </w:r>
    </w:p>
    <w:p w:rsidR="00022E68" w:rsidRPr="00022E68" w:rsidRDefault="00022E68" w:rsidP="00022E68">
      <w:pPr>
        <w:tabs>
          <w:tab w:val="num" w:pos="720"/>
        </w:tabs>
        <w:spacing w:after="120"/>
        <w:rPr>
          <w:u w:val="single"/>
        </w:rPr>
      </w:pPr>
      <w:r w:rsidRPr="00022E68">
        <w:rPr>
          <w:u w:val="single"/>
        </w:rPr>
        <w:t>Východiska:</w:t>
      </w:r>
    </w:p>
    <w:p w:rsidR="00022E68" w:rsidRPr="00CB08A7" w:rsidRDefault="00022E68" w:rsidP="00B33EB7">
      <w:pPr>
        <w:tabs>
          <w:tab w:val="num" w:pos="720"/>
        </w:tabs>
        <w:spacing w:after="120"/>
      </w:pPr>
      <w:r w:rsidRPr="00CB08A7">
        <w:t>Východiskem pro hodnocení j</w:t>
      </w:r>
      <w:r w:rsidR="00312414" w:rsidRPr="00CB08A7">
        <w:t xml:space="preserve">sou především </w:t>
      </w:r>
      <w:r w:rsidR="00A2310F">
        <w:t>oddíly</w:t>
      </w:r>
      <w:r w:rsidRPr="00CB08A7">
        <w:t xml:space="preserve"> 1</w:t>
      </w:r>
      <w:r w:rsidR="00312414" w:rsidRPr="00CB08A7">
        <w:t xml:space="preserve"> a 2</w:t>
      </w:r>
      <w:r w:rsidR="00CB08A7">
        <w:t xml:space="preserve"> textu programu</w:t>
      </w:r>
      <w:r w:rsidR="00B33EB7">
        <w:t xml:space="preserve"> </w:t>
      </w:r>
      <w:r w:rsidR="000F220F" w:rsidRPr="00B33EB7">
        <w:t>a také samostatný</w:t>
      </w:r>
      <w:r w:rsidR="00180B9E">
        <w:t>, interní</w:t>
      </w:r>
      <w:r w:rsidR="000F220F" w:rsidRPr="00B33EB7">
        <w:t xml:space="preserve"> </w:t>
      </w:r>
      <w:r w:rsidR="00B33EB7">
        <w:t xml:space="preserve">dokument ŘO </w:t>
      </w:r>
      <w:r w:rsidR="00180B9E" w:rsidRPr="009B27D9">
        <w:rPr>
          <w:i/>
        </w:rPr>
        <w:t>Návrh i</w:t>
      </w:r>
      <w:r w:rsidR="00B33EB7" w:rsidRPr="009B27D9">
        <w:rPr>
          <w:i/>
        </w:rPr>
        <w:t>ndikátor</w:t>
      </w:r>
      <w:r w:rsidR="00180B9E" w:rsidRPr="009B27D9">
        <w:rPr>
          <w:i/>
        </w:rPr>
        <w:t>ové soustavy</w:t>
      </w:r>
      <w:r w:rsidR="00B33EB7" w:rsidRPr="009B27D9">
        <w:rPr>
          <w:i/>
        </w:rPr>
        <w:t xml:space="preserve"> OP PI</w:t>
      </w:r>
      <w:r w:rsidR="009B27D9">
        <w:rPr>
          <w:i/>
        </w:rPr>
        <w:t>K</w:t>
      </w:r>
      <w:r w:rsidR="000F220F">
        <w:t>.</w:t>
      </w:r>
    </w:p>
    <w:p w:rsidR="00312414" w:rsidRPr="00CB08A7" w:rsidRDefault="00A2310F" w:rsidP="00022E68">
      <w:pPr>
        <w:tabs>
          <w:tab w:val="num" w:pos="720"/>
        </w:tabs>
        <w:spacing w:after="120"/>
      </w:pPr>
      <w:r>
        <w:t>Oddíl</w:t>
      </w:r>
      <w:r w:rsidR="00022E68" w:rsidRPr="00CB08A7">
        <w:t xml:space="preserve"> 1</w:t>
      </w:r>
      <w:r w:rsidR="00312414" w:rsidRPr="00CB08A7">
        <w:t xml:space="preserve"> uvádí tabulkový přehled investiční strategie programu, jehož součástí jsou i specifické výsledkové </w:t>
      </w:r>
      <w:r w:rsidR="00180B9E">
        <w:t>ukazatele</w:t>
      </w:r>
      <w:r w:rsidR="00312414" w:rsidRPr="00CB08A7">
        <w:t xml:space="preserve"> odpovídající specifickým cílům OP PIK.</w:t>
      </w:r>
    </w:p>
    <w:p w:rsidR="009D7676" w:rsidRDefault="00A2310F" w:rsidP="00022E68">
      <w:pPr>
        <w:tabs>
          <w:tab w:val="num" w:pos="720"/>
        </w:tabs>
        <w:spacing w:after="120"/>
      </w:pPr>
      <w:r>
        <w:t>Oddíl</w:t>
      </w:r>
      <w:r w:rsidR="00312414" w:rsidRPr="00CB08A7">
        <w:t xml:space="preserve"> 2 pak v rámci </w:t>
      </w:r>
      <w:r w:rsidR="00CB08A7" w:rsidRPr="00CB08A7">
        <w:t xml:space="preserve">jednotlivých prioritních os uvádí přehledy specifických </w:t>
      </w:r>
      <w:r w:rsidR="00180B9E">
        <w:t>ukazatelů</w:t>
      </w:r>
      <w:r w:rsidR="00CB08A7" w:rsidRPr="00CB08A7">
        <w:t xml:space="preserve"> programu výsledků v členění podle specifických cílů a dále společné a specifické programové </w:t>
      </w:r>
      <w:r w:rsidR="00180B9E">
        <w:t>ukazatele</w:t>
      </w:r>
      <w:r w:rsidR="00CB08A7" w:rsidRPr="00CB08A7">
        <w:t xml:space="preserve"> výs</w:t>
      </w:r>
      <w:r w:rsidR="00B33EB7">
        <w:t>tupu podle investičních priorit</w:t>
      </w:r>
      <w:r w:rsidR="00CB08A7" w:rsidRPr="00CB08A7">
        <w:t>.</w:t>
      </w:r>
      <w:r w:rsidR="00180B9E">
        <w:t xml:space="preserve"> </w:t>
      </w:r>
    </w:p>
    <w:p w:rsidR="00180B9E" w:rsidRPr="00CB08A7" w:rsidRDefault="00180B9E" w:rsidP="00022E68">
      <w:pPr>
        <w:tabs>
          <w:tab w:val="num" w:pos="720"/>
        </w:tabs>
        <w:spacing w:after="120"/>
      </w:pPr>
      <w:r>
        <w:t xml:space="preserve">Zpracovatel </w:t>
      </w:r>
      <w:r w:rsidR="009D7676">
        <w:t xml:space="preserve">OP PIK </w:t>
      </w:r>
      <w:r>
        <w:t xml:space="preserve">se rozhodl – zejména s ohledem na zachování přehlednosti operačního programu – uvádět v textu především společné programové ukazatele výstupu. Celá indikátorová soustava OP PIK je ovšem dále detailně rozpracována v samostatném, interním dokumentu </w:t>
      </w:r>
      <w:r w:rsidR="009B27D9">
        <w:t xml:space="preserve">ŘO </w:t>
      </w:r>
      <w:r>
        <w:t xml:space="preserve">a obsahuje řadu dalších, doplňujících ukazatelů.  </w:t>
      </w:r>
    </w:p>
    <w:p w:rsidR="00022E68" w:rsidRPr="00022E68" w:rsidRDefault="00022E68" w:rsidP="00022E68">
      <w:pPr>
        <w:tabs>
          <w:tab w:val="num" w:pos="720"/>
        </w:tabs>
        <w:spacing w:after="120"/>
        <w:rPr>
          <w:u w:val="single"/>
        </w:rPr>
      </w:pPr>
      <w:r w:rsidRPr="00022E68">
        <w:rPr>
          <w:u w:val="single"/>
        </w:rPr>
        <w:t>Zjištění v návaznosti na evaluační otázky a úkoly:</w:t>
      </w:r>
    </w:p>
    <w:tbl>
      <w:tblPr>
        <w:tblW w:w="922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80"/>
        <w:gridCol w:w="2821"/>
        <w:gridCol w:w="1701"/>
        <w:gridCol w:w="3827"/>
      </w:tblGrid>
      <w:tr w:rsidR="00022E68" w:rsidRPr="00DA7980" w:rsidTr="00627207">
        <w:trPr>
          <w:trHeight w:val="1350"/>
          <w:tblHeader/>
        </w:trPr>
        <w:tc>
          <w:tcPr>
            <w:tcW w:w="880" w:type="dxa"/>
            <w:shd w:val="clear" w:color="000000" w:fill="BFBFBF"/>
            <w:vAlign w:val="center"/>
            <w:hideMark/>
          </w:tcPr>
          <w:p w:rsidR="00022E68" w:rsidRPr="00DA7980" w:rsidRDefault="00022E68" w:rsidP="00022E68">
            <w:pPr>
              <w:jc w:val="center"/>
              <w:rPr>
                <w:rFonts w:ascii="Times New Roman" w:eastAsia="Times New Roman" w:hAnsi="Times New Roman" w:cs="Times New Roman"/>
                <w:b/>
                <w:bCs/>
                <w:szCs w:val="20"/>
                <w:lang w:eastAsia="cs-CZ"/>
              </w:rPr>
            </w:pPr>
            <w:proofErr w:type="spellStart"/>
            <w:r w:rsidRPr="00DA7980">
              <w:rPr>
                <w:rFonts w:ascii="Times New Roman" w:eastAsia="Times New Roman" w:hAnsi="Times New Roman" w:cs="Times New Roman"/>
                <w:b/>
                <w:bCs/>
                <w:szCs w:val="20"/>
                <w:lang w:eastAsia="cs-CZ"/>
              </w:rPr>
              <w:t>Poř</w:t>
            </w:r>
            <w:proofErr w:type="spellEnd"/>
            <w:r w:rsidRPr="00DA7980">
              <w:rPr>
                <w:rFonts w:ascii="Times New Roman" w:eastAsia="Times New Roman" w:hAnsi="Times New Roman" w:cs="Times New Roman"/>
                <w:b/>
                <w:bCs/>
                <w:szCs w:val="20"/>
                <w:lang w:eastAsia="cs-CZ"/>
              </w:rPr>
              <w:t>. č.</w:t>
            </w:r>
          </w:p>
        </w:tc>
        <w:tc>
          <w:tcPr>
            <w:tcW w:w="2821" w:type="dxa"/>
            <w:shd w:val="clear" w:color="000000" w:fill="BFBFBF"/>
            <w:vAlign w:val="center"/>
            <w:hideMark/>
          </w:tcPr>
          <w:p w:rsidR="00022E68" w:rsidRPr="00DA7980" w:rsidRDefault="00022E68" w:rsidP="00022E68">
            <w:pPr>
              <w:jc w:val="center"/>
              <w:rPr>
                <w:rFonts w:ascii="Times New Roman" w:eastAsia="Times New Roman" w:hAnsi="Times New Roman" w:cs="Times New Roman"/>
                <w:b/>
                <w:bCs/>
                <w:szCs w:val="20"/>
                <w:lang w:eastAsia="cs-CZ"/>
              </w:rPr>
            </w:pPr>
            <w:r w:rsidRPr="00DA7980">
              <w:rPr>
                <w:rFonts w:ascii="Times New Roman" w:eastAsia="Times New Roman" w:hAnsi="Times New Roman" w:cs="Times New Roman"/>
                <w:b/>
                <w:bCs/>
                <w:szCs w:val="20"/>
                <w:lang w:eastAsia="cs-CZ"/>
              </w:rPr>
              <w:t>Evaluační otázka / úkol</w:t>
            </w:r>
          </w:p>
        </w:tc>
        <w:tc>
          <w:tcPr>
            <w:tcW w:w="1701" w:type="dxa"/>
            <w:shd w:val="clear" w:color="000000" w:fill="BFBFBF"/>
            <w:vAlign w:val="center"/>
            <w:hideMark/>
          </w:tcPr>
          <w:p w:rsidR="00022E68" w:rsidRPr="00DA7980" w:rsidRDefault="00022E68" w:rsidP="005C0ADF">
            <w:pPr>
              <w:jc w:val="center"/>
              <w:rPr>
                <w:rFonts w:ascii="Times New Roman" w:eastAsia="Times New Roman" w:hAnsi="Times New Roman" w:cs="Times New Roman"/>
                <w:b/>
                <w:bCs/>
                <w:szCs w:val="20"/>
                <w:lang w:eastAsia="cs-CZ"/>
              </w:rPr>
            </w:pPr>
            <w:r w:rsidRPr="00DA7980">
              <w:rPr>
                <w:rFonts w:ascii="Times New Roman" w:eastAsia="Times New Roman" w:hAnsi="Times New Roman" w:cs="Times New Roman"/>
                <w:b/>
                <w:bCs/>
                <w:szCs w:val="20"/>
                <w:lang w:eastAsia="cs-CZ"/>
              </w:rPr>
              <w:t>Zhodnocení</w:t>
            </w:r>
            <w:r w:rsidRPr="00DA7980">
              <w:rPr>
                <w:rFonts w:ascii="Times New Roman" w:eastAsia="Times New Roman" w:hAnsi="Times New Roman" w:cs="Times New Roman"/>
                <w:b/>
                <w:bCs/>
                <w:szCs w:val="20"/>
                <w:lang w:eastAsia="cs-CZ"/>
              </w:rPr>
              <w:br/>
            </w:r>
            <w:r w:rsidRPr="00DA7980">
              <w:rPr>
                <w:rFonts w:ascii="Times New Roman" w:eastAsia="Times New Roman" w:hAnsi="Times New Roman" w:cs="Times New Roman"/>
                <w:szCs w:val="20"/>
                <w:lang w:eastAsia="cs-CZ"/>
              </w:rPr>
              <w:t>(A - Ano, SA - Spíše ano, SN - Spíše ne, N - Ne, NR - Není relevantní)</w:t>
            </w:r>
          </w:p>
        </w:tc>
        <w:tc>
          <w:tcPr>
            <w:tcW w:w="3827" w:type="dxa"/>
            <w:shd w:val="clear" w:color="000000" w:fill="BFBFBF"/>
            <w:vAlign w:val="center"/>
            <w:hideMark/>
          </w:tcPr>
          <w:p w:rsidR="00022E68" w:rsidRPr="00DA7980" w:rsidRDefault="00022E68" w:rsidP="00022E68">
            <w:pPr>
              <w:jc w:val="center"/>
              <w:rPr>
                <w:rFonts w:ascii="Times New Roman" w:eastAsia="Times New Roman" w:hAnsi="Times New Roman" w:cs="Times New Roman"/>
                <w:b/>
                <w:bCs/>
                <w:szCs w:val="20"/>
                <w:lang w:eastAsia="cs-CZ"/>
              </w:rPr>
            </w:pPr>
            <w:r w:rsidRPr="00DA7980">
              <w:rPr>
                <w:rFonts w:ascii="Times New Roman" w:eastAsia="Times New Roman" w:hAnsi="Times New Roman" w:cs="Times New Roman"/>
                <w:b/>
                <w:bCs/>
                <w:szCs w:val="20"/>
                <w:lang w:eastAsia="cs-CZ"/>
              </w:rPr>
              <w:t>Komentář, doporučení</w:t>
            </w:r>
          </w:p>
        </w:tc>
      </w:tr>
      <w:tr w:rsidR="00022E68" w:rsidRPr="00DA7980" w:rsidTr="00627207">
        <w:trPr>
          <w:trHeight w:val="329"/>
        </w:trPr>
        <w:tc>
          <w:tcPr>
            <w:tcW w:w="880" w:type="dxa"/>
            <w:shd w:val="clear" w:color="000000" w:fill="EAF1DD"/>
            <w:hideMark/>
          </w:tcPr>
          <w:p w:rsidR="00022E68" w:rsidRPr="00DA7980" w:rsidRDefault="00022E68"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02.1</w:t>
            </w:r>
          </w:p>
        </w:tc>
        <w:tc>
          <w:tcPr>
            <w:tcW w:w="2821" w:type="dxa"/>
            <w:shd w:val="clear" w:color="000000" w:fill="EAF1DD"/>
            <w:hideMark/>
          </w:tcPr>
          <w:p w:rsidR="00022E68" w:rsidRPr="00DA7980" w:rsidRDefault="00022E68" w:rsidP="00050916">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Jsou v programu pro jednotlivé prioritní osy a jejich investiční priority</w:t>
            </w:r>
            <w:r w:rsidR="00CC0CE7" w:rsidRPr="00DA7980">
              <w:rPr>
                <w:rFonts w:ascii="Times New Roman" w:eastAsia="Times New Roman" w:hAnsi="Times New Roman" w:cs="Times New Roman"/>
                <w:szCs w:val="20"/>
                <w:lang w:eastAsia="cs-CZ"/>
              </w:rPr>
              <w:t xml:space="preserve"> a specifické cíle</w:t>
            </w:r>
            <w:r w:rsidRPr="00DA7980">
              <w:rPr>
                <w:rFonts w:ascii="Times New Roman" w:eastAsia="Times New Roman" w:hAnsi="Times New Roman" w:cs="Times New Roman"/>
                <w:szCs w:val="20"/>
                <w:lang w:eastAsia="cs-CZ"/>
              </w:rPr>
              <w:t xml:space="preserve"> navrženy relevantní </w:t>
            </w:r>
            <w:r w:rsidR="00050916">
              <w:rPr>
                <w:rFonts w:ascii="Times New Roman" w:eastAsia="Times New Roman" w:hAnsi="Times New Roman" w:cs="Times New Roman"/>
                <w:szCs w:val="20"/>
                <w:lang w:eastAsia="cs-CZ"/>
              </w:rPr>
              <w:t>ukazatele</w:t>
            </w:r>
            <w:r w:rsidRPr="00DA7980">
              <w:rPr>
                <w:rFonts w:ascii="Times New Roman" w:eastAsia="Times New Roman" w:hAnsi="Times New Roman" w:cs="Times New Roman"/>
                <w:szCs w:val="20"/>
                <w:lang w:eastAsia="cs-CZ"/>
              </w:rPr>
              <w:t xml:space="preserve"> výstupu, které umožní efektivní sledování pokroku při realizaci hlavních podporovaných aktivit a které umožní zhodnotit, zda aktivity vedou k očekávaným výsledkům?</w:t>
            </w:r>
          </w:p>
        </w:tc>
        <w:tc>
          <w:tcPr>
            <w:tcW w:w="1701" w:type="dxa"/>
            <w:shd w:val="clear" w:color="000000" w:fill="EAF1DD"/>
            <w:vAlign w:val="center"/>
            <w:hideMark/>
          </w:tcPr>
          <w:p w:rsidR="00022E68" w:rsidRPr="00DA7980" w:rsidRDefault="007725D1" w:rsidP="005C0ADF">
            <w:pPr>
              <w:jc w:val="center"/>
              <w:rPr>
                <w:rFonts w:ascii="Times New Roman" w:eastAsia="Times New Roman" w:hAnsi="Times New Roman" w:cs="Times New Roman"/>
                <w:bCs/>
                <w:szCs w:val="20"/>
                <w:lang w:eastAsia="cs-CZ"/>
              </w:rPr>
            </w:pPr>
            <w:r w:rsidRPr="00DA7980">
              <w:rPr>
                <w:rFonts w:ascii="Times New Roman" w:eastAsia="Times New Roman" w:hAnsi="Times New Roman" w:cs="Times New Roman"/>
                <w:bCs/>
                <w:szCs w:val="20"/>
                <w:lang w:eastAsia="cs-CZ"/>
              </w:rPr>
              <w:t>S</w:t>
            </w:r>
            <w:r w:rsidR="00CC0CE7" w:rsidRPr="00DA7980">
              <w:rPr>
                <w:rFonts w:ascii="Times New Roman" w:eastAsia="Times New Roman" w:hAnsi="Times New Roman" w:cs="Times New Roman"/>
                <w:bCs/>
                <w:szCs w:val="20"/>
                <w:lang w:eastAsia="cs-CZ"/>
              </w:rPr>
              <w:t>A</w:t>
            </w:r>
          </w:p>
        </w:tc>
        <w:tc>
          <w:tcPr>
            <w:tcW w:w="3827" w:type="dxa"/>
            <w:shd w:val="clear" w:color="000000" w:fill="EAF1DD"/>
            <w:hideMark/>
          </w:tcPr>
          <w:p w:rsidR="004F650A" w:rsidRPr="00DA7980" w:rsidRDefault="00CA3925"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 xml:space="preserve">Mezi </w:t>
            </w:r>
            <w:r w:rsidR="009D7676">
              <w:rPr>
                <w:rFonts w:ascii="Times New Roman" w:eastAsia="Times New Roman" w:hAnsi="Times New Roman" w:cs="Times New Roman"/>
                <w:szCs w:val="20"/>
                <w:lang w:eastAsia="cs-CZ"/>
              </w:rPr>
              <w:t>ukazateli</w:t>
            </w:r>
            <w:r w:rsidRPr="00DA7980">
              <w:rPr>
                <w:rFonts w:ascii="Times New Roman" w:eastAsia="Times New Roman" w:hAnsi="Times New Roman" w:cs="Times New Roman"/>
                <w:szCs w:val="20"/>
                <w:lang w:eastAsia="cs-CZ"/>
              </w:rPr>
              <w:t xml:space="preserve"> výstupu </w:t>
            </w:r>
            <w:r w:rsidR="00A931E2" w:rsidRPr="00DA7980">
              <w:rPr>
                <w:rFonts w:ascii="Times New Roman" w:eastAsia="Times New Roman" w:hAnsi="Times New Roman" w:cs="Times New Roman"/>
                <w:szCs w:val="20"/>
                <w:lang w:eastAsia="cs-CZ"/>
              </w:rPr>
              <w:t xml:space="preserve">uvedenými v textu </w:t>
            </w:r>
            <w:r w:rsidR="007725D1" w:rsidRPr="00DA7980">
              <w:rPr>
                <w:rFonts w:ascii="Times New Roman" w:eastAsia="Times New Roman" w:hAnsi="Times New Roman" w:cs="Times New Roman"/>
                <w:szCs w:val="20"/>
                <w:lang w:eastAsia="cs-CZ"/>
              </w:rPr>
              <w:t xml:space="preserve">operačního </w:t>
            </w:r>
            <w:r w:rsidR="00A931E2" w:rsidRPr="00DA7980">
              <w:rPr>
                <w:rFonts w:ascii="Times New Roman" w:eastAsia="Times New Roman" w:hAnsi="Times New Roman" w:cs="Times New Roman"/>
                <w:szCs w:val="20"/>
                <w:lang w:eastAsia="cs-CZ"/>
              </w:rPr>
              <w:t xml:space="preserve">programu </w:t>
            </w:r>
            <w:r w:rsidRPr="00DA7980">
              <w:rPr>
                <w:rFonts w:ascii="Times New Roman" w:eastAsia="Times New Roman" w:hAnsi="Times New Roman" w:cs="Times New Roman"/>
                <w:szCs w:val="20"/>
                <w:lang w:eastAsia="cs-CZ"/>
              </w:rPr>
              <w:t>převládají společné</w:t>
            </w:r>
            <w:r w:rsidR="00602484" w:rsidRPr="00DA7980">
              <w:rPr>
                <w:rFonts w:ascii="Times New Roman" w:eastAsia="Times New Roman" w:hAnsi="Times New Roman" w:cs="Times New Roman"/>
                <w:szCs w:val="20"/>
                <w:lang w:eastAsia="cs-CZ"/>
              </w:rPr>
              <w:t xml:space="preserve"> (</w:t>
            </w:r>
            <w:proofErr w:type="spellStart"/>
            <w:r w:rsidR="00602484" w:rsidRPr="00DA7980">
              <w:rPr>
                <w:rFonts w:ascii="Times New Roman" w:eastAsia="Times New Roman" w:hAnsi="Times New Roman" w:cs="Times New Roman"/>
                <w:szCs w:val="20"/>
                <w:lang w:eastAsia="cs-CZ"/>
              </w:rPr>
              <w:t>common</w:t>
            </w:r>
            <w:proofErr w:type="spellEnd"/>
            <w:r w:rsidR="00602484" w:rsidRPr="00DA7980">
              <w:rPr>
                <w:rFonts w:ascii="Times New Roman" w:eastAsia="Times New Roman" w:hAnsi="Times New Roman" w:cs="Times New Roman"/>
                <w:szCs w:val="20"/>
                <w:lang w:eastAsia="cs-CZ"/>
              </w:rPr>
              <w:t xml:space="preserve">) </w:t>
            </w:r>
            <w:r w:rsidR="00050916">
              <w:rPr>
                <w:rFonts w:ascii="Times New Roman" w:eastAsia="Times New Roman" w:hAnsi="Times New Roman" w:cs="Times New Roman"/>
                <w:szCs w:val="20"/>
                <w:lang w:eastAsia="cs-CZ"/>
              </w:rPr>
              <w:t>ukazatele</w:t>
            </w:r>
            <w:r w:rsidRPr="00DA7980">
              <w:rPr>
                <w:rFonts w:ascii="Times New Roman" w:eastAsia="Times New Roman" w:hAnsi="Times New Roman" w:cs="Times New Roman"/>
                <w:szCs w:val="20"/>
                <w:lang w:eastAsia="cs-CZ"/>
              </w:rPr>
              <w:t>.</w:t>
            </w:r>
            <w:r w:rsidR="003B4D93" w:rsidRPr="00DA7980">
              <w:rPr>
                <w:rFonts w:ascii="Times New Roman" w:eastAsia="Times New Roman" w:hAnsi="Times New Roman" w:cs="Times New Roman"/>
                <w:szCs w:val="20"/>
                <w:lang w:eastAsia="cs-CZ"/>
              </w:rPr>
              <w:t xml:space="preserve"> </w:t>
            </w:r>
            <w:r w:rsidR="00C0280C" w:rsidRPr="00DA7980">
              <w:rPr>
                <w:rFonts w:ascii="Times New Roman" w:eastAsia="Times New Roman" w:hAnsi="Times New Roman" w:cs="Times New Roman"/>
                <w:szCs w:val="20"/>
                <w:lang w:eastAsia="cs-CZ"/>
              </w:rPr>
              <w:t>Nejedná s</w:t>
            </w:r>
            <w:r w:rsidR="00A915AC" w:rsidRPr="00DA7980">
              <w:rPr>
                <w:rFonts w:ascii="Times New Roman" w:eastAsia="Times New Roman" w:hAnsi="Times New Roman" w:cs="Times New Roman"/>
                <w:szCs w:val="20"/>
                <w:lang w:eastAsia="cs-CZ"/>
              </w:rPr>
              <w:t xml:space="preserve">e však o úplný výčet všech </w:t>
            </w:r>
            <w:r w:rsidR="009D7676">
              <w:rPr>
                <w:rFonts w:ascii="Times New Roman" w:eastAsia="Times New Roman" w:hAnsi="Times New Roman" w:cs="Times New Roman"/>
                <w:szCs w:val="20"/>
                <w:lang w:eastAsia="cs-CZ"/>
              </w:rPr>
              <w:t>ukazatelů</w:t>
            </w:r>
            <w:r w:rsidR="00A915AC" w:rsidRPr="00DA7980">
              <w:rPr>
                <w:rFonts w:ascii="Times New Roman" w:eastAsia="Times New Roman" w:hAnsi="Times New Roman" w:cs="Times New Roman"/>
                <w:szCs w:val="20"/>
                <w:lang w:eastAsia="cs-CZ"/>
              </w:rPr>
              <w:t xml:space="preserve"> výstupu OP PIK – </w:t>
            </w:r>
            <w:r w:rsidR="00A931E2" w:rsidRPr="00DA7980">
              <w:rPr>
                <w:rFonts w:ascii="Times New Roman" w:eastAsia="Times New Roman" w:hAnsi="Times New Roman" w:cs="Times New Roman"/>
                <w:szCs w:val="20"/>
                <w:lang w:eastAsia="cs-CZ"/>
              </w:rPr>
              <w:t>zpracovatel</w:t>
            </w:r>
            <w:r w:rsidR="00A915AC" w:rsidRPr="00DA7980">
              <w:rPr>
                <w:rFonts w:ascii="Times New Roman" w:eastAsia="Times New Roman" w:hAnsi="Times New Roman" w:cs="Times New Roman"/>
                <w:szCs w:val="20"/>
                <w:lang w:eastAsia="cs-CZ"/>
              </w:rPr>
              <w:t xml:space="preserve"> </w:t>
            </w:r>
            <w:r w:rsidR="00795052" w:rsidRPr="00DA7980">
              <w:rPr>
                <w:rFonts w:ascii="Times New Roman" w:eastAsia="Times New Roman" w:hAnsi="Times New Roman" w:cs="Times New Roman"/>
                <w:szCs w:val="20"/>
                <w:lang w:eastAsia="cs-CZ"/>
              </w:rPr>
              <w:t>stanov</w:t>
            </w:r>
            <w:r w:rsidR="00A915AC" w:rsidRPr="00DA7980">
              <w:rPr>
                <w:rFonts w:ascii="Times New Roman" w:eastAsia="Times New Roman" w:hAnsi="Times New Roman" w:cs="Times New Roman"/>
                <w:szCs w:val="20"/>
                <w:lang w:eastAsia="cs-CZ"/>
              </w:rPr>
              <w:t>il</w:t>
            </w:r>
            <w:r w:rsidR="00795052" w:rsidRPr="00DA7980">
              <w:rPr>
                <w:rFonts w:ascii="Times New Roman" w:eastAsia="Times New Roman" w:hAnsi="Times New Roman" w:cs="Times New Roman"/>
                <w:szCs w:val="20"/>
                <w:lang w:eastAsia="cs-CZ"/>
              </w:rPr>
              <w:t xml:space="preserve"> další</w:t>
            </w:r>
            <w:r w:rsidR="00A931E2" w:rsidRPr="00DA7980">
              <w:rPr>
                <w:rFonts w:ascii="Times New Roman" w:eastAsia="Times New Roman" w:hAnsi="Times New Roman" w:cs="Times New Roman"/>
                <w:szCs w:val="20"/>
                <w:lang w:eastAsia="cs-CZ"/>
              </w:rPr>
              <w:t xml:space="preserve"> </w:t>
            </w:r>
            <w:r w:rsidR="009D7676">
              <w:rPr>
                <w:rFonts w:ascii="Times New Roman" w:eastAsia="Times New Roman" w:hAnsi="Times New Roman" w:cs="Times New Roman"/>
                <w:szCs w:val="20"/>
                <w:lang w:eastAsia="cs-CZ"/>
              </w:rPr>
              <w:t>ukazatele</w:t>
            </w:r>
            <w:r w:rsidR="00A931E2" w:rsidRPr="00DA7980">
              <w:rPr>
                <w:rFonts w:ascii="Times New Roman" w:eastAsia="Times New Roman" w:hAnsi="Times New Roman" w:cs="Times New Roman"/>
                <w:szCs w:val="20"/>
                <w:lang w:eastAsia="cs-CZ"/>
              </w:rPr>
              <w:t xml:space="preserve"> výstupu jako </w:t>
            </w:r>
            <w:r w:rsidR="00795052" w:rsidRPr="00DA7980">
              <w:rPr>
                <w:rFonts w:ascii="Times New Roman" w:eastAsia="Times New Roman" w:hAnsi="Times New Roman" w:cs="Times New Roman"/>
                <w:szCs w:val="20"/>
                <w:lang w:eastAsia="cs-CZ"/>
              </w:rPr>
              <w:t xml:space="preserve">tzv. interní, které </w:t>
            </w:r>
            <w:r w:rsidR="00A915AC" w:rsidRPr="00DA7980">
              <w:rPr>
                <w:rFonts w:ascii="Times New Roman" w:eastAsia="Times New Roman" w:hAnsi="Times New Roman" w:cs="Times New Roman"/>
                <w:szCs w:val="20"/>
                <w:lang w:eastAsia="cs-CZ"/>
              </w:rPr>
              <w:t xml:space="preserve">sice </w:t>
            </w:r>
            <w:r w:rsidR="00795052" w:rsidRPr="00DA7980">
              <w:rPr>
                <w:rFonts w:ascii="Times New Roman" w:eastAsia="Times New Roman" w:hAnsi="Times New Roman" w:cs="Times New Roman"/>
                <w:szCs w:val="20"/>
                <w:lang w:eastAsia="cs-CZ"/>
              </w:rPr>
              <w:t xml:space="preserve">nejsou </w:t>
            </w:r>
            <w:r w:rsidR="00A915AC" w:rsidRPr="00DA7980">
              <w:rPr>
                <w:rFonts w:ascii="Times New Roman" w:eastAsia="Times New Roman" w:hAnsi="Times New Roman" w:cs="Times New Roman"/>
                <w:szCs w:val="20"/>
                <w:lang w:eastAsia="cs-CZ"/>
              </w:rPr>
              <w:t>obsaženy v</w:t>
            </w:r>
            <w:r w:rsidR="00795052" w:rsidRPr="00DA7980">
              <w:rPr>
                <w:rFonts w:ascii="Times New Roman" w:eastAsia="Times New Roman" w:hAnsi="Times New Roman" w:cs="Times New Roman"/>
                <w:szCs w:val="20"/>
                <w:lang w:eastAsia="cs-CZ"/>
              </w:rPr>
              <w:t xml:space="preserve"> programové</w:t>
            </w:r>
            <w:r w:rsidR="00A915AC" w:rsidRPr="00DA7980">
              <w:rPr>
                <w:rFonts w:ascii="Times New Roman" w:eastAsia="Times New Roman" w:hAnsi="Times New Roman" w:cs="Times New Roman"/>
                <w:szCs w:val="20"/>
                <w:lang w:eastAsia="cs-CZ"/>
              </w:rPr>
              <w:t>m</w:t>
            </w:r>
            <w:r w:rsidR="00795052" w:rsidRPr="00DA7980">
              <w:rPr>
                <w:rFonts w:ascii="Times New Roman" w:eastAsia="Times New Roman" w:hAnsi="Times New Roman" w:cs="Times New Roman"/>
                <w:szCs w:val="20"/>
                <w:lang w:eastAsia="cs-CZ"/>
              </w:rPr>
              <w:t xml:space="preserve"> dokumentu</w:t>
            </w:r>
            <w:r w:rsidR="00A915AC" w:rsidRPr="00DA7980">
              <w:rPr>
                <w:rFonts w:ascii="Times New Roman" w:eastAsia="Times New Roman" w:hAnsi="Times New Roman" w:cs="Times New Roman"/>
                <w:szCs w:val="20"/>
                <w:lang w:eastAsia="cs-CZ"/>
              </w:rPr>
              <w:t xml:space="preserve">, </w:t>
            </w:r>
            <w:r w:rsidR="00795052" w:rsidRPr="00DA7980">
              <w:rPr>
                <w:rFonts w:ascii="Times New Roman" w:eastAsia="Times New Roman" w:hAnsi="Times New Roman" w:cs="Times New Roman"/>
                <w:szCs w:val="20"/>
                <w:lang w:eastAsia="cs-CZ"/>
              </w:rPr>
              <w:t xml:space="preserve">ale jsou </w:t>
            </w:r>
            <w:r w:rsidR="00A915AC" w:rsidRPr="00DA7980">
              <w:rPr>
                <w:rFonts w:ascii="Times New Roman" w:eastAsia="Times New Roman" w:hAnsi="Times New Roman" w:cs="Times New Roman"/>
                <w:szCs w:val="20"/>
                <w:lang w:eastAsia="cs-CZ"/>
              </w:rPr>
              <w:t>k dispozici řídícímu orgánu pro</w:t>
            </w:r>
            <w:r w:rsidR="00A931E2" w:rsidRPr="00DA7980">
              <w:rPr>
                <w:rFonts w:ascii="Times New Roman" w:eastAsia="Times New Roman" w:hAnsi="Times New Roman" w:cs="Times New Roman"/>
                <w:szCs w:val="20"/>
                <w:lang w:eastAsia="cs-CZ"/>
              </w:rPr>
              <w:t xml:space="preserve"> </w:t>
            </w:r>
            <w:r w:rsidR="00795052" w:rsidRPr="00DA7980">
              <w:rPr>
                <w:rFonts w:ascii="Times New Roman" w:eastAsia="Times New Roman" w:hAnsi="Times New Roman" w:cs="Times New Roman"/>
                <w:szCs w:val="20"/>
                <w:lang w:eastAsia="cs-CZ"/>
              </w:rPr>
              <w:t>potřeb</w:t>
            </w:r>
            <w:r w:rsidR="00A915AC" w:rsidRPr="00DA7980">
              <w:rPr>
                <w:rFonts w:ascii="Times New Roman" w:eastAsia="Times New Roman" w:hAnsi="Times New Roman" w:cs="Times New Roman"/>
                <w:szCs w:val="20"/>
                <w:lang w:eastAsia="cs-CZ"/>
              </w:rPr>
              <w:t>y monitorování</w:t>
            </w:r>
            <w:r w:rsidR="00180B9E">
              <w:rPr>
                <w:rFonts w:ascii="Times New Roman" w:eastAsia="Times New Roman" w:hAnsi="Times New Roman" w:cs="Times New Roman"/>
                <w:szCs w:val="20"/>
                <w:lang w:eastAsia="cs-CZ"/>
              </w:rPr>
              <w:t xml:space="preserve"> a hodnocení</w:t>
            </w:r>
            <w:r w:rsidR="00795052" w:rsidRPr="00DA7980">
              <w:rPr>
                <w:rFonts w:ascii="Times New Roman" w:eastAsia="Times New Roman" w:hAnsi="Times New Roman" w:cs="Times New Roman"/>
                <w:szCs w:val="20"/>
                <w:lang w:eastAsia="cs-CZ"/>
              </w:rPr>
              <w:t xml:space="preserve"> programu</w:t>
            </w:r>
            <w:r w:rsidR="00466F18" w:rsidRPr="00DA7980">
              <w:rPr>
                <w:rFonts w:ascii="Times New Roman" w:eastAsia="Times New Roman" w:hAnsi="Times New Roman" w:cs="Times New Roman"/>
                <w:szCs w:val="20"/>
                <w:lang w:eastAsia="cs-CZ"/>
              </w:rPr>
              <w:t xml:space="preserve"> a </w:t>
            </w:r>
            <w:r w:rsidR="00A915AC" w:rsidRPr="00DA7980">
              <w:rPr>
                <w:rFonts w:ascii="Times New Roman" w:eastAsia="Times New Roman" w:hAnsi="Times New Roman" w:cs="Times New Roman"/>
                <w:szCs w:val="20"/>
                <w:lang w:eastAsia="cs-CZ"/>
              </w:rPr>
              <w:t>tvoří integrální</w:t>
            </w:r>
            <w:r w:rsidR="00466F18" w:rsidRPr="00DA7980">
              <w:rPr>
                <w:rFonts w:ascii="Times New Roman" w:eastAsia="Times New Roman" w:hAnsi="Times New Roman" w:cs="Times New Roman"/>
                <w:szCs w:val="20"/>
                <w:lang w:eastAsia="cs-CZ"/>
              </w:rPr>
              <w:t xml:space="preserve"> součást </w:t>
            </w:r>
            <w:r w:rsidR="00A915AC" w:rsidRPr="00DA7980">
              <w:rPr>
                <w:rFonts w:ascii="Times New Roman" w:eastAsia="Times New Roman" w:hAnsi="Times New Roman" w:cs="Times New Roman"/>
                <w:szCs w:val="20"/>
                <w:lang w:eastAsia="cs-CZ"/>
              </w:rPr>
              <w:t xml:space="preserve">celé </w:t>
            </w:r>
            <w:r w:rsidR="00466F18" w:rsidRPr="00DA7980">
              <w:rPr>
                <w:rFonts w:ascii="Times New Roman" w:eastAsia="Times New Roman" w:hAnsi="Times New Roman" w:cs="Times New Roman"/>
                <w:szCs w:val="20"/>
                <w:lang w:eastAsia="cs-CZ"/>
              </w:rPr>
              <w:t>indikátorové soustavy programu</w:t>
            </w:r>
            <w:r w:rsidR="00A915AC" w:rsidRPr="00DA7980">
              <w:rPr>
                <w:rFonts w:ascii="Times New Roman" w:eastAsia="Times New Roman" w:hAnsi="Times New Roman" w:cs="Times New Roman"/>
                <w:szCs w:val="20"/>
                <w:lang w:eastAsia="cs-CZ"/>
              </w:rPr>
              <w:t xml:space="preserve"> s možností agregace z úrovně projektů</w:t>
            </w:r>
            <w:r w:rsidR="00466F18" w:rsidRPr="00DA7980">
              <w:rPr>
                <w:rFonts w:ascii="Times New Roman" w:eastAsia="Times New Roman" w:hAnsi="Times New Roman" w:cs="Times New Roman"/>
                <w:szCs w:val="20"/>
                <w:lang w:eastAsia="cs-CZ"/>
              </w:rPr>
              <w:t>.</w:t>
            </w:r>
            <w:r w:rsidR="00663105" w:rsidRPr="00DA7980">
              <w:rPr>
                <w:rFonts w:ascii="Times New Roman" w:eastAsia="Times New Roman" w:hAnsi="Times New Roman" w:cs="Times New Roman"/>
                <w:szCs w:val="20"/>
                <w:lang w:eastAsia="cs-CZ"/>
              </w:rPr>
              <w:t xml:space="preserve"> </w:t>
            </w:r>
          </w:p>
          <w:p w:rsidR="004F650A" w:rsidRPr="00DA7980" w:rsidRDefault="004F650A" w:rsidP="005C0ADF">
            <w:pPr>
              <w:rPr>
                <w:rFonts w:ascii="Times New Roman" w:eastAsia="Times New Roman" w:hAnsi="Times New Roman" w:cs="Times New Roman"/>
                <w:szCs w:val="20"/>
                <w:lang w:eastAsia="cs-CZ"/>
              </w:rPr>
            </w:pPr>
          </w:p>
          <w:p w:rsidR="00022E68" w:rsidRPr="00DA7980" w:rsidRDefault="00D5038F" w:rsidP="009D7676">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 xml:space="preserve">Pozitivně lze </w:t>
            </w:r>
            <w:r w:rsidR="00180B9E">
              <w:rPr>
                <w:rFonts w:ascii="Times New Roman" w:eastAsia="Times New Roman" w:hAnsi="Times New Roman" w:cs="Times New Roman"/>
                <w:szCs w:val="20"/>
                <w:lang w:eastAsia="cs-CZ"/>
              </w:rPr>
              <w:t>vnímat</w:t>
            </w:r>
            <w:r w:rsidR="009513B9">
              <w:rPr>
                <w:rFonts w:ascii="Times New Roman" w:eastAsia="Times New Roman" w:hAnsi="Times New Roman" w:cs="Times New Roman"/>
                <w:szCs w:val="20"/>
                <w:lang w:eastAsia="cs-CZ"/>
              </w:rPr>
              <w:t xml:space="preserve"> i návrh </w:t>
            </w:r>
            <w:r w:rsidRPr="00DA7980">
              <w:rPr>
                <w:rFonts w:ascii="Times New Roman" w:eastAsia="Times New Roman" w:hAnsi="Times New Roman" w:cs="Times New Roman"/>
                <w:szCs w:val="20"/>
                <w:lang w:eastAsia="cs-CZ"/>
              </w:rPr>
              <w:t>zpracovatele</w:t>
            </w:r>
            <w:r w:rsidR="009513B9">
              <w:rPr>
                <w:rFonts w:ascii="Times New Roman" w:eastAsia="Times New Roman" w:hAnsi="Times New Roman" w:cs="Times New Roman"/>
                <w:szCs w:val="20"/>
                <w:lang w:eastAsia="cs-CZ"/>
              </w:rPr>
              <w:t xml:space="preserve"> </w:t>
            </w:r>
            <w:r w:rsidR="009D7676">
              <w:rPr>
                <w:rFonts w:ascii="Times New Roman" w:eastAsia="Times New Roman" w:hAnsi="Times New Roman" w:cs="Times New Roman"/>
                <w:szCs w:val="20"/>
                <w:lang w:eastAsia="cs-CZ"/>
              </w:rPr>
              <w:t xml:space="preserve">OP </w:t>
            </w:r>
            <w:r w:rsidR="009D7676">
              <w:rPr>
                <w:rFonts w:ascii="Times New Roman" w:eastAsia="Times New Roman" w:hAnsi="Times New Roman" w:cs="Times New Roman"/>
                <w:szCs w:val="20"/>
                <w:lang w:eastAsia="cs-CZ"/>
              </w:rPr>
              <w:lastRenderedPageBreak/>
              <w:t xml:space="preserve">PIK </w:t>
            </w:r>
            <w:r w:rsidR="009513B9">
              <w:rPr>
                <w:rFonts w:ascii="Times New Roman" w:eastAsia="Times New Roman" w:hAnsi="Times New Roman" w:cs="Times New Roman"/>
                <w:szCs w:val="20"/>
                <w:lang w:eastAsia="cs-CZ"/>
              </w:rPr>
              <w:t xml:space="preserve">směrem k novému jednotnému monitorovacímu systému, </w:t>
            </w:r>
            <w:r w:rsidR="009D7676">
              <w:rPr>
                <w:rFonts w:ascii="Times New Roman" w:eastAsia="Times New Roman" w:hAnsi="Times New Roman" w:cs="Times New Roman"/>
                <w:szCs w:val="20"/>
                <w:lang w:eastAsia="cs-CZ"/>
              </w:rPr>
              <w:t xml:space="preserve">a sice </w:t>
            </w:r>
            <w:r w:rsidRPr="00DA7980">
              <w:rPr>
                <w:rFonts w:ascii="Times New Roman" w:eastAsia="Times New Roman" w:hAnsi="Times New Roman" w:cs="Times New Roman"/>
                <w:szCs w:val="20"/>
                <w:lang w:eastAsia="cs-CZ"/>
              </w:rPr>
              <w:t>doplnit</w:t>
            </w:r>
            <w:r w:rsidR="009513B9">
              <w:rPr>
                <w:rFonts w:ascii="Times New Roman" w:eastAsia="Times New Roman" w:hAnsi="Times New Roman" w:cs="Times New Roman"/>
                <w:szCs w:val="20"/>
                <w:lang w:eastAsia="cs-CZ"/>
              </w:rPr>
              <w:t xml:space="preserve"> příslušné moduly</w:t>
            </w:r>
            <w:r w:rsidR="009D7676">
              <w:rPr>
                <w:rFonts w:ascii="Times New Roman" w:eastAsia="Times New Roman" w:hAnsi="Times New Roman" w:cs="Times New Roman"/>
                <w:szCs w:val="20"/>
                <w:lang w:eastAsia="cs-CZ"/>
              </w:rPr>
              <w:t xml:space="preserve"> v MS2014+</w:t>
            </w:r>
            <w:r w:rsidR="009513B9">
              <w:rPr>
                <w:rFonts w:ascii="Times New Roman" w:eastAsia="Times New Roman" w:hAnsi="Times New Roman" w:cs="Times New Roman"/>
                <w:szCs w:val="20"/>
                <w:lang w:eastAsia="cs-CZ"/>
              </w:rPr>
              <w:t xml:space="preserve"> o funkcionalitu t</w:t>
            </w:r>
            <w:r w:rsidRPr="00DA7980">
              <w:rPr>
                <w:rFonts w:ascii="Times New Roman" w:eastAsia="Times New Roman" w:hAnsi="Times New Roman" w:cs="Times New Roman"/>
                <w:szCs w:val="20"/>
                <w:lang w:eastAsia="cs-CZ"/>
              </w:rPr>
              <w:t>zv. „</w:t>
            </w:r>
            <w:r w:rsidR="00DF22E7" w:rsidRPr="00DA7980">
              <w:rPr>
                <w:rFonts w:ascii="Times New Roman" w:eastAsia="Times New Roman" w:hAnsi="Times New Roman" w:cs="Times New Roman"/>
                <w:szCs w:val="20"/>
                <w:lang w:eastAsia="cs-CZ"/>
              </w:rPr>
              <w:t>kódování</w:t>
            </w:r>
            <w:r w:rsidRPr="00DA7980">
              <w:rPr>
                <w:rFonts w:ascii="Times New Roman" w:eastAsia="Times New Roman" w:hAnsi="Times New Roman" w:cs="Times New Roman"/>
                <w:szCs w:val="20"/>
                <w:lang w:eastAsia="cs-CZ"/>
              </w:rPr>
              <w:t>“ aktivit</w:t>
            </w:r>
            <w:r w:rsidR="009513B9">
              <w:rPr>
                <w:rFonts w:ascii="Times New Roman" w:eastAsia="Times New Roman" w:hAnsi="Times New Roman" w:cs="Times New Roman"/>
                <w:szCs w:val="20"/>
                <w:lang w:eastAsia="cs-CZ"/>
              </w:rPr>
              <w:t xml:space="preserve">. To v praxi </w:t>
            </w:r>
            <w:r w:rsidRPr="00DA7980">
              <w:rPr>
                <w:rFonts w:ascii="Times New Roman" w:eastAsia="Times New Roman" w:hAnsi="Times New Roman" w:cs="Times New Roman"/>
                <w:szCs w:val="20"/>
                <w:lang w:eastAsia="cs-CZ"/>
              </w:rPr>
              <w:t xml:space="preserve">umožní vhodným způsobem </w:t>
            </w:r>
            <w:r w:rsidR="009513B9">
              <w:rPr>
                <w:rFonts w:ascii="Times New Roman" w:eastAsia="Times New Roman" w:hAnsi="Times New Roman" w:cs="Times New Roman"/>
                <w:szCs w:val="20"/>
                <w:lang w:eastAsia="cs-CZ"/>
              </w:rPr>
              <w:t>monitorovat</w:t>
            </w:r>
            <w:r w:rsidRPr="00DA7980">
              <w:rPr>
                <w:rFonts w:ascii="Times New Roman" w:eastAsia="Times New Roman" w:hAnsi="Times New Roman" w:cs="Times New Roman"/>
                <w:szCs w:val="20"/>
                <w:lang w:eastAsia="cs-CZ"/>
              </w:rPr>
              <w:t xml:space="preserve"> realizaci</w:t>
            </w:r>
            <w:r w:rsidR="00474771" w:rsidRPr="00DA7980">
              <w:rPr>
                <w:rFonts w:ascii="Times New Roman" w:eastAsia="Times New Roman" w:hAnsi="Times New Roman" w:cs="Times New Roman"/>
                <w:szCs w:val="20"/>
                <w:lang w:eastAsia="cs-CZ"/>
              </w:rPr>
              <w:t xml:space="preserve"> programu až do úrovně </w:t>
            </w:r>
            <w:r w:rsidRPr="00DA7980">
              <w:rPr>
                <w:rFonts w:ascii="Times New Roman" w:eastAsia="Times New Roman" w:hAnsi="Times New Roman" w:cs="Times New Roman"/>
                <w:szCs w:val="20"/>
                <w:lang w:eastAsia="cs-CZ"/>
              </w:rPr>
              <w:t>hlavních podporovaných aktivit</w:t>
            </w:r>
            <w:r w:rsidR="009513B9">
              <w:rPr>
                <w:rFonts w:ascii="Times New Roman" w:eastAsia="Times New Roman" w:hAnsi="Times New Roman" w:cs="Times New Roman"/>
                <w:szCs w:val="20"/>
                <w:lang w:eastAsia="cs-CZ"/>
              </w:rPr>
              <w:t>,</w:t>
            </w:r>
            <w:r w:rsidR="009513B9" w:rsidRPr="00DA7980">
              <w:rPr>
                <w:rFonts w:ascii="Times New Roman" w:eastAsia="Times New Roman" w:hAnsi="Times New Roman" w:cs="Times New Roman"/>
                <w:szCs w:val="20"/>
                <w:lang w:eastAsia="cs-CZ"/>
              </w:rPr>
              <w:t xml:space="preserve"> bez nutnosti rozšiřovat indikátorovou soustavu o další </w:t>
            </w:r>
            <w:r w:rsidR="009513B9">
              <w:rPr>
                <w:rFonts w:ascii="Times New Roman" w:eastAsia="Times New Roman" w:hAnsi="Times New Roman" w:cs="Times New Roman"/>
                <w:szCs w:val="20"/>
                <w:lang w:eastAsia="cs-CZ"/>
              </w:rPr>
              <w:t>ukazatele</w:t>
            </w:r>
            <w:r w:rsidRPr="00DA7980">
              <w:rPr>
                <w:rFonts w:ascii="Times New Roman" w:eastAsia="Times New Roman" w:hAnsi="Times New Roman" w:cs="Times New Roman"/>
                <w:szCs w:val="20"/>
                <w:lang w:eastAsia="cs-CZ"/>
              </w:rPr>
              <w:t xml:space="preserve">. </w:t>
            </w:r>
          </w:p>
        </w:tc>
      </w:tr>
      <w:tr w:rsidR="00022E68" w:rsidRPr="00DA7980" w:rsidTr="00627207">
        <w:trPr>
          <w:trHeight w:val="1080"/>
        </w:trPr>
        <w:tc>
          <w:tcPr>
            <w:tcW w:w="880" w:type="dxa"/>
            <w:shd w:val="clear" w:color="000000" w:fill="EAF1DD"/>
            <w:hideMark/>
          </w:tcPr>
          <w:p w:rsidR="00022E68" w:rsidRPr="00DA7980" w:rsidRDefault="00022E68"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lastRenderedPageBreak/>
              <w:t>02.2</w:t>
            </w:r>
          </w:p>
        </w:tc>
        <w:tc>
          <w:tcPr>
            <w:tcW w:w="2821" w:type="dxa"/>
            <w:shd w:val="clear" w:color="000000" w:fill="EAF1DD"/>
            <w:hideMark/>
          </w:tcPr>
          <w:p w:rsidR="00022E68" w:rsidRPr="00DA7980" w:rsidRDefault="00022E68" w:rsidP="00B71183">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 xml:space="preserve">Jsou v programu pro jednotlivé prioritní osy a jejich investiční priority </w:t>
            </w:r>
            <w:r w:rsidR="00CC0CE7" w:rsidRPr="00DA7980">
              <w:rPr>
                <w:rFonts w:ascii="Times New Roman" w:eastAsia="Times New Roman" w:hAnsi="Times New Roman" w:cs="Times New Roman"/>
                <w:szCs w:val="20"/>
                <w:lang w:eastAsia="cs-CZ"/>
              </w:rPr>
              <w:t xml:space="preserve">a specifické cíle </w:t>
            </w:r>
            <w:r w:rsidRPr="00DA7980">
              <w:rPr>
                <w:rFonts w:ascii="Times New Roman" w:eastAsia="Times New Roman" w:hAnsi="Times New Roman" w:cs="Times New Roman"/>
                <w:szCs w:val="20"/>
                <w:lang w:eastAsia="cs-CZ"/>
              </w:rPr>
              <w:t xml:space="preserve">navrženy relevantní </w:t>
            </w:r>
            <w:r w:rsidR="00050916">
              <w:rPr>
                <w:rFonts w:ascii="Times New Roman" w:eastAsia="Times New Roman" w:hAnsi="Times New Roman" w:cs="Times New Roman"/>
                <w:szCs w:val="20"/>
                <w:lang w:eastAsia="cs-CZ"/>
              </w:rPr>
              <w:t>ukazatele</w:t>
            </w:r>
            <w:r w:rsidRPr="00DA7980">
              <w:rPr>
                <w:rFonts w:ascii="Times New Roman" w:eastAsia="Times New Roman" w:hAnsi="Times New Roman" w:cs="Times New Roman"/>
                <w:szCs w:val="20"/>
                <w:lang w:eastAsia="cs-CZ"/>
              </w:rPr>
              <w:t xml:space="preserve"> výsledku, které </w:t>
            </w:r>
            <w:r w:rsidR="006D39E4" w:rsidRPr="00DA7980">
              <w:rPr>
                <w:rFonts w:ascii="Times New Roman" w:eastAsia="Times New Roman" w:hAnsi="Times New Roman" w:cs="Times New Roman"/>
                <w:szCs w:val="20"/>
                <w:lang w:eastAsia="cs-CZ"/>
              </w:rPr>
              <w:t>umožňují získat</w:t>
            </w:r>
            <w:r w:rsidRPr="00DA7980">
              <w:rPr>
                <w:rFonts w:ascii="Times New Roman" w:eastAsia="Times New Roman" w:hAnsi="Times New Roman" w:cs="Times New Roman"/>
                <w:szCs w:val="20"/>
                <w:lang w:eastAsia="cs-CZ"/>
              </w:rPr>
              <w:t xml:space="preserve"> důkazy o očekávané změně/plnění cíle v dané prioritě?</w:t>
            </w:r>
          </w:p>
        </w:tc>
        <w:tc>
          <w:tcPr>
            <w:tcW w:w="1701" w:type="dxa"/>
            <w:shd w:val="clear" w:color="000000" w:fill="EAF1DD"/>
            <w:vAlign w:val="center"/>
            <w:hideMark/>
          </w:tcPr>
          <w:p w:rsidR="00022E68" w:rsidRPr="00DA7980" w:rsidRDefault="009B27D9" w:rsidP="005C0ADF">
            <w:pPr>
              <w:jc w:val="center"/>
              <w:rPr>
                <w:rFonts w:ascii="Times New Roman" w:eastAsia="Times New Roman" w:hAnsi="Times New Roman" w:cs="Times New Roman"/>
                <w:bCs/>
                <w:szCs w:val="20"/>
                <w:lang w:eastAsia="cs-CZ"/>
              </w:rPr>
            </w:pPr>
            <w:r>
              <w:rPr>
                <w:rFonts w:ascii="Times New Roman" w:eastAsia="Times New Roman" w:hAnsi="Times New Roman" w:cs="Times New Roman"/>
                <w:bCs/>
                <w:szCs w:val="20"/>
                <w:lang w:eastAsia="cs-CZ"/>
              </w:rPr>
              <w:t>S</w:t>
            </w:r>
            <w:r w:rsidR="009513B9">
              <w:rPr>
                <w:rFonts w:ascii="Times New Roman" w:eastAsia="Times New Roman" w:hAnsi="Times New Roman" w:cs="Times New Roman"/>
                <w:bCs/>
                <w:szCs w:val="20"/>
                <w:lang w:eastAsia="cs-CZ"/>
              </w:rPr>
              <w:t>A</w:t>
            </w:r>
          </w:p>
        </w:tc>
        <w:tc>
          <w:tcPr>
            <w:tcW w:w="3827" w:type="dxa"/>
            <w:shd w:val="clear" w:color="000000" w:fill="EAF1DD"/>
            <w:hideMark/>
          </w:tcPr>
          <w:p w:rsidR="009513B9" w:rsidRDefault="009513B9" w:rsidP="009513B9">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V návazno</w:t>
            </w:r>
            <w:r w:rsidR="00625DFA" w:rsidRPr="00DA7980">
              <w:rPr>
                <w:rFonts w:ascii="Times New Roman" w:eastAsia="Times New Roman" w:hAnsi="Times New Roman" w:cs="Times New Roman"/>
                <w:szCs w:val="20"/>
                <w:lang w:eastAsia="cs-CZ"/>
              </w:rPr>
              <w:t xml:space="preserve">sti na </w:t>
            </w:r>
            <w:r>
              <w:rPr>
                <w:rFonts w:ascii="Times New Roman" w:eastAsia="Times New Roman" w:hAnsi="Times New Roman" w:cs="Times New Roman"/>
                <w:szCs w:val="20"/>
                <w:lang w:eastAsia="cs-CZ"/>
              </w:rPr>
              <w:t xml:space="preserve">připomínky </w:t>
            </w:r>
            <w:r w:rsidR="00625DFA" w:rsidRPr="00DA7980">
              <w:rPr>
                <w:rFonts w:ascii="Times New Roman" w:eastAsia="Times New Roman" w:hAnsi="Times New Roman" w:cs="Times New Roman"/>
                <w:szCs w:val="20"/>
                <w:lang w:eastAsia="cs-CZ"/>
              </w:rPr>
              <w:t>EK</w:t>
            </w:r>
            <w:r>
              <w:rPr>
                <w:rFonts w:ascii="Times New Roman" w:eastAsia="Times New Roman" w:hAnsi="Times New Roman" w:cs="Times New Roman"/>
                <w:szCs w:val="20"/>
                <w:lang w:eastAsia="cs-CZ"/>
              </w:rPr>
              <w:t xml:space="preserve"> i </w:t>
            </w:r>
            <w:r w:rsidR="007146E9">
              <w:rPr>
                <w:rFonts w:ascii="Times New Roman" w:eastAsia="Times New Roman" w:hAnsi="Times New Roman" w:cs="Times New Roman"/>
                <w:szCs w:val="20"/>
                <w:lang w:eastAsia="cs-CZ"/>
              </w:rPr>
              <w:t>dřívější</w:t>
            </w:r>
            <w:r>
              <w:rPr>
                <w:rFonts w:ascii="Times New Roman" w:eastAsia="Times New Roman" w:hAnsi="Times New Roman" w:cs="Times New Roman"/>
                <w:szCs w:val="20"/>
                <w:lang w:eastAsia="cs-CZ"/>
              </w:rPr>
              <w:t xml:space="preserve"> doporučení ex-ante hodnotitel</w:t>
            </w:r>
            <w:r w:rsidR="007146E9">
              <w:rPr>
                <w:rFonts w:ascii="Times New Roman" w:eastAsia="Times New Roman" w:hAnsi="Times New Roman" w:cs="Times New Roman"/>
                <w:szCs w:val="20"/>
                <w:lang w:eastAsia="cs-CZ"/>
              </w:rPr>
              <w:t>e</w:t>
            </w:r>
            <w:r>
              <w:rPr>
                <w:rFonts w:ascii="Times New Roman" w:eastAsia="Times New Roman" w:hAnsi="Times New Roman" w:cs="Times New Roman"/>
                <w:szCs w:val="20"/>
                <w:lang w:eastAsia="cs-CZ"/>
              </w:rPr>
              <w:t xml:space="preserve"> přistoupil zpracovatel k zásadní revizi indikátorové soustavy na úrovni výsledků specifických cílů</w:t>
            </w:r>
            <w:r w:rsidR="007146E9">
              <w:rPr>
                <w:rFonts w:ascii="Times New Roman" w:eastAsia="Times New Roman" w:hAnsi="Times New Roman" w:cs="Times New Roman"/>
                <w:szCs w:val="20"/>
                <w:lang w:eastAsia="cs-CZ"/>
              </w:rPr>
              <w:t xml:space="preserve"> OP PIK</w:t>
            </w:r>
            <w:r>
              <w:rPr>
                <w:rFonts w:ascii="Times New Roman" w:eastAsia="Times New Roman" w:hAnsi="Times New Roman" w:cs="Times New Roman"/>
                <w:szCs w:val="20"/>
                <w:lang w:eastAsia="cs-CZ"/>
              </w:rPr>
              <w:t xml:space="preserve">. </w:t>
            </w:r>
            <w:r w:rsidR="00625DFA" w:rsidRPr="00DA7980">
              <w:rPr>
                <w:rFonts w:ascii="Times New Roman" w:eastAsia="Times New Roman" w:hAnsi="Times New Roman" w:cs="Times New Roman"/>
                <w:szCs w:val="20"/>
                <w:lang w:eastAsia="cs-CZ"/>
              </w:rPr>
              <w:t xml:space="preserve"> </w:t>
            </w:r>
          </w:p>
          <w:p w:rsidR="009513B9" w:rsidRDefault="009513B9" w:rsidP="009513B9">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Nově navržené ukazatele dle názoru hodnotitele mnohem lépe odrážejí nový přístup k pojetí těchto ukazatelů v programovacím období 2014-2020.</w:t>
            </w:r>
          </w:p>
          <w:p w:rsidR="00627207" w:rsidRPr="00DA7980" w:rsidRDefault="009513B9" w:rsidP="007146E9">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Dílčí připomínky </w:t>
            </w:r>
            <w:r w:rsidR="007146E9">
              <w:rPr>
                <w:rFonts w:ascii="Times New Roman" w:eastAsia="Times New Roman" w:hAnsi="Times New Roman" w:cs="Times New Roman"/>
                <w:szCs w:val="20"/>
                <w:lang w:eastAsia="cs-CZ"/>
              </w:rPr>
              <w:t>jsou uvedené</w:t>
            </w:r>
            <w:r>
              <w:rPr>
                <w:rFonts w:ascii="Times New Roman" w:eastAsia="Times New Roman" w:hAnsi="Times New Roman" w:cs="Times New Roman"/>
                <w:szCs w:val="20"/>
                <w:lang w:eastAsia="cs-CZ"/>
              </w:rPr>
              <w:t xml:space="preserve"> níže v rámci </w:t>
            </w:r>
            <w:r w:rsidRPr="009513B9">
              <w:rPr>
                <w:rFonts w:ascii="Times New Roman" w:eastAsia="Times New Roman" w:hAnsi="Times New Roman" w:cs="Times New Roman"/>
                <w:i/>
                <w:szCs w:val="20"/>
                <w:lang w:eastAsia="cs-CZ"/>
              </w:rPr>
              <w:t>Dalších komentářů a doporučení</w:t>
            </w:r>
            <w:r>
              <w:rPr>
                <w:rFonts w:ascii="Times New Roman" w:eastAsia="Times New Roman" w:hAnsi="Times New Roman" w:cs="Times New Roman"/>
                <w:szCs w:val="20"/>
                <w:lang w:eastAsia="cs-CZ"/>
              </w:rPr>
              <w:t>.</w:t>
            </w:r>
          </w:p>
        </w:tc>
      </w:tr>
      <w:tr w:rsidR="00022E68" w:rsidRPr="00DA7980" w:rsidTr="00627207">
        <w:trPr>
          <w:trHeight w:val="540"/>
        </w:trPr>
        <w:tc>
          <w:tcPr>
            <w:tcW w:w="880" w:type="dxa"/>
            <w:shd w:val="clear" w:color="000000" w:fill="EAF1DD"/>
            <w:hideMark/>
          </w:tcPr>
          <w:p w:rsidR="00022E68" w:rsidRPr="00DA7980" w:rsidRDefault="00022E68"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02.3</w:t>
            </w:r>
          </w:p>
        </w:tc>
        <w:tc>
          <w:tcPr>
            <w:tcW w:w="2821" w:type="dxa"/>
            <w:shd w:val="clear" w:color="000000" w:fill="EAF1DD"/>
            <w:hideMark/>
          </w:tcPr>
          <w:p w:rsidR="00022E68" w:rsidRPr="00DA7980" w:rsidRDefault="00022E68" w:rsidP="00050916">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 xml:space="preserve">Splňují </w:t>
            </w:r>
            <w:r w:rsidR="00050916">
              <w:rPr>
                <w:rFonts w:ascii="Times New Roman" w:eastAsia="Times New Roman" w:hAnsi="Times New Roman" w:cs="Times New Roman"/>
                <w:szCs w:val="20"/>
                <w:lang w:eastAsia="cs-CZ"/>
              </w:rPr>
              <w:t>ukazatele</w:t>
            </w:r>
            <w:r w:rsidRPr="00DA7980">
              <w:rPr>
                <w:rFonts w:ascii="Times New Roman" w:eastAsia="Times New Roman" w:hAnsi="Times New Roman" w:cs="Times New Roman"/>
                <w:szCs w:val="20"/>
                <w:lang w:eastAsia="cs-CZ"/>
              </w:rPr>
              <w:t xml:space="preserve"> požadavky na srozumitelnost, transparentnost, normativní interpretaci a robustnost?</w:t>
            </w:r>
          </w:p>
        </w:tc>
        <w:tc>
          <w:tcPr>
            <w:tcW w:w="1701" w:type="dxa"/>
            <w:shd w:val="clear" w:color="000000" w:fill="EAF1DD"/>
            <w:vAlign w:val="center"/>
            <w:hideMark/>
          </w:tcPr>
          <w:p w:rsidR="00022E68" w:rsidRPr="00DA7980" w:rsidRDefault="00CB08A7" w:rsidP="005C0ADF">
            <w:pPr>
              <w:jc w:val="center"/>
              <w:rPr>
                <w:rFonts w:ascii="Times New Roman" w:eastAsia="Times New Roman" w:hAnsi="Times New Roman" w:cs="Times New Roman"/>
                <w:bCs/>
                <w:szCs w:val="20"/>
                <w:lang w:eastAsia="cs-CZ"/>
              </w:rPr>
            </w:pPr>
            <w:r w:rsidRPr="00DA7980">
              <w:rPr>
                <w:rFonts w:ascii="Times New Roman" w:eastAsia="Times New Roman" w:hAnsi="Times New Roman" w:cs="Times New Roman"/>
                <w:bCs/>
                <w:szCs w:val="20"/>
                <w:lang w:eastAsia="cs-CZ"/>
              </w:rPr>
              <w:t>A</w:t>
            </w:r>
          </w:p>
        </w:tc>
        <w:tc>
          <w:tcPr>
            <w:tcW w:w="3827" w:type="dxa"/>
            <w:shd w:val="clear" w:color="000000" w:fill="EAF1DD"/>
            <w:hideMark/>
          </w:tcPr>
          <w:p w:rsidR="00165310" w:rsidRPr="00DA7980" w:rsidRDefault="009513B9" w:rsidP="005C0ADF">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Lze konstatovat, že ukazatele OP PIK víceméně</w:t>
            </w:r>
            <w:r w:rsidR="00CB08A7" w:rsidRPr="00DA7980">
              <w:rPr>
                <w:rFonts w:ascii="Times New Roman" w:eastAsia="Times New Roman" w:hAnsi="Times New Roman" w:cs="Times New Roman"/>
                <w:szCs w:val="20"/>
                <w:lang w:eastAsia="cs-CZ"/>
              </w:rPr>
              <w:t xml:space="preserve"> splňuj</w:t>
            </w:r>
            <w:r w:rsidR="00165310" w:rsidRPr="00DA7980">
              <w:rPr>
                <w:rFonts w:ascii="Times New Roman" w:eastAsia="Times New Roman" w:hAnsi="Times New Roman" w:cs="Times New Roman"/>
                <w:szCs w:val="20"/>
                <w:lang w:eastAsia="cs-CZ"/>
              </w:rPr>
              <w:t>í</w:t>
            </w:r>
            <w:r w:rsidR="00CB08A7" w:rsidRPr="00DA7980">
              <w:rPr>
                <w:rFonts w:ascii="Times New Roman" w:eastAsia="Times New Roman" w:hAnsi="Times New Roman" w:cs="Times New Roman"/>
                <w:szCs w:val="20"/>
                <w:lang w:eastAsia="cs-CZ"/>
              </w:rPr>
              <w:t xml:space="preserve"> požadavky na srozumitelnost, transparentnost, normativní interpretaci a robustnost.</w:t>
            </w:r>
          </w:p>
          <w:p w:rsidR="00022E68" w:rsidRPr="00DA7980" w:rsidRDefault="009513B9" w:rsidP="007146E9">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Dílčí připomínky jsou uveden</w:t>
            </w:r>
            <w:r w:rsidR="007146E9">
              <w:rPr>
                <w:rFonts w:ascii="Times New Roman" w:eastAsia="Times New Roman" w:hAnsi="Times New Roman" w:cs="Times New Roman"/>
                <w:szCs w:val="20"/>
                <w:lang w:eastAsia="cs-CZ"/>
              </w:rPr>
              <w:t>é</w:t>
            </w:r>
            <w:r>
              <w:rPr>
                <w:rFonts w:ascii="Times New Roman" w:eastAsia="Times New Roman" w:hAnsi="Times New Roman" w:cs="Times New Roman"/>
                <w:szCs w:val="20"/>
                <w:lang w:eastAsia="cs-CZ"/>
              </w:rPr>
              <w:t xml:space="preserve"> níže v rámci </w:t>
            </w:r>
            <w:r w:rsidRPr="009513B9">
              <w:rPr>
                <w:rFonts w:ascii="Times New Roman" w:eastAsia="Times New Roman" w:hAnsi="Times New Roman" w:cs="Times New Roman"/>
                <w:i/>
                <w:szCs w:val="20"/>
                <w:lang w:eastAsia="cs-CZ"/>
              </w:rPr>
              <w:t>Dalších komentářů a doporučení</w:t>
            </w:r>
            <w:r>
              <w:rPr>
                <w:rFonts w:ascii="Times New Roman" w:eastAsia="Times New Roman" w:hAnsi="Times New Roman" w:cs="Times New Roman"/>
                <w:szCs w:val="20"/>
                <w:lang w:eastAsia="cs-CZ"/>
              </w:rPr>
              <w:t>.</w:t>
            </w:r>
          </w:p>
        </w:tc>
      </w:tr>
    </w:tbl>
    <w:p w:rsidR="00022E68" w:rsidRDefault="00022E68" w:rsidP="002C6BB2">
      <w:pPr>
        <w:tabs>
          <w:tab w:val="num" w:pos="720"/>
        </w:tabs>
        <w:spacing w:after="120"/>
        <w:rPr>
          <w:u w:val="single"/>
        </w:rPr>
      </w:pPr>
    </w:p>
    <w:p w:rsidR="00CB08A7" w:rsidRDefault="00CB08A7" w:rsidP="00CB08A7">
      <w:pPr>
        <w:spacing w:after="120"/>
        <w:rPr>
          <w:rFonts w:cs="Tahoma"/>
          <w:szCs w:val="20"/>
        </w:rPr>
      </w:pPr>
      <w:r w:rsidRPr="00AC48DE">
        <w:rPr>
          <w:rFonts w:cs="Tahoma"/>
          <w:szCs w:val="20"/>
        </w:rPr>
        <w:t>Další komentáře a doporučení:</w:t>
      </w:r>
    </w:p>
    <w:p w:rsidR="00CB08A7" w:rsidRPr="002B0601" w:rsidRDefault="00CB08A7" w:rsidP="00C6279B">
      <w:pPr>
        <w:pStyle w:val="Odstavecseseznamem"/>
        <w:numPr>
          <w:ilvl w:val="0"/>
          <w:numId w:val="8"/>
        </w:numPr>
        <w:spacing w:after="120"/>
        <w:jc w:val="both"/>
        <w:rPr>
          <w:rFonts w:ascii="Tahoma" w:hAnsi="Tahoma" w:cs="Tahoma"/>
          <w:b/>
          <w:sz w:val="20"/>
          <w:szCs w:val="20"/>
        </w:rPr>
      </w:pPr>
      <w:r w:rsidRPr="002B0601">
        <w:rPr>
          <w:rFonts w:ascii="Tahoma" w:hAnsi="Tahoma" w:cs="Tahoma"/>
          <w:b/>
          <w:sz w:val="20"/>
          <w:szCs w:val="20"/>
        </w:rPr>
        <w:t xml:space="preserve">k Prioritní ose 2 „Rozvoj podnikání a konkurenceschopnosti malých a středních </w:t>
      </w:r>
      <w:r w:rsidR="00DD2F56" w:rsidRPr="002B0601">
        <w:rPr>
          <w:rFonts w:ascii="Tahoma" w:hAnsi="Tahoma" w:cs="Tahoma"/>
          <w:b/>
          <w:sz w:val="20"/>
          <w:szCs w:val="20"/>
        </w:rPr>
        <w:t>podniků</w:t>
      </w:r>
      <w:r w:rsidRPr="002B0601">
        <w:rPr>
          <w:rFonts w:ascii="Tahoma" w:hAnsi="Tahoma" w:cs="Tahoma"/>
          <w:b/>
          <w:sz w:val="20"/>
          <w:szCs w:val="20"/>
        </w:rPr>
        <w:t>“:</w:t>
      </w:r>
    </w:p>
    <w:tbl>
      <w:tblPr>
        <w:tblStyle w:val="Mkatabulky"/>
        <w:tblW w:w="0" w:type="auto"/>
        <w:tblLook w:val="04A0"/>
      </w:tblPr>
      <w:tblGrid>
        <w:gridCol w:w="534"/>
        <w:gridCol w:w="8646"/>
      </w:tblGrid>
      <w:tr w:rsidR="006A095C" w:rsidRPr="00801E2A" w:rsidTr="006A095C">
        <w:tc>
          <w:tcPr>
            <w:tcW w:w="534" w:type="dxa"/>
          </w:tcPr>
          <w:p w:rsidR="006A095C" w:rsidRPr="00382091" w:rsidRDefault="009D7676" w:rsidP="006A095C">
            <w:pPr>
              <w:tabs>
                <w:tab w:val="num" w:pos="720"/>
              </w:tabs>
              <w:spacing w:after="120"/>
              <w:jc w:val="center"/>
              <w:rPr>
                <w:rFonts w:cstheme="minorHAnsi"/>
              </w:rPr>
            </w:pPr>
            <w:r>
              <w:rPr>
                <w:rFonts w:cstheme="minorHAnsi"/>
              </w:rPr>
              <w:t>1</w:t>
            </w:r>
          </w:p>
        </w:tc>
        <w:tc>
          <w:tcPr>
            <w:tcW w:w="8646" w:type="dxa"/>
          </w:tcPr>
          <w:p w:rsidR="006A095C" w:rsidRPr="002B0601" w:rsidRDefault="00C02D2C" w:rsidP="00F61EE5">
            <w:pPr>
              <w:tabs>
                <w:tab w:val="num" w:pos="720"/>
              </w:tabs>
              <w:spacing w:after="120"/>
              <w:rPr>
                <w:rFonts w:cstheme="minorHAnsi"/>
                <w:b/>
                <w:i/>
              </w:rPr>
            </w:pPr>
            <w:r>
              <w:rPr>
                <w:rFonts w:cstheme="minorHAnsi"/>
                <w:b/>
                <w:i/>
              </w:rPr>
              <w:t>Specifické ukazatele</w:t>
            </w:r>
            <w:r w:rsidR="006A095C" w:rsidRPr="002B0601">
              <w:rPr>
                <w:rFonts w:cstheme="minorHAnsi"/>
                <w:b/>
                <w:i/>
              </w:rPr>
              <w:t xml:space="preserve"> programu výsledků pro specifický cíl 2.1</w:t>
            </w:r>
          </w:p>
          <w:p w:rsidR="00382091" w:rsidRPr="006B653A" w:rsidRDefault="005A38AD" w:rsidP="00860049">
            <w:pPr>
              <w:tabs>
                <w:tab w:val="num" w:pos="720"/>
              </w:tabs>
              <w:spacing w:after="120"/>
            </w:pPr>
            <w:r w:rsidRPr="00382091">
              <w:t xml:space="preserve">Hodnotitel </w:t>
            </w:r>
            <w:r w:rsidRPr="00FA3C76">
              <w:t xml:space="preserve">identifikuje </w:t>
            </w:r>
            <w:r w:rsidR="00305DEB" w:rsidRPr="00FA3C76">
              <w:t xml:space="preserve">nesoulad </w:t>
            </w:r>
            <w:r w:rsidR="00FB1AC6">
              <w:t>v </w:t>
            </w:r>
            <w:r w:rsidR="00B65196">
              <w:t>logic</w:t>
            </w:r>
            <w:r w:rsidR="00FB1AC6">
              <w:t xml:space="preserve">e </w:t>
            </w:r>
            <w:r w:rsidRPr="00FA3C76">
              <w:t>vazby mezi formulovaným specifickým cílem</w:t>
            </w:r>
            <w:r w:rsidR="00305DEB" w:rsidRPr="00FA3C76">
              <w:t xml:space="preserve"> </w:t>
            </w:r>
            <w:r w:rsidR="00305DEB" w:rsidRPr="00E56E5D">
              <w:rPr>
                <w:i/>
              </w:rPr>
              <w:t>2.1</w:t>
            </w:r>
            <w:r w:rsidRPr="00E56E5D">
              <w:rPr>
                <w:i/>
              </w:rPr>
              <w:t xml:space="preserve"> </w:t>
            </w:r>
            <w:r w:rsidR="006B653A" w:rsidRPr="00E56E5D">
              <w:rPr>
                <w:i/>
              </w:rPr>
              <w:t>Zvýšit počet nových podnikatelských záměrů začínajících a rozvojových podniků</w:t>
            </w:r>
            <w:r w:rsidR="006B653A">
              <w:t xml:space="preserve"> </w:t>
            </w:r>
            <w:r w:rsidRPr="00FA3C76">
              <w:t>a použitým</w:t>
            </w:r>
            <w:r w:rsidR="006B653A">
              <w:t xml:space="preserve"> ukazatelem výsledku.</w:t>
            </w:r>
            <w:r w:rsidRPr="00FA3C76">
              <w:t xml:space="preserve"> Jestliže</w:t>
            </w:r>
            <w:r w:rsidR="006B653A">
              <w:t xml:space="preserve"> </w:t>
            </w:r>
            <w:r w:rsidR="00E56E5D">
              <w:t>má</w:t>
            </w:r>
            <w:r w:rsidR="006B653A">
              <w:t xml:space="preserve"> být </w:t>
            </w:r>
            <w:r w:rsidRPr="00382091">
              <w:t>specifickým cílem</w:t>
            </w:r>
            <w:r w:rsidR="006B653A">
              <w:t xml:space="preserve"> z</w:t>
            </w:r>
            <w:r w:rsidRPr="00382091">
              <w:t xml:space="preserve">výšit </w:t>
            </w:r>
            <w:r w:rsidRPr="002B0601">
              <w:rPr>
                <w:u w:val="single"/>
              </w:rPr>
              <w:t>počet</w:t>
            </w:r>
            <w:r w:rsidRPr="00382091">
              <w:t xml:space="preserve"> nových podnikatelských záměrů začínajících a rozvojových podniků, pak by (logicky) měl být </w:t>
            </w:r>
            <w:r w:rsidR="006B653A">
              <w:t>ukazatelem</w:t>
            </w:r>
            <w:r w:rsidRPr="00382091">
              <w:t xml:space="preserve"> výsledku</w:t>
            </w:r>
            <w:r w:rsidR="00305DEB">
              <w:t>:</w:t>
            </w:r>
            <w:r w:rsidRPr="00382091">
              <w:t xml:space="preserve"> „Počet nových podnikatelských záměrů začínajících a rozvojových podniků“ se stanovenou výchozí a cílovou hodnotou. </w:t>
            </w:r>
            <w:r w:rsidR="006B653A">
              <w:t xml:space="preserve">Otázkou však je, zda „pouhý“ počet realizovaných podnikatelských záměrů je skutečně oním žádoucím výsledkem intervencí OP PIK, nebo zda by intervence operačního programu neměly spíše přispívat k celkovému posílení konkurenceschopnosti začínajících a rozvojových podniků? </w:t>
            </w:r>
            <w:r w:rsidR="00382091" w:rsidRPr="00382091">
              <w:t>Hodnotitel proto d</w:t>
            </w:r>
            <w:r w:rsidRPr="00382091">
              <w:t>oporučuje buď úpravu názvu</w:t>
            </w:r>
            <w:r w:rsidR="00D40310">
              <w:t xml:space="preserve"> a zaměření</w:t>
            </w:r>
            <w:r w:rsidRPr="00382091">
              <w:t xml:space="preserve"> specifického cíle</w:t>
            </w:r>
            <w:r w:rsidR="00382091" w:rsidRPr="00382091">
              <w:t>,</w:t>
            </w:r>
            <w:r w:rsidRPr="00382091">
              <w:t xml:space="preserve"> nebo použití jin</w:t>
            </w:r>
            <w:r w:rsidR="006B653A">
              <w:t>ého ukazatele</w:t>
            </w:r>
            <w:r w:rsidRPr="00382091">
              <w:t xml:space="preserve"> výsledku</w:t>
            </w:r>
            <w:r w:rsidR="00DF79EF" w:rsidRPr="00DF79EF">
              <w:t xml:space="preserve">, dle vyjádření zadavatele dojde k úpravě názvu SC, aby lépe odpovídal indikátoru výsledku. </w:t>
            </w:r>
            <w:r w:rsidRPr="00382091">
              <w:t xml:space="preserve">     </w:t>
            </w:r>
          </w:p>
        </w:tc>
      </w:tr>
      <w:tr w:rsidR="006A095C" w:rsidRPr="00801E2A" w:rsidTr="006A095C">
        <w:tc>
          <w:tcPr>
            <w:tcW w:w="534" w:type="dxa"/>
          </w:tcPr>
          <w:p w:rsidR="006A095C" w:rsidRPr="00412EDE" w:rsidRDefault="009D7676" w:rsidP="006A095C">
            <w:pPr>
              <w:tabs>
                <w:tab w:val="num" w:pos="720"/>
              </w:tabs>
              <w:spacing w:after="120"/>
              <w:jc w:val="center"/>
              <w:rPr>
                <w:rFonts w:cstheme="minorHAnsi"/>
              </w:rPr>
            </w:pPr>
            <w:r>
              <w:rPr>
                <w:rFonts w:cstheme="minorHAnsi"/>
              </w:rPr>
              <w:t>2</w:t>
            </w:r>
          </w:p>
        </w:tc>
        <w:tc>
          <w:tcPr>
            <w:tcW w:w="8646" w:type="dxa"/>
          </w:tcPr>
          <w:p w:rsidR="006A095C" w:rsidRPr="00305DEB" w:rsidRDefault="00C02D2C" w:rsidP="00F61EE5">
            <w:pPr>
              <w:tabs>
                <w:tab w:val="num" w:pos="720"/>
              </w:tabs>
              <w:spacing w:after="120"/>
              <w:rPr>
                <w:rFonts w:cstheme="minorHAnsi"/>
                <w:b/>
                <w:i/>
              </w:rPr>
            </w:pPr>
            <w:r>
              <w:rPr>
                <w:rFonts w:cstheme="minorHAnsi"/>
                <w:b/>
                <w:i/>
              </w:rPr>
              <w:t>Specifické ukazatele</w:t>
            </w:r>
            <w:r w:rsidR="006A095C" w:rsidRPr="00305DEB">
              <w:rPr>
                <w:rFonts w:cstheme="minorHAnsi"/>
                <w:b/>
                <w:i/>
              </w:rPr>
              <w:t xml:space="preserve"> programu výsledků pro specifický cíl 2.3</w:t>
            </w:r>
          </w:p>
          <w:p w:rsidR="006E7511" w:rsidRDefault="006B653A" w:rsidP="00F61EE5">
            <w:pPr>
              <w:spacing w:after="120"/>
            </w:pPr>
            <w:r>
              <w:t>Lze konstatovat, že t</w:t>
            </w:r>
            <w:r w:rsidR="00E56E5D">
              <w:t xml:space="preserve">éma </w:t>
            </w:r>
            <w:r w:rsidRPr="00E56E5D">
              <w:rPr>
                <w:i/>
              </w:rPr>
              <w:t>podnikatelsk</w:t>
            </w:r>
            <w:r w:rsidR="00E56E5D" w:rsidRPr="00E56E5D">
              <w:rPr>
                <w:i/>
              </w:rPr>
              <w:t>á</w:t>
            </w:r>
            <w:r w:rsidRPr="00E56E5D">
              <w:rPr>
                <w:i/>
              </w:rPr>
              <w:t xml:space="preserve"> infrastruktur</w:t>
            </w:r>
            <w:r w:rsidR="00E56E5D" w:rsidRPr="00E56E5D">
              <w:rPr>
                <w:i/>
              </w:rPr>
              <w:t>a</w:t>
            </w:r>
            <w:r>
              <w:t xml:space="preserve"> se </w:t>
            </w:r>
            <w:r w:rsidR="006E7511">
              <w:t xml:space="preserve">v ČR </w:t>
            </w:r>
            <w:r>
              <w:t>obecně potýká s</w:t>
            </w:r>
            <w:r w:rsidR="00632C2C">
              <w:t xml:space="preserve"> nedostatkem </w:t>
            </w:r>
            <w:r>
              <w:t>dostupn</w:t>
            </w:r>
            <w:r w:rsidR="00632C2C">
              <w:t>ých</w:t>
            </w:r>
            <w:r>
              <w:t xml:space="preserve"> relevantních dat</w:t>
            </w:r>
            <w:r w:rsidR="00632C2C">
              <w:t xml:space="preserve"> vyjadřujících současný stav</w:t>
            </w:r>
            <w:r w:rsidR="00E56E5D">
              <w:t>/problém. Z</w:t>
            </w:r>
            <w:r>
              <w:t xml:space="preserve">volený ukazatel výsledku </w:t>
            </w:r>
            <w:r w:rsidRPr="00412EDE">
              <w:t>„</w:t>
            </w:r>
            <w:r w:rsidRPr="00AA6101">
              <w:t xml:space="preserve">Celková rozloha regenerovaných lokalit v Národní databázi </w:t>
            </w:r>
            <w:proofErr w:type="spellStart"/>
            <w:r w:rsidRPr="00AA6101">
              <w:t>brownfieldů</w:t>
            </w:r>
            <w:proofErr w:type="spellEnd"/>
            <w:r>
              <w:t>“ je jedním z mála dostupných</w:t>
            </w:r>
            <w:r w:rsidR="006E7511">
              <w:t xml:space="preserve"> </w:t>
            </w:r>
            <w:r>
              <w:t>ukazatelů</w:t>
            </w:r>
            <w:r w:rsidR="006E7511">
              <w:t xml:space="preserve">. </w:t>
            </w:r>
            <w:r w:rsidR="00E56E5D">
              <w:t>I přesto je však možné jej d</w:t>
            </w:r>
            <w:r w:rsidR="006E7511">
              <w:t xml:space="preserve">le názoru hodnotitele považovat za relevantní, neboť postihuje proces postupného zhodnocování (regenerace) významných lokalit typu </w:t>
            </w:r>
            <w:proofErr w:type="spellStart"/>
            <w:r w:rsidR="006E7511">
              <w:t>brownfield</w:t>
            </w:r>
            <w:proofErr w:type="spellEnd"/>
            <w:r w:rsidR="006E7511">
              <w:t xml:space="preserve"> na území ČR s potenciálem opětovného využití pro podnikatelské aktivity. </w:t>
            </w:r>
          </w:p>
          <w:p w:rsidR="006A095C" w:rsidRPr="00412EDE" w:rsidRDefault="006E7511" w:rsidP="00F61EE5">
            <w:pPr>
              <w:spacing w:after="120"/>
            </w:pPr>
            <w:r>
              <w:lastRenderedPageBreak/>
              <w:t xml:space="preserve">Hodnotitel v této souvislosti doporučuje, aby bylo v operačním programu více zdůrazněno, že hlavní aktivitou v rámci SC 2.3 bude právě </w:t>
            </w:r>
            <w:r w:rsidRPr="0068667C">
              <w:t xml:space="preserve">rekonstrukce </w:t>
            </w:r>
            <w:proofErr w:type="spellStart"/>
            <w:r w:rsidRPr="0068667C">
              <w:t>brownfield</w:t>
            </w:r>
            <w:r>
              <w:t>ů</w:t>
            </w:r>
            <w:proofErr w:type="spellEnd"/>
            <w:r w:rsidRPr="0068667C">
              <w:t xml:space="preserve"> </w:t>
            </w:r>
            <w:r w:rsidR="00E56E5D">
              <w:t xml:space="preserve">a </w:t>
            </w:r>
            <w:r w:rsidRPr="0068667C">
              <w:t xml:space="preserve">jejich přeměna na </w:t>
            </w:r>
            <w:r>
              <w:t>moderní výrobní objekty</w:t>
            </w:r>
            <w:r w:rsidR="006B653A">
              <w:t xml:space="preserve">.  </w:t>
            </w:r>
          </w:p>
          <w:p w:rsidR="00864246" w:rsidRPr="00412EDE" w:rsidRDefault="00CA541D" w:rsidP="00632C2C">
            <w:pPr>
              <w:spacing w:after="120"/>
            </w:pPr>
            <w:r w:rsidRPr="00412EDE">
              <w:t>Vzhledem k tomu, že se</w:t>
            </w:r>
            <w:r w:rsidR="00305DEB">
              <w:t xml:space="preserve"> </w:t>
            </w:r>
            <w:r w:rsidRPr="00412EDE">
              <w:t xml:space="preserve">jedná </w:t>
            </w:r>
            <w:r w:rsidR="00632C2C">
              <w:t>zároveň</w:t>
            </w:r>
            <w:r w:rsidR="00AA68ED">
              <w:t xml:space="preserve"> </w:t>
            </w:r>
            <w:r w:rsidRPr="00412EDE">
              <w:t>o kvalit</w:t>
            </w:r>
            <w:r w:rsidR="00AA68ED">
              <w:t xml:space="preserve">ativně zaměřený specifický cíl - </w:t>
            </w:r>
            <w:r w:rsidRPr="00412EDE">
              <w:t>zvýšit využitelnost</w:t>
            </w:r>
            <w:r w:rsidR="00AA68ED">
              <w:t xml:space="preserve"> infrastruktury</w:t>
            </w:r>
            <w:r w:rsidRPr="00412EDE">
              <w:t xml:space="preserve"> </w:t>
            </w:r>
            <w:r w:rsidR="00AA68ED">
              <w:t xml:space="preserve">chápe hodnotitel v kontextu popisu SC </w:t>
            </w:r>
            <w:r w:rsidR="00632C2C">
              <w:t>také</w:t>
            </w:r>
            <w:r w:rsidR="00AA68ED">
              <w:t xml:space="preserve"> jako</w:t>
            </w:r>
            <w:r w:rsidRPr="00412EDE">
              <w:t xml:space="preserve"> kvalitativní změn</w:t>
            </w:r>
            <w:r w:rsidR="00AA68ED">
              <w:t>u (</w:t>
            </w:r>
            <w:r w:rsidRPr="00412EDE">
              <w:t xml:space="preserve">přeměna chátrajících, nevyužívaných prostor </w:t>
            </w:r>
            <w:r w:rsidR="00CC63D8" w:rsidRPr="00412EDE">
              <w:t xml:space="preserve">na moderní provozovny </w:t>
            </w:r>
            <w:r w:rsidRPr="00412EDE">
              <w:t>pro podnik</w:t>
            </w:r>
            <w:r w:rsidR="00CC63D8" w:rsidRPr="00412EDE">
              <w:t>ání</w:t>
            </w:r>
            <w:r w:rsidRPr="00412EDE">
              <w:t>)</w:t>
            </w:r>
            <w:r w:rsidR="00AA68ED">
              <w:t xml:space="preserve"> - </w:t>
            </w:r>
            <w:r w:rsidRPr="00412EDE">
              <w:t>lze uvažovat</w:t>
            </w:r>
            <w:r w:rsidR="00412EDE">
              <w:t xml:space="preserve"> </w:t>
            </w:r>
            <w:r w:rsidRPr="00412EDE">
              <w:t xml:space="preserve">o použití kvalitativních metod </w:t>
            </w:r>
            <w:r w:rsidR="00CC63D8" w:rsidRPr="00412EDE">
              <w:t>pro</w:t>
            </w:r>
            <w:r w:rsidRPr="00412EDE">
              <w:t> hodnocení výsledků</w:t>
            </w:r>
            <w:r w:rsidR="006E7511">
              <w:t xml:space="preserve"> tohoto SC</w:t>
            </w:r>
            <w:r w:rsidRPr="00412EDE">
              <w:t xml:space="preserve"> (</w:t>
            </w:r>
            <w:r w:rsidR="00CC63D8" w:rsidRPr="00412EDE">
              <w:t xml:space="preserve">např. </w:t>
            </w:r>
            <w:proofErr w:type="spellStart"/>
            <w:r w:rsidRPr="00412EDE">
              <w:t>benchmarking</w:t>
            </w:r>
            <w:proofErr w:type="spellEnd"/>
            <w:r w:rsidRPr="00412EDE">
              <w:t>)</w:t>
            </w:r>
            <w:r w:rsidR="00412EDE" w:rsidRPr="00412EDE">
              <w:t>.</w:t>
            </w:r>
          </w:p>
        </w:tc>
      </w:tr>
      <w:tr w:rsidR="006A095C" w:rsidTr="006A095C">
        <w:tc>
          <w:tcPr>
            <w:tcW w:w="534" w:type="dxa"/>
          </w:tcPr>
          <w:p w:rsidR="006A095C" w:rsidRPr="004F5DFB" w:rsidRDefault="009D7676" w:rsidP="009D7676">
            <w:pPr>
              <w:tabs>
                <w:tab w:val="num" w:pos="720"/>
              </w:tabs>
              <w:spacing w:after="120"/>
              <w:jc w:val="center"/>
              <w:rPr>
                <w:rFonts w:cstheme="minorHAnsi"/>
              </w:rPr>
            </w:pPr>
            <w:r>
              <w:rPr>
                <w:rFonts w:cstheme="minorHAnsi"/>
              </w:rPr>
              <w:lastRenderedPageBreak/>
              <w:t>3</w:t>
            </w:r>
          </w:p>
        </w:tc>
        <w:tc>
          <w:tcPr>
            <w:tcW w:w="8646" w:type="dxa"/>
          </w:tcPr>
          <w:p w:rsidR="006A095C" w:rsidRPr="00305DEB" w:rsidRDefault="006A095C" w:rsidP="00F61EE5">
            <w:pPr>
              <w:tabs>
                <w:tab w:val="num" w:pos="720"/>
              </w:tabs>
              <w:spacing w:after="120"/>
              <w:rPr>
                <w:rFonts w:cstheme="minorHAnsi"/>
                <w:b/>
                <w:i/>
              </w:rPr>
            </w:pPr>
            <w:r w:rsidRPr="00305DEB">
              <w:rPr>
                <w:rFonts w:cstheme="minorHAnsi"/>
                <w:b/>
                <w:i/>
              </w:rPr>
              <w:t xml:space="preserve">Specifické </w:t>
            </w:r>
            <w:r w:rsidR="00C02D2C">
              <w:rPr>
                <w:rFonts w:cstheme="minorHAnsi"/>
                <w:b/>
                <w:i/>
              </w:rPr>
              <w:t>ukazatele</w:t>
            </w:r>
            <w:r w:rsidRPr="00305DEB">
              <w:rPr>
                <w:rFonts w:cstheme="minorHAnsi"/>
                <w:b/>
                <w:i/>
              </w:rPr>
              <w:t xml:space="preserve"> programu výsledků pro specifický cíl 2.4</w:t>
            </w:r>
          </w:p>
          <w:p w:rsidR="00632C2C" w:rsidRDefault="00632C2C" w:rsidP="00F61EE5">
            <w:pPr>
              <w:spacing w:after="120"/>
            </w:pPr>
            <w:r>
              <w:t xml:space="preserve">Lze konstatovat, že obdobně jako v případě SC 2.3 se i téma </w:t>
            </w:r>
            <w:r w:rsidRPr="00E56E5D">
              <w:rPr>
                <w:i/>
              </w:rPr>
              <w:t>infrastruktur</w:t>
            </w:r>
            <w:r w:rsidR="00E56E5D" w:rsidRPr="00E56E5D">
              <w:rPr>
                <w:i/>
              </w:rPr>
              <w:t>a</w:t>
            </w:r>
            <w:r w:rsidRPr="00E56E5D">
              <w:rPr>
                <w:i/>
              </w:rPr>
              <w:t xml:space="preserve"> pro vzdělávání a rozvoj lidských zdrojů v podnicích</w:t>
            </w:r>
            <w:r>
              <w:t xml:space="preserve"> obecně potýká s nedostatkem dostupných relevantních dat vyjadřujících současný stav.</w:t>
            </w:r>
          </w:p>
          <w:p w:rsidR="006A095C" w:rsidRDefault="00632C2C" w:rsidP="00F61EE5">
            <w:pPr>
              <w:spacing w:after="120"/>
            </w:pPr>
            <w:r>
              <w:t xml:space="preserve">Zvolený ukazatel „Kapacita školicích a vzdělávacích </w:t>
            </w:r>
            <w:r w:rsidR="00412EDE" w:rsidRPr="004F5DFB">
              <w:t>středisek</w:t>
            </w:r>
            <w:r w:rsidR="009749D7">
              <w:t>“</w:t>
            </w:r>
            <w:r>
              <w:t xml:space="preserve"> navazuje na obdobný ukazatel použitý v</w:t>
            </w:r>
            <w:r w:rsidR="00E56E5D">
              <w:t> </w:t>
            </w:r>
            <w:r>
              <w:t>OPPI</w:t>
            </w:r>
            <w:r w:rsidR="00E56E5D">
              <w:t xml:space="preserve"> 2007 - 2013</w:t>
            </w:r>
            <w:r>
              <w:t xml:space="preserve"> a jeho výchozí hodnota odpovídá výsledkům projektů podpořených v předchozím programovacím období. Nicméně, vezmeme-li v úvahu, že finanční prostředky OPPI a nově OP PIK jsou jedinými veřejnými zdroji financování tohoto typu aktivit, lze se na tento ukazatel dívat jako na </w:t>
            </w:r>
            <w:r w:rsidR="00BC382B">
              <w:t>ukazatel postihující „relevantní trh“.</w:t>
            </w:r>
          </w:p>
          <w:p w:rsidR="004F5DFB" w:rsidRPr="00BC382B" w:rsidRDefault="00BC382B" w:rsidP="00BC382B">
            <w:pPr>
              <w:spacing w:after="120"/>
            </w:pPr>
            <w:r>
              <w:t>I přesto však h</w:t>
            </w:r>
            <w:r w:rsidR="006A095C" w:rsidRPr="004F5DFB">
              <w:t xml:space="preserve">odnotitel </w:t>
            </w:r>
            <w:r w:rsidR="006A095C" w:rsidRPr="00B34E32">
              <w:t>indikuje</w:t>
            </w:r>
            <w:r>
              <w:t xml:space="preserve"> jistý</w:t>
            </w:r>
            <w:r w:rsidR="006A095C" w:rsidRPr="00B34E32">
              <w:t xml:space="preserve"> </w:t>
            </w:r>
            <w:r w:rsidR="00FB1AC6">
              <w:t xml:space="preserve">nesoulad v </w:t>
            </w:r>
            <w:r w:rsidR="004F5DFB" w:rsidRPr="00B34E32">
              <w:t>logi</w:t>
            </w:r>
            <w:r w:rsidR="00FB1AC6">
              <w:t>ce</w:t>
            </w:r>
            <w:r w:rsidR="004F5DFB" w:rsidRPr="00B34E32">
              <w:t xml:space="preserve"> vazby mezi</w:t>
            </w:r>
            <w:r w:rsidR="006A095C" w:rsidRPr="00B34E32">
              <w:t xml:space="preserve"> indikátor</w:t>
            </w:r>
            <w:r w:rsidR="004F5DFB" w:rsidRPr="00B34E32">
              <w:t>em</w:t>
            </w:r>
            <w:r w:rsidR="006A095C" w:rsidRPr="00B34E32">
              <w:t xml:space="preserve"> výsledku </w:t>
            </w:r>
            <w:r w:rsidR="004F5DFB" w:rsidRPr="00B34E32">
              <w:t>a</w:t>
            </w:r>
            <w:r w:rsidR="006A095C" w:rsidRPr="00B34E32">
              <w:t> formulovaným specifickým cílem</w:t>
            </w:r>
            <w:r w:rsidR="00FB1AC6">
              <w:t>. Tím</w:t>
            </w:r>
            <w:r w:rsidR="004F5DFB" w:rsidRPr="00B34E32">
              <w:t xml:space="preserve"> </w:t>
            </w:r>
            <w:r w:rsidR="006A095C" w:rsidRPr="00B34E32">
              <w:t>má být zkvalit</w:t>
            </w:r>
            <w:r w:rsidR="004F5DFB" w:rsidRPr="00B34E32">
              <w:t>nění</w:t>
            </w:r>
            <w:r w:rsidR="006A095C" w:rsidRPr="00B34E32">
              <w:t xml:space="preserve"> infrastruktur</w:t>
            </w:r>
            <w:r w:rsidR="004F5DFB" w:rsidRPr="00B34E32">
              <w:t>y pro rozvoj lidských zdrojů</w:t>
            </w:r>
            <w:r w:rsidR="008E6492">
              <w:t xml:space="preserve"> v podnicích</w:t>
            </w:r>
            <w:r w:rsidR="006A095C" w:rsidRPr="00B34E32">
              <w:t xml:space="preserve">, zatímco výsledkový </w:t>
            </w:r>
            <w:r>
              <w:t>ukazatel</w:t>
            </w:r>
            <w:r w:rsidR="006A095C" w:rsidRPr="00B34E32">
              <w:t xml:space="preserve"> měří kvantitativní parametr</w:t>
            </w:r>
            <w:r w:rsidR="004F5DFB" w:rsidRPr="00B34E32">
              <w:t xml:space="preserve"> (zvýšení kapacit)</w:t>
            </w:r>
            <w:r w:rsidR="006A095C" w:rsidRPr="00B34E32">
              <w:t>.</w:t>
            </w:r>
            <w:r w:rsidR="006A095C" w:rsidRPr="004F5DFB">
              <w:t xml:space="preserve"> </w:t>
            </w:r>
          </w:p>
          <w:p w:rsidR="00B34E32" w:rsidRPr="00BC382B" w:rsidRDefault="006A095C" w:rsidP="00BC382B">
            <w:pPr>
              <w:spacing w:after="120"/>
            </w:pPr>
            <w:r w:rsidRPr="004F5DFB">
              <w:t xml:space="preserve">Kvalitativní změnu lze obtížně hodnotit prostřednictvím kvantitativního ukazatele, proto by bylo </w:t>
            </w:r>
            <w:r w:rsidR="007446B8">
              <w:t>možné</w:t>
            </w:r>
            <w:r w:rsidRPr="004F5DFB">
              <w:t xml:space="preserve"> zde uvažovat spíše o jiných</w:t>
            </w:r>
            <w:r w:rsidR="00FB1AC6">
              <w:t xml:space="preserve"> </w:t>
            </w:r>
            <w:r w:rsidRPr="004F5DFB">
              <w:t>přístupech k hodnocení, které by byly založené například na srovnávacích evaluačních metodách</w:t>
            </w:r>
            <w:r w:rsidR="004F5DFB" w:rsidRPr="004F5DFB">
              <w:t xml:space="preserve"> (</w:t>
            </w:r>
            <w:proofErr w:type="spellStart"/>
            <w:r w:rsidR="004F5DFB" w:rsidRPr="004F5DFB">
              <w:t>benchmarking</w:t>
            </w:r>
            <w:proofErr w:type="spellEnd"/>
            <w:r w:rsidR="004F5DFB" w:rsidRPr="004F5DFB">
              <w:t>)</w:t>
            </w:r>
            <w:r w:rsidRPr="004F5DFB">
              <w:t>.</w:t>
            </w:r>
            <w:r w:rsidR="00C748BE">
              <w:t xml:space="preserve"> </w:t>
            </w:r>
          </w:p>
        </w:tc>
      </w:tr>
    </w:tbl>
    <w:p w:rsidR="00CB08A7" w:rsidRPr="00801E2A" w:rsidRDefault="00CB08A7" w:rsidP="00CB08A7">
      <w:pPr>
        <w:tabs>
          <w:tab w:val="num" w:pos="720"/>
        </w:tabs>
        <w:spacing w:after="120"/>
        <w:rPr>
          <w:highlight w:val="yellow"/>
          <w:u w:val="single"/>
        </w:rPr>
      </w:pPr>
    </w:p>
    <w:p w:rsidR="00CB08A7" w:rsidRPr="00F01606" w:rsidRDefault="00CB08A7" w:rsidP="00C6279B">
      <w:pPr>
        <w:pStyle w:val="Odstavecseseznamem"/>
        <w:numPr>
          <w:ilvl w:val="0"/>
          <w:numId w:val="8"/>
        </w:numPr>
        <w:spacing w:after="120"/>
        <w:jc w:val="both"/>
        <w:rPr>
          <w:rFonts w:ascii="Tahoma" w:hAnsi="Tahoma" w:cs="Tahoma"/>
          <w:b/>
          <w:sz w:val="20"/>
          <w:szCs w:val="20"/>
        </w:rPr>
      </w:pPr>
      <w:r w:rsidRPr="00F01606">
        <w:rPr>
          <w:rFonts w:ascii="Tahoma" w:hAnsi="Tahoma" w:cs="Tahoma"/>
          <w:b/>
          <w:sz w:val="20"/>
          <w:szCs w:val="20"/>
        </w:rPr>
        <w:t>k Prioritní ose 3 „Účinné nakládání energií, rozvoj energetické infrastruktury a obnovitelných zdrojů energie, podpora zavádění nových technologií v oblasti nakládání energií a druhotných surovin“:</w:t>
      </w:r>
    </w:p>
    <w:tbl>
      <w:tblPr>
        <w:tblStyle w:val="Mkatabulky"/>
        <w:tblW w:w="0" w:type="auto"/>
        <w:tblLook w:val="04A0"/>
      </w:tblPr>
      <w:tblGrid>
        <w:gridCol w:w="534"/>
        <w:gridCol w:w="8646"/>
      </w:tblGrid>
      <w:tr w:rsidR="00ED08E6" w:rsidRPr="00801E2A" w:rsidTr="00ED08E6">
        <w:tc>
          <w:tcPr>
            <w:tcW w:w="534" w:type="dxa"/>
          </w:tcPr>
          <w:p w:rsidR="00ED08E6" w:rsidRPr="00DD2F56" w:rsidRDefault="009D7676" w:rsidP="00ED08E6">
            <w:pPr>
              <w:tabs>
                <w:tab w:val="num" w:pos="720"/>
              </w:tabs>
              <w:spacing w:after="120"/>
              <w:jc w:val="center"/>
              <w:rPr>
                <w:rFonts w:cstheme="minorHAnsi"/>
              </w:rPr>
            </w:pPr>
            <w:r>
              <w:rPr>
                <w:rFonts w:cstheme="minorHAnsi"/>
              </w:rPr>
              <w:t>4</w:t>
            </w:r>
          </w:p>
        </w:tc>
        <w:tc>
          <w:tcPr>
            <w:tcW w:w="8646" w:type="dxa"/>
          </w:tcPr>
          <w:p w:rsidR="00ED08E6" w:rsidRPr="00A0560E" w:rsidRDefault="00ED08E6" w:rsidP="003C5AA9">
            <w:pPr>
              <w:tabs>
                <w:tab w:val="num" w:pos="720"/>
              </w:tabs>
              <w:spacing w:after="120"/>
              <w:rPr>
                <w:rFonts w:cstheme="minorHAnsi"/>
                <w:b/>
                <w:i/>
              </w:rPr>
            </w:pPr>
            <w:r w:rsidRPr="00A0560E">
              <w:rPr>
                <w:rFonts w:cstheme="minorHAnsi"/>
                <w:b/>
                <w:i/>
              </w:rPr>
              <w:t xml:space="preserve">Specifické </w:t>
            </w:r>
            <w:r w:rsidR="00C02D2C">
              <w:rPr>
                <w:rFonts w:cstheme="minorHAnsi"/>
                <w:b/>
                <w:i/>
              </w:rPr>
              <w:t>ukazatele</w:t>
            </w:r>
            <w:r w:rsidRPr="00A0560E">
              <w:rPr>
                <w:rFonts w:cstheme="minorHAnsi"/>
                <w:b/>
                <w:i/>
              </w:rPr>
              <w:t xml:space="preserve"> programu výsledků pro specifický cíl 3.2</w:t>
            </w:r>
          </w:p>
          <w:p w:rsidR="009749D7" w:rsidRPr="008E6492" w:rsidRDefault="008E6492" w:rsidP="00E56E5D">
            <w:pPr>
              <w:spacing w:after="120"/>
            </w:pPr>
            <w:r>
              <w:t>Hodnotitel doporučuje v názvu ukazatele</w:t>
            </w:r>
            <w:r w:rsidR="00E56E5D">
              <w:t>:</w:t>
            </w:r>
            <w:r w:rsidR="00ED08E6" w:rsidRPr="00DD2F56">
              <w:t xml:space="preserve"> „</w:t>
            </w:r>
            <w:r>
              <w:t xml:space="preserve">Čistá </w:t>
            </w:r>
            <w:r w:rsidR="00ED08E6" w:rsidRPr="00DD2F56">
              <w:t>konečn</w:t>
            </w:r>
            <w:r>
              <w:t>á</w:t>
            </w:r>
            <w:r w:rsidR="00ED08E6" w:rsidRPr="00DD2F56">
              <w:t xml:space="preserve"> spotřeb</w:t>
            </w:r>
            <w:r>
              <w:t xml:space="preserve">a </w:t>
            </w:r>
            <w:r w:rsidR="00ED08E6" w:rsidRPr="00DD2F56">
              <w:t>energie“</w:t>
            </w:r>
            <w:r>
              <w:t xml:space="preserve"> upřesnit, zda se vztahuje pouze na sektor průmyslu, příp. </w:t>
            </w:r>
            <w:r w:rsidR="00322FBA">
              <w:t xml:space="preserve">i </w:t>
            </w:r>
            <w:r>
              <w:t>služeb</w:t>
            </w:r>
            <w:r w:rsidR="00E56E5D">
              <w:t>.</w:t>
            </w:r>
            <w:r>
              <w:t xml:space="preserve"> To by odpovídalo zaměření OP PIK.  </w:t>
            </w:r>
          </w:p>
        </w:tc>
      </w:tr>
      <w:tr w:rsidR="00ED08E6" w:rsidRPr="00801E2A" w:rsidTr="00ED08E6">
        <w:tc>
          <w:tcPr>
            <w:tcW w:w="534" w:type="dxa"/>
          </w:tcPr>
          <w:p w:rsidR="00ED08E6" w:rsidRPr="009120F7" w:rsidRDefault="009D7676" w:rsidP="00ED08E6">
            <w:pPr>
              <w:tabs>
                <w:tab w:val="num" w:pos="720"/>
              </w:tabs>
              <w:spacing w:after="120"/>
              <w:jc w:val="center"/>
              <w:rPr>
                <w:rFonts w:cstheme="minorHAnsi"/>
              </w:rPr>
            </w:pPr>
            <w:r>
              <w:rPr>
                <w:rFonts w:cstheme="minorHAnsi"/>
              </w:rPr>
              <w:t>5</w:t>
            </w:r>
          </w:p>
        </w:tc>
        <w:tc>
          <w:tcPr>
            <w:tcW w:w="8646" w:type="dxa"/>
          </w:tcPr>
          <w:p w:rsidR="00ED08E6" w:rsidRPr="00A0560E" w:rsidRDefault="00ED08E6" w:rsidP="006C2E0F">
            <w:pPr>
              <w:tabs>
                <w:tab w:val="num" w:pos="720"/>
              </w:tabs>
              <w:spacing w:after="120"/>
              <w:rPr>
                <w:rFonts w:cstheme="minorHAnsi"/>
                <w:b/>
                <w:i/>
              </w:rPr>
            </w:pPr>
            <w:r w:rsidRPr="00A0560E">
              <w:rPr>
                <w:rFonts w:cstheme="minorHAnsi"/>
                <w:b/>
                <w:i/>
              </w:rPr>
              <w:t xml:space="preserve">Specifické </w:t>
            </w:r>
            <w:r w:rsidR="00C02D2C">
              <w:rPr>
                <w:rFonts w:cstheme="minorHAnsi"/>
                <w:b/>
                <w:i/>
              </w:rPr>
              <w:t>ukazatele</w:t>
            </w:r>
            <w:r w:rsidRPr="00A0560E">
              <w:rPr>
                <w:rFonts w:cstheme="minorHAnsi"/>
                <w:b/>
                <w:i/>
              </w:rPr>
              <w:t xml:space="preserve"> programu výsledků pro specifický cíl 3.3</w:t>
            </w:r>
          </w:p>
          <w:p w:rsidR="00ED08E6" w:rsidRPr="00EC0A9A" w:rsidRDefault="008E6492" w:rsidP="00EC0A9A">
            <w:pPr>
              <w:spacing w:after="120"/>
              <w:rPr>
                <w:rFonts w:cs="Tahoma"/>
                <w:szCs w:val="20"/>
              </w:rPr>
            </w:pPr>
            <w:r w:rsidRPr="00382091">
              <w:t xml:space="preserve">Hodnotitel </w:t>
            </w:r>
            <w:r w:rsidRPr="00FA3C76">
              <w:t xml:space="preserve">identifikuje </w:t>
            </w:r>
            <w:r>
              <w:t xml:space="preserve">určitý </w:t>
            </w:r>
            <w:r w:rsidRPr="00FA3C76">
              <w:t xml:space="preserve">nesoulad </w:t>
            </w:r>
            <w:r>
              <w:t xml:space="preserve">v logice </w:t>
            </w:r>
            <w:r w:rsidRPr="00FA3C76">
              <w:t xml:space="preserve">vazby mezi formulovaným specifickým cílem </w:t>
            </w:r>
            <w:r w:rsidRPr="00E56E5D">
              <w:rPr>
                <w:i/>
              </w:rPr>
              <w:t>3.3 Zvýšit aplikaci prvků inteligentních sítí v distribučních soustavách</w:t>
            </w:r>
            <w:r>
              <w:t xml:space="preserve"> </w:t>
            </w:r>
            <w:r w:rsidRPr="00FA3C76">
              <w:t>a použitým</w:t>
            </w:r>
            <w:r>
              <w:t>i ukazatel</w:t>
            </w:r>
            <w:r w:rsidR="00EC0A9A">
              <w:t>i</w:t>
            </w:r>
            <w:r>
              <w:t xml:space="preserve"> výsledků. </w:t>
            </w:r>
            <w:r w:rsidR="00EC0A9A">
              <w:rPr>
                <w:rFonts w:cs="Tahoma"/>
                <w:szCs w:val="20"/>
              </w:rPr>
              <w:t>Obecně se domnívá, že samotná aplikace prvků inteligentních sítí v distribučních soustavách je pouze prostředkem k dosažení cíle/změny, kterou by (zřejmě) mělo být z</w:t>
            </w:r>
            <w:r w:rsidR="00EC0A9A" w:rsidRPr="00EC0A9A">
              <w:rPr>
                <w:rFonts w:cs="Tahoma"/>
                <w:szCs w:val="20"/>
              </w:rPr>
              <w:t>výšení spolehlivosti dodávek energie konečným spotřebitelům</w:t>
            </w:r>
            <w:r w:rsidR="00EC0A9A">
              <w:rPr>
                <w:rFonts w:cs="Tahoma"/>
                <w:szCs w:val="20"/>
              </w:rPr>
              <w:t xml:space="preserve">. Hodnotitel proto doporučuje úpravu názvu specifického cíle. </w:t>
            </w:r>
          </w:p>
        </w:tc>
      </w:tr>
      <w:tr w:rsidR="00ED08E6" w:rsidRPr="00801E2A" w:rsidTr="00ED08E6">
        <w:tc>
          <w:tcPr>
            <w:tcW w:w="534" w:type="dxa"/>
          </w:tcPr>
          <w:p w:rsidR="00ED08E6" w:rsidRPr="00E458FE" w:rsidRDefault="009D7676" w:rsidP="005A24B5">
            <w:pPr>
              <w:tabs>
                <w:tab w:val="num" w:pos="720"/>
              </w:tabs>
              <w:spacing w:after="120"/>
              <w:jc w:val="center"/>
              <w:rPr>
                <w:rFonts w:cstheme="minorHAnsi"/>
              </w:rPr>
            </w:pPr>
            <w:r>
              <w:rPr>
                <w:rFonts w:cstheme="minorHAnsi"/>
              </w:rPr>
              <w:t>6</w:t>
            </w:r>
          </w:p>
        </w:tc>
        <w:tc>
          <w:tcPr>
            <w:tcW w:w="8646" w:type="dxa"/>
          </w:tcPr>
          <w:p w:rsidR="00ED08E6" w:rsidRPr="00A0560E" w:rsidRDefault="00ED08E6" w:rsidP="006C2E0F">
            <w:pPr>
              <w:tabs>
                <w:tab w:val="num" w:pos="720"/>
              </w:tabs>
              <w:spacing w:after="120"/>
              <w:rPr>
                <w:rFonts w:cstheme="minorHAnsi"/>
                <w:b/>
                <w:i/>
              </w:rPr>
            </w:pPr>
            <w:r w:rsidRPr="00A0560E">
              <w:rPr>
                <w:rFonts w:cstheme="minorHAnsi"/>
                <w:b/>
                <w:i/>
              </w:rPr>
              <w:t xml:space="preserve">Specifické </w:t>
            </w:r>
            <w:r w:rsidR="00C02D2C">
              <w:rPr>
                <w:rFonts w:cstheme="minorHAnsi"/>
                <w:b/>
                <w:i/>
              </w:rPr>
              <w:t>ukazatele</w:t>
            </w:r>
            <w:r w:rsidRPr="00A0560E">
              <w:rPr>
                <w:rFonts w:cstheme="minorHAnsi"/>
                <w:b/>
                <w:i/>
              </w:rPr>
              <w:t xml:space="preserve"> programu výsledků pro specifický cíl 3.4</w:t>
            </w:r>
          </w:p>
          <w:p w:rsidR="0093174D" w:rsidRDefault="00EC0A9A" w:rsidP="00EC0A9A">
            <w:pPr>
              <w:spacing w:after="120"/>
            </w:pPr>
            <w:r w:rsidRPr="00382091">
              <w:t xml:space="preserve">Hodnotitel </w:t>
            </w:r>
            <w:r w:rsidRPr="00FA3C76">
              <w:t xml:space="preserve">identifikuje </w:t>
            </w:r>
            <w:r>
              <w:t xml:space="preserve">určitý </w:t>
            </w:r>
            <w:r w:rsidRPr="00FA3C76">
              <w:t xml:space="preserve">nesoulad </w:t>
            </w:r>
            <w:r>
              <w:t xml:space="preserve">v logice </w:t>
            </w:r>
            <w:r w:rsidRPr="00FA3C76">
              <w:t xml:space="preserve">vazby mezi formulovaným specifickým cílem </w:t>
            </w:r>
            <w:r w:rsidRPr="00E56E5D">
              <w:rPr>
                <w:i/>
              </w:rPr>
              <w:t>3.4 Uplatnit ve větší míře nízkouhlíkové technologie v oblasti nakládání energií a při využívání druhotných surovin</w:t>
            </w:r>
            <w:r>
              <w:t xml:space="preserve"> </w:t>
            </w:r>
            <w:r w:rsidRPr="00FA3C76">
              <w:t>a použitým</w:t>
            </w:r>
            <w:r>
              <w:t xml:space="preserve"> ukazatelem výsledku. Není totiž jasné, j</w:t>
            </w:r>
            <w:r w:rsidR="00ED08E6" w:rsidRPr="00E458FE">
              <w:t xml:space="preserve">aká je současná míra využívání </w:t>
            </w:r>
            <w:r w:rsidR="009120F7" w:rsidRPr="00E458FE">
              <w:t xml:space="preserve">nízkouhlíkových </w:t>
            </w:r>
            <w:r w:rsidR="00ED08E6" w:rsidRPr="00E458FE">
              <w:t xml:space="preserve">technologií a jak se </w:t>
            </w:r>
            <w:r w:rsidR="009120F7" w:rsidRPr="00E458FE">
              <w:t xml:space="preserve">vlivem intervencí programu </w:t>
            </w:r>
            <w:r w:rsidR="00ED08E6" w:rsidRPr="00E458FE">
              <w:t>změní?</w:t>
            </w:r>
            <w:r>
              <w:t xml:space="preserve"> </w:t>
            </w:r>
            <w:r w:rsidR="0093174D">
              <w:t>Vzhledem k tomu, že s</w:t>
            </w:r>
            <w:r>
              <w:t xml:space="preserve">pecifický cíl předpokládá realizaci především pilotních projektů zavádění </w:t>
            </w:r>
            <w:r w:rsidR="0093174D">
              <w:t xml:space="preserve">inovativních </w:t>
            </w:r>
            <w:r>
              <w:t>nízkouhlíkových</w:t>
            </w:r>
            <w:r w:rsidR="0093174D">
              <w:t xml:space="preserve"> technologií, doporučuje hodnotitel úpravu názvu SC ve smyslu u</w:t>
            </w:r>
            <w:r w:rsidR="0093174D" w:rsidRPr="0093174D">
              <w:t>platnit inovativní nízkouhlíkové technologie v oblasti nakládání energií a při využívání druhotných surovin</w:t>
            </w:r>
            <w:r w:rsidR="0093174D">
              <w:t xml:space="preserve">. </w:t>
            </w:r>
          </w:p>
          <w:p w:rsidR="009120F7" w:rsidRDefault="0093174D" w:rsidP="00C24EED">
            <w:pPr>
              <w:spacing w:after="120"/>
              <w:rPr>
                <w:rFonts w:cs="Tahoma"/>
                <w:szCs w:val="20"/>
              </w:rPr>
            </w:pPr>
            <w:r>
              <w:t>Hodnotitel se zároveň domnívá, že v</w:t>
            </w:r>
            <w:r w:rsidR="002D6199">
              <w:rPr>
                <w:rFonts w:cs="Tahoma"/>
                <w:szCs w:val="20"/>
              </w:rPr>
              <w:t>ýznamnou bariéru pro</w:t>
            </w:r>
            <w:r>
              <w:rPr>
                <w:rFonts w:cs="Tahoma"/>
                <w:szCs w:val="20"/>
              </w:rPr>
              <w:t xml:space="preserve"> budoucí hodnocení výsledků a efektů tohoto SC představuje </w:t>
            </w:r>
            <w:r w:rsidR="002D6199">
              <w:rPr>
                <w:rFonts w:cs="Tahoma"/>
                <w:szCs w:val="20"/>
              </w:rPr>
              <w:t xml:space="preserve">jeho příliš široké zaměření a vnitřní </w:t>
            </w:r>
            <w:proofErr w:type="spellStart"/>
            <w:r w:rsidR="002D6199">
              <w:rPr>
                <w:rFonts w:cs="Tahoma"/>
                <w:szCs w:val="20"/>
              </w:rPr>
              <w:t>nekoheren</w:t>
            </w:r>
            <w:r w:rsidR="009F7CD4">
              <w:rPr>
                <w:rFonts w:cs="Tahoma"/>
                <w:szCs w:val="20"/>
              </w:rPr>
              <w:t>ce</w:t>
            </w:r>
            <w:proofErr w:type="spellEnd"/>
            <w:r w:rsidR="000B0162">
              <w:rPr>
                <w:rFonts w:cs="Tahoma"/>
                <w:szCs w:val="20"/>
              </w:rPr>
              <w:t xml:space="preserve">. </w:t>
            </w:r>
          </w:p>
          <w:p w:rsidR="00F21883" w:rsidRPr="00E458FE" w:rsidRDefault="00F21883" w:rsidP="00C24EED">
            <w:pPr>
              <w:spacing w:after="120"/>
            </w:pPr>
          </w:p>
        </w:tc>
      </w:tr>
      <w:tr w:rsidR="00ED08E6" w:rsidRPr="00801E2A" w:rsidTr="00ED08E6">
        <w:tc>
          <w:tcPr>
            <w:tcW w:w="534" w:type="dxa"/>
          </w:tcPr>
          <w:p w:rsidR="00ED08E6" w:rsidRPr="00E458FE" w:rsidRDefault="009D7676" w:rsidP="00ED08E6">
            <w:pPr>
              <w:spacing w:after="120"/>
              <w:jc w:val="center"/>
              <w:rPr>
                <w:rFonts w:cstheme="minorHAnsi"/>
              </w:rPr>
            </w:pPr>
            <w:r>
              <w:rPr>
                <w:rFonts w:cstheme="minorHAnsi"/>
              </w:rPr>
              <w:lastRenderedPageBreak/>
              <w:t>7</w:t>
            </w:r>
          </w:p>
        </w:tc>
        <w:tc>
          <w:tcPr>
            <w:tcW w:w="8646" w:type="dxa"/>
          </w:tcPr>
          <w:p w:rsidR="00ED08E6" w:rsidRPr="000B0162" w:rsidRDefault="00C02D2C" w:rsidP="00880D98">
            <w:pPr>
              <w:spacing w:after="120"/>
              <w:rPr>
                <w:rFonts w:cstheme="minorHAnsi"/>
                <w:b/>
                <w:i/>
              </w:rPr>
            </w:pPr>
            <w:r>
              <w:rPr>
                <w:rFonts w:cstheme="minorHAnsi"/>
                <w:b/>
                <w:i/>
              </w:rPr>
              <w:t>Specifické ukazatele</w:t>
            </w:r>
            <w:r w:rsidR="00ED08E6" w:rsidRPr="000B0162">
              <w:rPr>
                <w:rFonts w:cstheme="minorHAnsi"/>
                <w:b/>
                <w:i/>
              </w:rPr>
              <w:t xml:space="preserve"> programu výsledků pro specifický cíl 3.5</w:t>
            </w:r>
          </w:p>
          <w:p w:rsidR="00322FBA" w:rsidRDefault="0093174D" w:rsidP="00880D98">
            <w:pPr>
              <w:spacing w:after="120"/>
            </w:pPr>
            <w:r>
              <w:t xml:space="preserve">Hodnotiteli není zcela zřejmá logika vazby mezi formulovaným specifickým cílem </w:t>
            </w:r>
            <w:r w:rsidRPr="00E56E5D">
              <w:rPr>
                <w:i/>
              </w:rPr>
              <w:t xml:space="preserve">3.5 </w:t>
            </w:r>
            <w:r w:rsidR="00322FBA" w:rsidRPr="00E56E5D">
              <w:rPr>
                <w:i/>
              </w:rPr>
              <w:t>Zvýšit účinnost soustav zásobování teplem</w:t>
            </w:r>
            <w:r>
              <w:t xml:space="preserve"> a použitým ukazatelem výsledku. Doporučuje proto zpřesnit intervenční logiku SC - buď použít jiný ukazatel</w:t>
            </w:r>
            <w:r w:rsidR="00322FBA">
              <w:t>,</w:t>
            </w:r>
            <w:r>
              <w:t xml:space="preserve"> nebo přeformulovat SC. </w:t>
            </w:r>
          </w:p>
          <w:p w:rsidR="00E458FE" w:rsidRPr="00322FBA" w:rsidRDefault="00322FBA" w:rsidP="00E56E5D">
            <w:pPr>
              <w:spacing w:after="120"/>
            </w:pPr>
            <w:r>
              <w:t>Obdobně jako v případě SC 3.2 hodnotitel i zde doporučuje v názvu ukazatele</w:t>
            </w:r>
            <w:r w:rsidRPr="00DD2F56">
              <w:t xml:space="preserve"> </w:t>
            </w:r>
            <w:r>
              <w:t>upřesnit, zda se vztahuje pouze na sektor průmyslu, příp. i služeb</w:t>
            </w:r>
            <w:r w:rsidR="00E56E5D">
              <w:t>.</w:t>
            </w:r>
            <w:r>
              <w:t xml:space="preserve"> To by odpovídalo zaměření OP PIK.</w:t>
            </w:r>
          </w:p>
        </w:tc>
      </w:tr>
    </w:tbl>
    <w:p w:rsidR="00CB08A7" w:rsidRPr="00801E2A" w:rsidRDefault="00CB08A7" w:rsidP="00CB08A7">
      <w:pPr>
        <w:tabs>
          <w:tab w:val="num" w:pos="720"/>
        </w:tabs>
        <w:spacing w:after="120"/>
        <w:rPr>
          <w:highlight w:val="yellow"/>
          <w:u w:val="single"/>
        </w:rPr>
      </w:pPr>
    </w:p>
    <w:p w:rsidR="00B40936" w:rsidRPr="00C33503" w:rsidRDefault="00B40936" w:rsidP="00C33503">
      <w:pPr>
        <w:pStyle w:val="Nadpis2"/>
      </w:pPr>
      <w:bookmarkStart w:id="29" w:name="_Toc392583674"/>
      <w:r w:rsidRPr="00C33503">
        <w:t>Kvantifikované výchozí hodnoty a cílové hodnoty indikátorů</w:t>
      </w:r>
      <w:bookmarkEnd w:id="29"/>
    </w:p>
    <w:p w:rsidR="00B27A2C" w:rsidRPr="002C6BB2" w:rsidRDefault="00B27A2C" w:rsidP="00B27A2C">
      <w:pPr>
        <w:tabs>
          <w:tab w:val="num" w:pos="720"/>
        </w:tabs>
        <w:spacing w:after="120"/>
        <w:rPr>
          <w:u w:val="single"/>
        </w:rPr>
      </w:pPr>
      <w:r w:rsidRPr="002C6BB2">
        <w:rPr>
          <w:u w:val="single"/>
        </w:rPr>
        <w:t>Úkol:</w:t>
      </w:r>
    </w:p>
    <w:p w:rsidR="00B27A2C" w:rsidRPr="00B27A2C" w:rsidRDefault="00B27A2C" w:rsidP="00B27A2C">
      <w:pPr>
        <w:spacing w:after="120"/>
        <w:rPr>
          <w:rFonts w:cs="Tahoma"/>
          <w:szCs w:val="20"/>
        </w:rPr>
      </w:pPr>
      <w:r>
        <w:rPr>
          <w:rFonts w:cs="Tahoma"/>
          <w:szCs w:val="20"/>
        </w:rPr>
        <w:t>P</w:t>
      </w:r>
      <w:r w:rsidRPr="00B27A2C">
        <w:rPr>
          <w:rFonts w:cs="Tahoma"/>
          <w:szCs w:val="20"/>
        </w:rPr>
        <w:t>os</w:t>
      </w:r>
      <w:r>
        <w:rPr>
          <w:rFonts w:cs="Tahoma"/>
          <w:szCs w:val="20"/>
        </w:rPr>
        <w:t>oudit</w:t>
      </w:r>
      <w:r w:rsidRPr="00B27A2C">
        <w:rPr>
          <w:rFonts w:cs="Tahoma"/>
          <w:szCs w:val="20"/>
        </w:rPr>
        <w:t xml:space="preserve">, </w:t>
      </w:r>
      <w:r>
        <w:rPr>
          <w:rFonts w:cs="Tahoma"/>
          <w:szCs w:val="20"/>
        </w:rPr>
        <w:t>zda</w:t>
      </w:r>
      <w:r w:rsidRPr="00B27A2C">
        <w:rPr>
          <w:rFonts w:cs="Tahoma"/>
          <w:szCs w:val="20"/>
        </w:rPr>
        <w:t xml:space="preserve">: </w:t>
      </w:r>
    </w:p>
    <w:p w:rsidR="00B27A2C" w:rsidRDefault="00B27A2C" w:rsidP="00C6279B">
      <w:pPr>
        <w:pStyle w:val="Odstavecseseznamem"/>
        <w:numPr>
          <w:ilvl w:val="0"/>
          <w:numId w:val="7"/>
        </w:numPr>
        <w:spacing w:after="120"/>
        <w:jc w:val="both"/>
        <w:rPr>
          <w:rFonts w:ascii="Tahoma" w:hAnsi="Tahoma" w:cs="Tahoma"/>
          <w:sz w:val="20"/>
          <w:szCs w:val="20"/>
        </w:rPr>
      </w:pPr>
      <w:r w:rsidRPr="00B27A2C">
        <w:rPr>
          <w:rFonts w:ascii="Tahoma" w:hAnsi="Tahoma" w:cs="Tahoma"/>
          <w:sz w:val="20"/>
          <w:szCs w:val="20"/>
        </w:rPr>
        <w:t>kvantifikované výcho</w:t>
      </w:r>
      <w:r>
        <w:rPr>
          <w:rFonts w:ascii="Tahoma" w:hAnsi="Tahoma" w:cs="Tahoma"/>
          <w:sz w:val="20"/>
          <w:szCs w:val="20"/>
        </w:rPr>
        <w:t>zí</w:t>
      </w:r>
      <w:r w:rsidRPr="00B27A2C">
        <w:rPr>
          <w:rFonts w:ascii="Tahoma" w:hAnsi="Tahoma" w:cs="Tahoma"/>
          <w:sz w:val="20"/>
          <w:szCs w:val="20"/>
        </w:rPr>
        <w:t xml:space="preserve"> hodnoty výsledkových</w:t>
      </w:r>
      <w:r>
        <w:rPr>
          <w:rFonts w:ascii="Tahoma" w:hAnsi="Tahoma" w:cs="Tahoma"/>
          <w:sz w:val="20"/>
          <w:szCs w:val="20"/>
        </w:rPr>
        <w:t xml:space="preserve"> indikátorů jsou </w:t>
      </w:r>
      <w:r w:rsidRPr="00B27A2C">
        <w:rPr>
          <w:rFonts w:ascii="Tahoma" w:hAnsi="Tahoma" w:cs="Tahoma"/>
          <w:sz w:val="20"/>
          <w:szCs w:val="20"/>
        </w:rPr>
        <w:t>založené</w:t>
      </w:r>
      <w:r>
        <w:rPr>
          <w:rFonts w:ascii="Tahoma" w:hAnsi="Tahoma" w:cs="Tahoma"/>
          <w:sz w:val="20"/>
          <w:szCs w:val="20"/>
        </w:rPr>
        <w:t xml:space="preserve"> na hodnově</w:t>
      </w:r>
      <w:r w:rsidRPr="00B27A2C">
        <w:rPr>
          <w:rFonts w:ascii="Tahoma" w:hAnsi="Tahoma" w:cs="Tahoma"/>
          <w:sz w:val="20"/>
          <w:szCs w:val="20"/>
        </w:rPr>
        <w:t>rný</w:t>
      </w:r>
      <w:r>
        <w:rPr>
          <w:rFonts w:ascii="Tahoma" w:hAnsi="Tahoma" w:cs="Tahoma"/>
          <w:sz w:val="20"/>
          <w:szCs w:val="20"/>
        </w:rPr>
        <w:t>ch a ne</w:t>
      </w:r>
      <w:r w:rsidRPr="00B27A2C">
        <w:rPr>
          <w:rFonts w:ascii="Tahoma" w:hAnsi="Tahoma" w:cs="Tahoma"/>
          <w:sz w:val="20"/>
          <w:szCs w:val="20"/>
        </w:rPr>
        <w:t>jaktuá</w:t>
      </w:r>
      <w:r>
        <w:rPr>
          <w:rFonts w:ascii="Tahoma" w:hAnsi="Tahoma" w:cs="Tahoma"/>
          <w:sz w:val="20"/>
          <w:szCs w:val="20"/>
        </w:rPr>
        <w:t>lně</w:t>
      </w:r>
      <w:r w:rsidRPr="00B27A2C">
        <w:rPr>
          <w:rFonts w:ascii="Tahoma" w:hAnsi="Tahoma" w:cs="Tahoma"/>
          <w:sz w:val="20"/>
          <w:szCs w:val="20"/>
        </w:rPr>
        <w:t>jších d</w:t>
      </w:r>
      <w:r>
        <w:rPr>
          <w:rFonts w:ascii="Tahoma" w:hAnsi="Tahoma" w:cs="Tahoma"/>
          <w:sz w:val="20"/>
          <w:szCs w:val="20"/>
        </w:rPr>
        <w:t>atech</w:t>
      </w:r>
      <w:r w:rsidRPr="00B27A2C">
        <w:rPr>
          <w:rFonts w:ascii="Tahoma" w:hAnsi="Tahoma" w:cs="Tahoma"/>
          <w:sz w:val="20"/>
          <w:szCs w:val="20"/>
        </w:rPr>
        <w:t>;</w:t>
      </w:r>
    </w:p>
    <w:p w:rsidR="00B27A2C" w:rsidRPr="00B27A2C" w:rsidRDefault="00B27A2C" w:rsidP="00C6279B">
      <w:pPr>
        <w:pStyle w:val="Odstavecseseznamem"/>
        <w:numPr>
          <w:ilvl w:val="0"/>
          <w:numId w:val="7"/>
        </w:numPr>
        <w:spacing w:after="120"/>
        <w:jc w:val="both"/>
        <w:rPr>
          <w:rFonts w:ascii="Tahoma" w:hAnsi="Tahoma" w:cs="Tahoma"/>
          <w:sz w:val="20"/>
          <w:szCs w:val="20"/>
        </w:rPr>
      </w:pPr>
      <w:r w:rsidRPr="00B27A2C">
        <w:rPr>
          <w:rFonts w:ascii="Tahoma" w:hAnsi="Tahoma" w:cs="Tahoma"/>
          <w:sz w:val="20"/>
          <w:szCs w:val="20"/>
        </w:rPr>
        <w:t>kvantifikované c</w:t>
      </w:r>
      <w:r>
        <w:rPr>
          <w:rFonts w:ascii="Tahoma" w:hAnsi="Tahoma" w:cs="Tahoma"/>
          <w:sz w:val="20"/>
          <w:szCs w:val="20"/>
        </w:rPr>
        <w:t>ílové</w:t>
      </w:r>
      <w:r w:rsidRPr="00B27A2C">
        <w:rPr>
          <w:rFonts w:ascii="Tahoma" w:hAnsi="Tahoma" w:cs="Tahoma"/>
          <w:sz w:val="20"/>
          <w:szCs w:val="20"/>
        </w:rPr>
        <w:t xml:space="preserve"> hodnoty</w:t>
      </w:r>
      <w:r>
        <w:rPr>
          <w:rFonts w:ascii="Tahoma" w:hAnsi="Tahoma" w:cs="Tahoma"/>
          <w:sz w:val="20"/>
          <w:szCs w:val="20"/>
        </w:rPr>
        <w:t xml:space="preserve"> indikátorů jsou </w:t>
      </w:r>
      <w:r w:rsidRPr="00B27A2C">
        <w:rPr>
          <w:rFonts w:ascii="Tahoma" w:hAnsi="Tahoma" w:cs="Tahoma"/>
          <w:sz w:val="20"/>
          <w:szCs w:val="20"/>
        </w:rPr>
        <w:t xml:space="preserve">realistické </w:t>
      </w:r>
      <w:r>
        <w:rPr>
          <w:rFonts w:ascii="Tahoma" w:hAnsi="Tahoma" w:cs="Tahoma"/>
          <w:sz w:val="20"/>
          <w:szCs w:val="20"/>
        </w:rPr>
        <w:t>s ohledem na plánovaný ro</w:t>
      </w:r>
      <w:r w:rsidRPr="00B27A2C">
        <w:rPr>
          <w:rFonts w:ascii="Tahoma" w:hAnsi="Tahoma" w:cs="Tahoma"/>
          <w:sz w:val="20"/>
          <w:szCs w:val="20"/>
        </w:rPr>
        <w:t>zsah podpor</w:t>
      </w:r>
      <w:r>
        <w:rPr>
          <w:rFonts w:ascii="Tahoma" w:hAnsi="Tahoma" w:cs="Tahoma"/>
          <w:sz w:val="20"/>
          <w:szCs w:val="20"/>
        </w:rPr>
        <w:t>y.</w:t>
      </w:r>
      <w:r w:rsidRPr="00B27A2C">
        <w:rPr>
          <w:rFonts w:ascii="Tahoma" w:hAnsi="Tahoma" w:cs="Tahoma"/>
          <w:sz w:val="20"/>
          <w:szCs w:val="20"/>
        </w:rPr>
        <w:t xml:space="preserve"> </w:t>
      </w:r>
    </w:p>
    <w:p w:rsidR="00261C04" w:rsidRPr="00022E68" w:rsidRDefault="00261C04" w:rsidP="00261C04">
      <w:pPr>
        <w:tabs>
          <w:tab w:val="num" w:pos="720"/>
        </w:tabs>
        <w:spacing w:after="120"/>
        <w:rPr>
          <w:u w:val="single"/>
        </w:rPr>
      </w:pPr>
      <w:r w:rsidRPr="00022E68">
        <w:rPr>
          <w:u w:val="single"/>
        </w:rPr>
        <w:t>Východiska:</w:t>
      </w:r>
    </w:p>
    <w:p w:rsidR="003D085A" w:rsidRPr="00CB08A7" w:rsidRDefault="003D085A" w:rsidP="003D085A">
      <w:pPr>
        <w:tabs>
          <w:tab w:val="num" w:pos="720"/>
        </w:tabs>
        <w:spacing w:after="120"/>
      </w:pPr>
      <w:r w:rsidRPr="00CB08A7">
        <w:t>Východiskem pro hodnocení j</w:t>
      </w:r>
      <w:r w:rsidR="0072448E">
        <w:t xml:space="preserve">e </w:t>
      </w:r>
      <w:r w:rsidRPr="00CB08A7">
        <w:t xml:space="preserve">především </w:t>
      </w:r>
      <w:r w:rsidR="00A2310F">
        <w:t>oddíl</w:t>
      </w:r>
      <w:r w:rsidRPr="00CB08A7">
        <w:t xml:space="preserve"> 2</w:t>
      </w:r>
      <w:r>
        <w:t xml:space="preserve"> textu programu</w:t>
      </w:r>
      <w:r w:rsidRPr="00CB08A7">
        <w:t>.</w:t>
      </w:r>
    </w:p>
    <w:p w:rsidR="00261C04" w:rsidRPr="00022E68" w:rsidRDefault="00261C04" w:rsidP="00261C04">
      <w:pPr>
        <w:tabs>
          <w:tab w:val="num" w:pos="720"/>
        </w:tabs>
        <w:spacing w:after="120"/>
        <w:rPr>
          <w:u w:val="single"/>
        </w:rPr>
      </w:pPr>
      <w:r w:rsidRPr="00022E68">
        <w:rPr>
          <w:u w:val="single"/>
        </w:rPr>
        <w:t>Zjištění v návaznosti na evaluační otázky a úkoly:</w:t>
      </w:r>
    </w:p>
    <w:tbl>
      <w:tblPr>
        <w:tblW w:w="922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06"/>
        <w:gridCol w:w="2795"/>
        <w:gridCol w:w="1559"/>
        <w:gridCol w:w="3969"/>
      </w:tblGrid>
      <w:tr w:rsidR="00261C04" w:rsidRPr="00DA7980" w:rsidTr="00490D5C">
        <w:trPr>
          <w:trHeight w:val="1350"/>
          <w:tblHeader/>
        </w:trPr>
        <w:tc>
          <w:tcPr>
            <w:tcW w:w="906" w:type="dxa"/>
            <w:shd w:val="clear" w:color="000000" w:fill="BFBFBF"/>
            <w:vAlign w:val="center"/>
            <w:hideMark/>
          </w:tcPr>
          <w:p w:rsidR="00261C04" w:rsidRPr="00DA7980" w:rsidRDefault="00261C04" w:rsidP="00261C04">
            <w:pPr>
              <w:jc w:val="center"/>
              <w:rPr>
                <w:rFonts w:ascii="Times New Roman" w:eastAsia="Times New Roman" w:hAnsi="Times New Roman" w:cs="Times New Roman"/>
                <w:b/>
                <w:bCs/>
                <w:szCs w:val="20"/>
                <w:lang w:eastAsia="cs-CZ"/>
              </w:rPr>
            </w:pPr>
            <w:proofErr w:type="spellStart"/>
            <w:r w:rsidRPr="00DA7980">
              <w:rPr>
                <w:rFonts w:ascii="Times New Roman" w:eastAsia="Times New Roman" w:hAnsi="Times New Roman" w:cs="Times New Roman"/>
                <w:b/>
                <w:bCs/>
                <w:szCs w:val="20"/>
                <w:lang w:eastAsia="cs-CZ"/>
              </w:rPr>
              <w:t>Poř</w:t>
            </w:r>
            <w:proofErr w:type="spellEnd"/>
            <w:r w:rsidRPr="00DA7980">
              <w:rPr>
                <w:rFonts w:ascii="Times New Roman" w:eastAsia="Times New Roman" w:hAnsi="Times New Roman" w:cs="Times New Roman"/>
                <w:b/>
                <w:bCs/>
                <w:szCs w:val="20"/>
                <w:lang w:eastAsia="cs-CZ"/>
              </w:rPr>
              <w:t>. č.</w:t>
            </w:r>
          </w:p>
        </w:tc>
        <w:tc>
          <w:tcPr>
            <w:tcW w:w="2795" w:type="dxa"/>
            <w:shd w:val="clear" w:color="000000" w:fill="BFBFBF"/>
            <w:vAlign w:val="center"/>
            <w:hideMark/>
          </w:tcPr>
          <w:p w:rsidR="00261C04" w:rsidRPr="00DA7980" w:rsidRDefault="00261C04" w:rsidP="00261C04">
            <w:pPr>
              <w:jc w:val="center"/>
              <w:rPr>
                <w:rFonts w:ascii="Times New Roman" w:eastAsia="Times New Roman" w:hAnsi="Times New Roman" w:cs="Times New Roman"/>
                <w:b/>
                <w:bCs/>
                <w:szCs w:val="20"/>
                <w:lang w:eastAsia="cs-CZ"/>
              </w:rPr>
            </w:pPr>
            <w:r w:rsidRPr="00DA7980">
              <w:rPr>
                <w:rFonts w:ascii="Times New Roman" w:eastAsia="Times New Roman" w:hAnsi="Times New Roman" w:cs="Times New Roman"/>
                <w:b/>
                <w:bCs/>
                <w:szCs w:val="20"/>
                <w:lang w:eastAsia="cs-CZ"/>
              </w:rPr>
              <w:t>Evaluační otázka / úkol</w:t>
            </w:r>
          </w:p>
        </w:tc>
        <w:tc>
          <w:tcPr>
            <w:tcW w:w="1559" w:type="dxa"/>
            <w:shd w:val="clear" w:color="000000" w:fill="BFBFBF"/>
            <w:vAlign w:val="center"/>
            <w:hideMark/>
          </w:tcPr>
          <w:p w:rsidR="00261C04" w:rsidRPr="00DA7980" w:rsidRDefault="00261C04" w:rsidP="005C0ADF">
            <w:pPr>
              <w:jc w:val="center"/>
              <w:rPr>
                <w:rFonts w:ascii="Times New Roman" w:eastAsia="Times New Roman" w:hAnsi="Times New Roman" w:cs="Times New Roman"/>
                <w:b/>
                <w:bCs/>
                <w:szCs w:val="20"/>
                <w:lang w:eastAsia="cs-CZ"/>
              </w:rPr>
            </w:pPr>
            <w:r w:rsidRPr="00DA7980">
              <w:rPr>
                <w:rFonts w:ascii="Times New Roman" w:eastAsia="Times New Roman" w:hAnsi="Times New Roman" w:cs="Times New Roman"/>
                <w:b/>
                <w:bCs/>
                <w:szCs w:val="20"/>
                <w:lang w:eastAsia="cs-CZ"/>
              </w:rPr>
              <w:t>Zhodnocení</w:t>
            </w:r>
            <w:r w:rsidRPr="00DA7980">
              <w:rPr>
                <w:rFonts w:ascii="Times New Roman" w:eastAsia="Times New Roman" w:hAnsi="Times New Roman" w:cs="Times New Roman"/>
                <w:b/>
                <w:bCs/>
                <w:szCs w:val="20"/>
                <w:lang w:eastAsia="cs-CZ"/>
              </w:rPr>
              <w:br/>
            </w:r>
            <w:r w:rsidRPr="00DA7980">
              <w:rPr>
                <w:rFonts w:ascii="Times New Roman" w:eastAsia="Times New Roman" w:hAnsi="Times New Roman" w:cs="Times New Roman"/>
                <w:szCs w:val="20"/>
                <w:lang w:eastAsia="cs-CZ"/>
              </w:rPr>
              <w:t>(A - Ano, SA - Spíše ano, SN - Spíše ne, N - Ne, NR - Není relevantní)</w:t>
            </w:r>
          </w:p>
        </w:tc>
        <w:tc>
          <w:tcPr>
            <w:tcW w:w="3969" w:type="dxa"/>
            <w:shd w:val="clear" w:color="000000" w:fill="BFBFBF"/>
            <w:vAlign w:val="center"/>
            <w:hideMark/>
          </w:tcPr>
          <w:p w:rsidR="00261C04" w:rsidRPr="00DA7980" w:rsidRDefault="00261C04" w:rsidP="00261C04">
            <w:pPr>
              <w:jc w:val="center"/>
              <w:rPr>
                <w:rFonts w:ascii="Times New Roman" w:eastAsia="Times New Roman" w:hAnsi="Times New Roman" w:cs="Times New Roman"/>
                <w:b/>
                <w:bCs/>
                <w:szCs w:val="20"/>
                <w:lang w:eastAsia="cs-CZ"/>
              </w:rPr>
            </w:pPr>
            <w:r w:rsidRPr="00DA7980">
              <w:rPr>
                <w:rFonts w:ascii="Times New Roman" w:eastAsia="Times New Roman" w:hAnsi="Times New Roman" w:cs="Times New Roman"/>
                <w:b/>
                <w:bCs/>
                <w:szCs w:val="20"/>
                <w:lang w:eastAsia="cs-CZ"/>
              </w:rPr>
              <w:t>Komentář, doporučení</w:t>
            </w:r>
          </w:p>
        </w:tc>
      </w:tr>
      <w:tr w:rsidR="00261C04" w:rsidRPr="00DA7980" w:rsidTr="00490D5C">
        <w:trPr>
          <w:trHeight w:val="540"/>
        </w:trPr>
        <w:tc>
          <w:tcPr>
            <w:tcW w:w="906" w:type="dxa"/>
            <w:shd w:val="clear" w:color="000000" w:fill="D7E4BC"/>
            <w:hideMark/>
          </w:tcPr>
          <w:p w:rsidR="00261C04" w:rsidRPr="00DA7980" w:rsidRDefault="00261C04"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02.4</w:t>
            </w:r>
          </w:p>
        </w:tc>
        <w:tc>
          <w:tcPr>
            <w:tcW w:w="2795" w:type="dxa"/>
            <w:shd w:val="clear" w:color="000000" w:fill="D7E4BC"/>
            <w:hideMark/>
          </w:tcPr>
          <w:p w:rsidR="00261C04" w:rsidRPr="00DA7980" w:rsidRDefault="00261C04" w:rsidP="009D7676">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 xml:space="preserve">Jsou u těch </w:t>
            </w:r>
            <w:r w:rsidR="009D7676">
              <w:rPr>
                <w:rFonts w:ascii="Times New Roman" w:eastAsia="Times New Roman" w:hAnsi="Times New Roman" w:cs="Times New Roman"/>
                <w:szCs w:val="20"/>
                <w:lang w:eastAsia="cs-CZ"/>
              </w:rPr>
              <w:t>ukazatelů</w:t>
            </w:r>
            <w:r w:rsidRPr="00DA7980">
              <w:rPr>
                <w:rFonts w:ascii="Times New Roman" w:eastAsia="Times New Roman" w:hAnsi="Times New Roman" w:cs="Times New Roman"/>
                <w:szCs w:val="20"/>
                <w:lang w:eastAsia="cs-CZ"/>
              </w:rPr>
              <w:t xml:space="preserve"> výsledku, u kterých je to relevantní, správně vyčísleny základní (výchozí) hodnoty?</w:t>
            </w:r>
          </w:p>
        </w:tc>
        <w:tc>
          <w:tcPr>
            <w:tcW w:w="1559" w:type="dxa"/>
            <w:shd w:val="clear" w:color="000000" w:fill="D7E4BC"/>
            <w:vAlign w:val="center"/>
            <w:hideMark/>
          </w:tcPr>
          <w:p w:rsidR="00261C04" w:rsidRPr="00DA7980" w:rsidRDefault="005215A5" w:rsidP="005C0ADF">
            <w:pPr>
              <w:jc w:val="center"/>
              <w:rPr>
                <w:rFonts w:ascii="Times New Roman" w:eastAsia="Times New Roman" w:hAnsi="Times New Roman" w:cs="Times New Roman"/>
                <w:bCs/>
                <w:szCs w:val="20"/>
                <w:lang w:eastAsia="cs-CZ"/>
              </w:rPr>
            </w:pPr>
            <w:r>
              <w:rPr>
                <w:rFonts w:ascii="Times New Roman" w:eastAsia="Times New Roman" w:hAnsi="Times New Roman" w:cs="Times New Roman"/>
                <w:bCs/>
                <w:szCs w:val="20"/>
                <w:lang w:eastAsia="cs-CZ"/>
              </w:rPr>
              <w:t>A</w:t>
            </w:r>
          </w:p>
        </w:tc>
        <w:tc>
          <w:tcPr>
            <w:tcW w:w="3969" w:type="dxa"/>
            <w:shd w:val="clear" w:color="000000" w:fill="D7E4BC"/>
            <w:hideMark/>
          </w:tcPr>
          <w:p w:rsidR="00261C04" w:rsidRPr="00DA7980" w:rsidRDefault="005215A5" w:rsidP="00E56E5D">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Hodnotitel se domnívá, že ukazatele </w:t>
            </w:r>
            <w:r w:rsidRPr="00DA7980">
              <w:rPr>
                <w:rFonts w:ascii="Times New Roman" w:eastAsia="Times New Roman" w:hAnsi="Times New Roman" w:cs="Times New Roman"/>
                <w:szCs w:val="20"/>
                <w:lang w:eastAsia="cs-CZ"/>
              </w:rPr>
              <w:t>výsledku</w:t>
            </w:r>
            <w:r>
              <w:rPr>
                <w:rFonts w:ascii="Times New Roman" w:eastAsia="Times New Roman" w:hAnsi="Times New Roman" w:cs="Times New Roman"/>
                <w:szCs w:val="20"/>
                <w:lang w:eastAsia="cs-CZ"/>
              </w:rPr>
              <w:t xml:space="preserve"> mají správě </w:t>
            </w:r>
            <w:r w:rsidRPr="00DA7980">
              <w:rPr>
                <w:rFonts w:ascii="Times New Roman" w:eastAsia="Times New Roman" w:hAnsi="Times New Roman" w:cs="Times New Roman"/>
                <w:szCs w:val="20"/>
                <w:lang w:eastAsia="cs-CZ"/>
              </w:rPr>
              <w:t>vyčísleny základní (výchozí) hodnoty</w:t>
            </w:r>
            <w:r>
              <w:rPr>
                <w:rFonts w:ascii="Times New Roman" w:eastAsia="Times New Roman" w:hAnsi="Times New Roman" w:cs="Times New Roman"/>
                <w:szCs w:val="20"/>
                <w:lang w:eastAsia="cs-CZ"/>
              </w:rPr>
              <w:t xml:space="preserve">, které vycházejí </w:t>
            </w:r>
            <w:r w:rsidR="00E56E5D">
              <w:rPr>
                <w:rFonts w:ascii="Times New Roman" w:eastAsia="Times New Roman" w:hAnsi="Times New Roman" w:cs="Times New Roman"/>
                <w:szCs w:val="20"/>
                <w:lang w:eastAsia="cs-CZ"/>
              </w:rPr>
              <w:t xml:space="preserve">převážně </w:t>
            </w:r>
            <w:r>
              <w:rPr>
                <w:rFonts w:ascii="Times New Roman" w:eastAsia="Times New Roman" w:hAnsi="Times New Roman" w:cs="Times New Roman"/>
                <w:szCs w:val="20"/>
                <w:lang w:eastAsia="cs-CZ"/>
              </w:rPr>
              <w:t xml:space="preserve">z oficiálních informačních </w:t>
            </w:r>
            <w:r w:rsidR="00E56E5D">
              <w:rPr>
                <w:rFonts w:ascii="Times New Roman" w:eastAsia="Times New Roman" w:hAnsi="Times New Roman" w:cs="Times New Roman"/>
                <w:szCs w:val="20"/>
                <w:lang w:eastAsia="cs-CZ"/>
              </w:rPr>
              <w:t xml:space="preserve">a statistických </w:t>
            </w:r>
            <w:r>
              <w:rPr>
                <w:rFonts w:ascii="Times New Roman" w:eastAsia="Times New Roman" w:hAnsi="Times New Roman" w:cs="Times New Roman"/>
                <w:szCs w:val="20"/>
                <w:lang w:eastAsia="cs-CZ"/>
              </w:rPr>
              <w:t>zdrojů (ČSÚ, evropský statistický systém aj.)</w:t>
            </w:r>
            <w:r w:rsidR="00E56E5D">
              <w:rPr>
                <w:rFonts w:ascii="Times New Roman" w:eastAsia="Times New Roman" w:hAnsi="Times New Roman" w:cs="Times New Roman"/>
                <w:szCs w:val="20"/>
                <w:lang w:eastAsia="cs-CZ"/>
              </w:rPr>
              <w:t>.</w:t>
            </w:r>
          </w:p>
        </w:tc>
      </w:tr>
      <w:tr w:rsidR="00261C04" w:rsidRPr="00DA7980" w:rsidTr="00490D5C">
        <w:trPr>
          <w:trHeight w:val="540"/>
        </w:trPr>
        <w:tc>
          <w:tcPr>
            <w:tcW w:w="906" w:type="dxa"/>
            <w:shd w:val="clear" w:color="000000" w:fill="D7E4BC"/>
            <w:hideMark/>
          </w:tcPr>
          <w:p w:rsidR="00261C04" w:rsidRPr="00DA7980" w:rsidRDefault="00261C04"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02.5</w:t>
            </w:r>
          </w:p>
        </w:tc>
        <w:tc>
          <w:tcPr>
            <w:tcW w:w="2795" w:type="dxa"/>
            <w:shd w:val="clear" w:color="000000" w:fill="D7E4BC"/>
            <w:hideMark/>
          </w:tcPr>
          <w:p w:rsidR="00261C04" w:rsidRPr="00DA7980" w:rsidRDefault="00261C04" w:rsidP="009D7676">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 xml:space="preserve">Jsou vyčíslené cílové hodnoty </w:t>
            </w:r>
            <w:r w:rsidR="009D7676">
              <w:rPr>
                <w:rFonts w:ascii="Times New Roman" w:eastAsia="Times New Roman" w:hAnsi="Times New Roman" w:cs="Times New Roman"/>
                <w:szCs w:val="20"/>
                <w:lang w:eastAsia="cs-CZ"/>
              </w:rPr>
              <w:t>ukazatelů</w:t>
            </w:r>
            <w:r w:rsidRPr="00DA7980">
              <w:rPr>
                <w:rFonts w:ascii="Times New Roman" w:eastAsia="Times New Roman" w:hAnsi="Times New Roman" w:cs="Times New Roman"/>
                <w:szCs w:val="20"/>
                <w:lang w:eastAsia="cs-CZ"/>
              </w:rPr>
              <w:t xml:space="preserve"> výstupu a výsledku realistické s ohledem na plánovanou výši podpory?</w:t>
            </w:r>
          </w:p>
        </w:tc>
        <w:tc>
          <w:tcPr>
            <w:tcW w:w="1559" w:type="dxa"/>
            <w:shd w:val="clear" w:color="000000" w:fill="D7E4BC"/>
            <w:vAlign w:val="center"/>
            <w:hideMark/>
          </w:tcPr>
          <w:p w:rsidR="00261C04" w:rsidRPr="00DA7980" w:rsidRDefault="009D7676" w:rsidP="005C0ADF">
            <w:pPr>
              <w:jc w:val="center"/>
              <w:rPr>
                <w:rFonts w:ascii="Times New Roman" w:eastAsia="Times New Roman" w:hAnsi="Times New Roman" w:cs="Times New Roman"/>
                <w:bCs/>
                <w:szCs w:val="20"/>
                <w:lang w:eastAsia="cs-CZ"/>
              </w:rPr>
            </w:pPr>
            <w:r>
              <w:rPr>
                <w:rFonts w:ascii="Times New Roman" w:eastAsia="Times New Roman" w:hAnsi="Times New Roman" w:cs="Times New Roman"/>
                <w:bCs/>
                <w:szCs w:val="20"/>
                <w:lang w:eastAsia="cs-CZ"/>
              </w:rPr>
              <w:t>S</w:t>
            </w:r>
            <w:r w:rsidR="005215A5">
              <w:rPr>
                <w:rFonts w:ascii="Times New Roman" w:eastAsia="Times New Roman" w:hAnsi="Times New Roman" w:cs="Times New Roman"/>
                <w:bCs/>
                <w:szCs w:val="20"/>
                <w:lang w:eastAsia="cs-CZ"/>
              </w:rPr>
              <w:t>A</w:t>
            </w:r>
          </w:p>
        </w:tc>
        <w:tc>
          <w:tcPr>
            <w:tcW w:w="3969" w:type="dxa"/>
            <w:shd w:val="clear" w:color="000000" w:fill="D7E4BC"/>
            <w:hideMark/>
          </w:tcPr>
          <w:p w:rsidR="005215A5" w:rsidRDefault="005215A5" w:rsidP="007160CA">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Hodnotitel se domnívá, že </w:t>
            </w:r>
            <w:r w:rsidRPr="00DA7980">
              <w:rPr>
                <w:rFonts w:ascii="Times New Roman" w:eastAsia="Times New Roman" w:hAnsi="Times New Roman" w:cs="Times New Roman"/>
                <w:szCs w:val="20"/>
                <w:lang w:eastAsia="cs-CZ"/>
              </w:rPr>
              <w:t xml:space="preserve">vyčíslené cílové hodnoty indikátorů výstupu a výsledku </w:t>
            </w:r>
            <w:r>
              <w:rPr>
                <w:rFonts w:ascii="Times New Roman" w:eastAsia="Times New Roman" w:hAnsi="Times New Roman" w:cs="Times New Roman"/>
                <w:szCs w:val="20"/>
                <w:lang w:eastAsia="cs-CZ"/>
              </w:rPr>
              <w:t xml:space="preserve">lze považovat za </w:t>
            </w:r>
            <w:r w:rsidRPr="00DA7980">
              <w:rPr>
                <w:rFonts w:ascii="Times New Roman" w:eastAsia="Times New Roman" w:hAnsi="Times New Roman" w:cs="Times New Roman"/>
                <w:szCs w:val="20"/>
                <w:lang w:eastAsia="cs-CZ"/>
              </w:rPr>
              <w:t>realistické s ohl</w:t>
            </w:r>
            <w:r>
              <w:rPr>
                <w:rFonts w:ascii="Times New Roman" w:eastAsia="Times New Roman" w:hAnsi="Times New Roman" w:cs="Times New Roman"/>
                <w:szCs w:val="20"/>
                <w:lang w:eastAsia="cs-CZ"/>
              </w:rPr>
              <w:t>edem na plánovanou výši podpory.</w:t>
            </w:r>
          </w:p>
          <w:p w:rsidR="003E3434" w:rsidRPr="00DA7980" w:rsidRDefault="00954A34" w:rsidP="003E3434">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C</w:t>
            </w:r>
            <w:r w:rsidR="000E7BC8" w:rsidRPr="00DA7980">
              <w:rPr>
                <w:rFonts w:ascii="Times New Roman" w:eastAsia="Times New Roman" w:hAnsi="Times New Roman" w:cs="Times New Roman"/>
                <w:szCs w:val="20"/>
                <w:lang w:eastAsia="cs-CZ"/>
              </w:rPr>
              <w:t xml:space="preserve">ílové hodnoty </w:t>
            </w:r>
            <w:r w:rsidR="005215A5">
              <w:rPr>
                <w:rFonts w:ascii="Times New Roman" w:eastAsia="Times New Roman" w:hAnsi="Times New Roman" w:cs="Times New Roman"/>
                <w:szCs w:val="20"/>
                <w:lang w:eastAsia="cs-CZ"/>
              </w:rPr>
              <w:t>ukazatelů</w:t>
            </w:r>
            <w:r w:rsidRPr="00DA7980">
              <w:rPr>
                <w:rFonts w:ascii="Times New Roman" w:eastAsia="Times New Roman" w:hAnsi="Times New Roman" w:cs="Times New Roman"/>
                <w:szCs w:val="20"/>
                <w:lang w:eastAsia="cs-CZ"/>
              </w:rPr>
              <w:t xml:space="preserve"> ovšem </w:t>
            </w:r>
            <w:r w:rsidR="00F45B23" w:rsidRPr="00DA7980">
              <w:rPr>
                <w:rFonts w:ascii="Times New Roman" w:eastAsia="Times New Roman" w:hAnsi="Times New Roman" w:cs="Times New Roman"/>
                <w:szCs w:val="20"/>
                <w:lang w:eastAsia="cs-CZ"/>
              </w:rPr>
              <w:t>ne</w:t>
            </w:r>
            <w:r w:rsidR="000E7BC8" w:rsidRPr="00DA7980">
              <w:rPr>
                <w:rFonts w:ascii="Times New Roman" w:eastAsia="Times New Roman" w:hAnsi="Times New Roman" w:cs="Times New Roman"/>
                <w:szCs w:val="20"/>
                <w:lang w:eastAsia="cs-CZ"/>
              </w:rPr>
              <w:t>lze</w:t>
            </w:r>
            <w:r w:rsidRPr="00DA7980">
              <w:rPr>
                <w:rFonts w:ascii="Times New Roman" w:eastAsia="Times New Roman" w:hAnsi="Times New Roman" w:cs="Times New Roman"/>
                <w:szCs w:val="20"/>
                <w:lang w:eastAsia="cs-CZ"/>
              </w:rPr>
              <w:t xml:space="preserve"> považovat </w:t>
            </w:r>
            <w:r w:rsidR="000E7BC8" w:rsidRPr="00DA7980">
              <w:rPr>
                <w:rFonts w:ascii="Times New Roman" w:eastAsia="Times New Roman" w:hAnsi="Times New Roman" w:cs="Times New Roman"/>
                <w:szCs w:val="20"/>
                <w:lang w:eastAsia="cs-CZ"/>
              </w:rPr>
              <w:t xml:space="preserve">za definitivní a </w:t>
            </w:r>
            <w:r w:rsidRPr="00DA7980">
              <w:rPr>
                <w:rFonts w:ascii="Times New Roman" w:eastAsia="Times New Roman" w:hAnsi="Times New Roman" w:cs="Times New Roman"/>
                <w:szCs w:val="20"/>
                <w:lang w:eastAsia="cs-CZ"/>
              </w:rPr>
              <w:t>dá se</w:t>
            </w:r>
            <w:r w:rsidR="000E7BC8" w:rsidRPr="00DA7980">
              <w:rPr>
                <w:rFonts w:ascii="Times New Roman" w:eastAsia="Times New Roman" w:hAnsi="Times New Roman" w:cs="Times New Roman"/>
                <w:szCs w:val="20"/>
                <w:lang w:eastAsia="cs-CZ"/>
              </w:rPr>
              <w:t xml:space="preserve"> předpoklád</w:t>
            </w:r>
            <w:r w:rsidRPr="00DA7980">
              <w:rPr>
                <w:rFonts w:ascii="Times New Roman" w:eastAsia="Times New Roman" w:hAnsi="Times New Roman" w:cs="Times New Roman"/>
                <w:szCs w:val="20"/>
                <w:lang w:eastAsia="cs-CZ"/>
              </w:rPr>
              <w:t>at</w:t>
            </w:r>
            <w:r w:rsidR="000E7BC8" w:rsidRPr="00DA7980">
              <w:rPr>
                <w:rFonts w:ascii="Times New Roman" w:eastAsia="Times New Roman" w:hAnsi="Times New Roman" w:cs="Times New Roman"/>
                <w:szCs w:val="20"/>
                <w:lang w:eastAsia="cs-CZ"/>
              </w:rPr>
              <w:t>, že v dalším průběhu příprav</w:t>
            </w:r>
            <w:r w:rsidR="005215A5">
              <w:rPr>
                <w:rFonts w:ascii="Times New Roman" w:eastAsia="Times New Roman" w:hAnsi="Times New Roman" w:cs="Times New Roman"/>
                <w:szCs w:val="20"/>
                <w:lang w:eastAsia="cs-CZ"/>
              </w:rPr>
              <w:t xml:space="preserve"> i následné implementace</w:t>
            </w:r>
            <w:r w:rsidR="000E7BC8" w:rsidRPr="00DA7980">
              <w:rPr>
                <w:rFonts w:ascii="Times New Roman" w:eastAsia="Times New Roman" w:hAnsi="Times New Roman" w:cs="Times New Roman"/>
                <w:szCs w:val="20"/>
                <w:lang w:eastAsia="cs-CZ"/>
              </w:rPr>
              <w:t xml:space="preserve"> programu budou dále zpřesňovány. </w:t>
            </w:r>
          </w:p>
          <w:p w:rsidR="003E3434" w:rsidRPr="00DA7980" w:rsidRDefault="003E3434" w:rsidP="009D7676">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V</w:t>
            </w:r>
            <w:r w:rsidR="005215A5">
              <w:rPr>
                <w:rFonts w:ascii="Times New Roman" w:eastAsia="Times New Roman" w:hAnsi="Times New Roman" w:cs="Times New Roman"/>
                <w:szCs w:val="20"/>
                <w:lang w:eastAsia="cs-CZ"/>
              </w:rPr>
              <w:t> </w:t>
            </w:r>
            <w:r w:rsidRPr="00DA7980">
              <w:rPr>
                <w:rFonts w:ascii="Times New Roman" w:eastAsia="Times New Roman" w:hAnsi="Times New Roman" w:cs="Times New Roman"/>
                <w:szCs w:val="20"/>
                <w:lang w:eastAsia="cs-CZ"/>
              </w:rPr>
              <w:t>případě</w:t>
            </w:r>
            <w:r w:rsidR="005215A5">
              <w:rPr>
                <w:rFonts w:ascii="Times New Roman" w:eastAsia="Times New Roman" w:hAnsi="Times New Roman" w:cs="Times New Roman"/>
                <w:szCs w:val="20"/>
                <w:lang w:eastAsia="cs-CZ"/>
              </w:rPr>
              <w:t xml:space="preserve"> cílových hodnot</w:t>
            </w:r>
            <w:r w:rsidRPr="00DA7980">
              <w:rPr>
                <w:rFonts w:ascii="Times New Roman" w:eastAsia="Times New Roman" w:hAnsi="Times New Roman" w:cs="Times New Roman"/>
                <w:szCs w:val="20"/>
                <w:lang w:eastAsia="cs-CZ"/>
              </w:rPr>
              <w:t xml:space="preserve"> </w:t>
            </w:r>
            <w:r w:rsidR="005215A5">
              <w:rPr>
                <w:rFonts w:ascii="Times New Roman" w:eastAsia="Times New Roman" w:hAnsi="Times New Roman" w:cs="Times New Roman"/>
                <w:szCs w:val="20"/>
                <w:lang w:eastAsia="cs-CZ"/>
              </w:rPr>
              <w:t>ukazatelů</w:t>
            </w:r>
            <w:r w:rsidRPr="00DA7980">
              <w:rPr>
                <w:rFonts w:ascii="Times New Roman" w:eastAsia="Times New Roman" w:hAnsi="Times New Roman" w:cs="Times New Roman"/>
                <w:szCs w:val="20"/>
                <w:lang w:eastAsia="cs-CZ"/>
              </w:rPr>
              <w:t xml:space="preserve"> výsledk</w:t>
            </w:r>
            <w:r w:rsidR="006A7056">
              <w:rPr>
                <w:rFonts w:ascii="Times New Roman" w:eastAsia="Times New Roman" w:hAnsi="Times New Roman" w:cs="Times New Roman"/>
                <w:szCs w:val="20"/>
                <w:lang w:eastAsia="cs-CZ"/>
              </w:rPr>
              <w:t>ů</w:t>
            </w:r>
            <w:r w:rsidR="005215A5">
              <w:rPr>
                <w:rFonts w:ascii="Times New Roman" w:eastAsia="Times New Roman" w:hAnsi="Times New Roman" w:cs="Times New Roman"/>
                <w:szCs w:val="20"/>
                <w:lang w:eastAsia="cs-CZ"/>
              </w:rPr>
              <w:t xml:space="preserve"> budou mít na jejich (ne)dosažení vliv další faktory mimo OP PIK. Ty by měly být v rámci jednotlivých specifických cílů identifikovány.</w:t>
            </w:r>
          </w:p>
        </w:tc>
      </w:tr>
    </w:tbl>
    <w:p w:rsidR="003C7B7C" w:rsidRDefault="003C7B7C" w:rsidP="0087255C">
      <w:pPr>
        <w:spacing w:after="120"/>
        <w:rPr>
          <w:rFonts w:cs="Tahoma"/>
          <w:szCs w:val="20"/>
        </w:rPr>
      </w:pPr>
    </w:p>
    <w:p w:rsidR="00B40936" w:rsidRPr="00C33503" w:rsidRDefault="00B40936" w:rsidP="00C33503">
      <w:pPr>
        <w:pStyle w:val="Nadpis2"/>
      </w:pPr>
      <w:bookmarkStart w:id="30" w:name="_Toc392583675"/>
      <w:r w:rsidRPr="00C33503">
        <w:t>Vhodnost stanovených milníků</w:t>
      </w:r>
      <w:bookmarkEnd w:id="30"/>
    </w:p>
    <w:p w:rsidR="008B2BBB" w:rsidRPr="002C6BB2" w:rsidRDefault="008B2BBB" w:rsidP="008B2BBB">
      <w:pPr>
        <w:tabs>
          <w:tab w:val="num" w:pos="720"/>
        </w:tabs>
        <w:spacing w:after="120"/>
        <w:rPr>
          <w:u w:val="single"/>
        </w:rPr>
      </w:pPr>
      <w:r w:rsidRPr="002C6BB2">
        <w:rPr>
          <w:u w:val="single"/>
        </w:rPr>
        <w:t>Úkol:</w:t>
      </w:r>
    </w:p>
    <w:p w:rsidR="008B2BBB" w:rsidRPr="008B2BBB" w:rsidRDefault="008B2BBB" w:rsidP="008B2BBB">
      <w:pPr>
        <w:spacing w:after="120"/>
        <w:rPr>
          <w:rFonts w:cs="Tahoma"/>
          <w:szCs w:val="20"/>
        </w:rPr>
      </w:pPr>
      <w:r>
        <w:rPr>
          <w:rFonts w:cs="Tahoma"/>
          <w:szCs w:val="20"/>
        </w:rPr>
        <w:t>Posoudit, zda indikátory v</w:t>
      </w:r>
      <w:r w:rsidRPr="008B2BBB">
        <w:rPr>
          <w:rFonts w:cs="Tahoma"/>
          <w:szCs w:val="20"/>
        </w:rPr>
        <w:t>ybrané</w:t>
      </w:r>
      <w:r>
        <w:rPr>
          <w:rFonts w:cs="Tahoma"/>
          <w:szCs w:val="20"/>
        </w:rPr>
        <w:t xml:space="preserve"> jako milníky pro výkonnostní rámec jsou </w:t>
      </w:r>
      <w:r w:rsidRPr="008B2BBB">
        <w:rPr>
          <w:rFonts w:cs="Tahoma"/>
          <w:szCs w:val="20"/>
        </w:rPr>
        <w:t>vhodné.</w:t>
      </w:r>
    </w:p>
    <w:p w:rsidR="0028521C" w:rsidRPr="00BD6894" w:rsidRDefault="0028521C" w:rsidP="0028521C">
      <w:pPr>
        <w:tabs>
          <w:tab w:val="num" w:pos="720"/>
        </w:tabs>
        <w:spacing w:after="120"/>
        <w:rPr>
          <w:u w:val="single"/>
        </w:rPr>
      </w:pPr>
      <w:r w:rsidRPr="00BD6894">
        <w:rPr>
          <w:u w:val="single"/>
        </w:rPr>
        <w:t>Východiska:</w:t>
      </w:r>
    </w:p>
    <w:p w:rsidR="0028521C" w:rsidRDefault="0028521C" w:rsidP="0028521C">
      <w:pPr>
        <w:tabs>
          <w:tab w:val="num" w:pos="720"/>
        </w:tabs>
        <w:spacing w:after="120"/>
      </w:pPr>
      <w:r w:rsidRPr="00BD6894">
        <w:t xml:space="preserve">Východiskem pro hodnocení je především </w:t>
      </w:r>
      <w:r w:rsidR="00A2310F">
        <w:t>oddíl</w:t>
      </w:r>
      <w:r w:rsidRPr="00BD6894">
        <w:t xml:space="preserve"> </w:t>
      </w:r>
      <w:r w:rsidR="00BD6894" w:rsidRPr="00BD6894">
        <w:t>2, kter</w:t>
      </w:r>
      <w:r w:rsidR="00A2310F">
        <w:t>ý</w:t>
      </w:r>
      <w:r w:rsidR="00BD6894" w:rsidRPr="00BD6894">
        <w:t xml:space="preserve"> obsahuje tabulkové přehledy výkonnostních rámců na úrovni prioritních os. </w:t>
      </w:r>
    </w:p>
    <w:p w:rsidR="00F21883" w:rsidRPr="00BD6894" w:rsidRDefault="00F21883" w:rsidP="0028521C">
      <w:pPr>
        <w:tabs>
          <w:tab w:val="num" w:pos="720"/>
        </w:tabs>
        <w:spacing w:after="120"/>
      </w:pPr>
    </w:p>
    <w:p w:rsidR="0028521C" w:rsidRPr="00022E68" w:rsidRDefault="0028521C" w:rsidP="0028521C">
      <w:pPr>
        <w:tabs>
          <w:tab w:val="num" w:pos="720"/>
        </w:tabs>
        <w:spacing w:after="120"/>
        <w:rPr>
          <w:u w:val="single"/>
        </w:rPr>
      </w:pPr>
      <w:r w:rsidRPr="00022E68">
        <w:rPr>
          <w:u w:val="single"/>
        </w:rPr>
        <w:lastRenderedPageBreak/>
        <w:t>Zjištění v návaznosti na evaluační otázky a úkoly:</w:t>
      </w:r>
    </w:p>
    <w:tbl>
      <w:tblPr>
        <w:tblW w:w="922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06"/>
        <w:gridCol w:w="2795"/>
        <w:gridCol w:w="1698"/>
        <w:gridCol w:w="3830"/>
      </w:tblGrid>
      <w:tr w:rsidR="0028521C" w:rsidRPr="00DA7980" w:rsidTr="00BA7678">
        <w:trPr>
          <w:trHeight w:val="1350"/>
          <w:tblHeader/>
        </w:trPr>
        <w:tc>
          <w:tcPr>
            <w:tcW w:w="906" w:type="dxa"/>
            <w:shd w:val="clear" w:color="000000" w:fill="BFBFBF"/>
            <w:vAlign w:val="center"/>
            <w:hideMark/>
          </w:tcPr>
          <w:p w:rsidR="0028521C" w:rsidRPr="00DA7980" w:rsidRDefault="0028521C" w:rsidP="0028521C">
            <w:pPr>
              <w:jc w:val="center"/>
              <w:rPr>
                <w:rFonts w:ascii="Times New Roman" w:eastAsia="Times New Roman" w:hAnsi="Times New Roman" w:cs="Times New Roman"/>
                <w:b/>
                <w:bCs/>
                <w:szCs w:val="20"/>
                <w:lang w:eastAsia="cs-CZ"/>
              </w:rPr>
            </w:pPr>
            <w:proofErr w:type="spellStart"/>
            <w:r w:rsidRPr="00DA7980">
              <w:rPr>
                <w:rFonts w:ascii="Times New Roman" w:eastAsia="Times New Roman" w:hAnsi="Times New Roman" w:cs="Times New Roman"/>
                <w:b/>
                <w:bCs/>
                <w:szCs w:val="20"/>
                <w:lang w:eastAsia="cs-CZ"/>
              </w:rPr>
              <w:t>Poř</w:t>
            </w:r>
            <w:proofErr w:type="spellEnd"/>
            <w:r w:rsidRPr="00DA7980">
              <w:rPr>
                <w:rFonts w:ascii="Times New Roman" w:eastAsia="Times New Roman" w:hAnsi="Times New Roman" w:cs="Times New Roman"/>
                <w:b/>
                <w:bCs/>
                <w:szCs w:val="20"/>
                <w:lang w:eastAsia="cs-CZ"/>
              </w:rPr>
              <w:t>. č.</w:t>
            </w:r>
          </w:p>
        </w:tc>
        <w:tc>
          <w:tcPr>
            <w:tcW w:w="2795" w:type="dxa"/>
            <w:shd w:val="clear" w:color="000000" w:fill="BFBFBF"/>
            <w:vAlign w:val="center"/>
            <w:hideMark/>
          </w:tcPr>
          <w:p w:rsidR="0028521C" w:rsidRPr="00DA7980" w:rsidRDefault="0028521C" w:rsidP="0028521C">
            <w:pPr>
              <w:jc w:val="center"/>
              <w:rPr>
                <w:rFonts w:ascii="Times New Roman" w:eastAsia="Times New Roman" w:hAnsi="Times New Roman" w:cs="Times New Roman"/>
                <w:b/>
                <w:bCs/>
                <w:szCs w:val="20"/>
                <w:lang w:eastAsia="cs-CZ"/>
              </w:rPr>
            </w:pPr>
            <w:r w:rsidRPr="00DA7980">
              <w:rPr>
                <w:rFonts w:ascii="Times New Roman" w:eastAsia="Times New Roman" w:hAnsi="Times New Roman" w:cs="Times New Roman"/>
                <w:b/>
                <w:bCs/>
                <w:szCs w:val="20"/>
                <w:lang w:eastAsia="cs-CZ"/>
              </w:rPr>
              <w:t>Evaluační otázka / úkol</w:t>
            </w:r>
          </w:p>
        </w:tc>
        <w:tc>
          <w:tcPr>
            <w:tcW w:w="1698" w:type="dxa"/>
            <w:shd w:val="clear" w:color="000000" w:fill="BFBFBF"/>
            <w:vAlign w:val="center"/>
            <w:hideMark/>
          </w:tcPr>
          <w:p w:rsidR="0028521C" w:rsidRPr="00DA7980" w:rsidRDefault="0028521C" w:rsidP="005C0ADF">
            <w:pPr>
              <w:jc w:val="center"/>
              <w:rPr>
                <w:rFonts w:ascii="Times New Roman" w:eastAsia="Times New Roman" w:hAnsi="Times New Roman" w:cs="Times New Roman"/>
                <w:b/>
                <w:bCs/>
                <w:szCs w:val="20"/>
                <w:lang w:eastAsia="cs-CZ"/>
              </w:rPr>
            </w:pPr>
            <w:r w:rsidRPr="00DA7980">
              <w:rPr>
                <w:rFonts w:ascii="Times New Roman" w:eastAsia="Times New Roman" w:hAnsi="Times New Roman" w:cs="Times New Roman"/>
                <w:b/>
                <w:bCs/>
                <w:szCs w:val="20"/>
                <w:lang w:eastAsia="cs-CZ"/>
              </w:rPr>
              <w:t>Zhodnocení</w:t>
            </w:r>
            <w:r w:rsidRPr="00DA7980">
              <w:rPr>
                <w:rFonts w:ascii="Times New Roman" w:eastAsia="Times New Roman" w:hAnsi="Times New Roman" w:cs="Times New Roman"/>
                <w:b/>
                <w:bCs/>
                <w:szCs w:val="20"/>
                <w:lang w:eastAsia="cs-CZ"/>
              </w:rPr>
              <w:br/>
            </w:r>
            <w:r w:rsidRPr="00DA7980">
              <w:rPr>
                <w:rFonts w:ascii="Times New Roman" w:eastAsia="Times New Roman" w:hAnsi="Times New Roman" w:cs="Times New Roman"/>
                <w:szCs w:val="20"/>
                <w:lang w:eastAsia="cs-CZ"/>
              </w:rPr>
              <w:t>(A - Ano, SA - Spíše ano, SN - Spíše ne, N - Ne, NR - Není relevantní)</w:t>
            </w:r>
          </w:p>
        </w:tc>
        <w:tc>
          <w:tcPr>
            <w:tcW w:w="3830" w:type="dxa"/>
            <w:shd w:val="clear" w:color="000000" w:fill="BFBFBF"/>
            <w:vAlign w:val="center"/>
            <w:hideMark/>
          </w:tcPr>
          <w:p w:rsidR="0028521C" w:rsidRPr="00DA7980" w:rsidRDefault="0028521C" w:rsidP="0028521C">
            <w:pPr>
              <w:jc w:val="center"/>
              <w:rPr>
                <w:rFonts w:ascii="Times New Roman" w:eastAsia="Times New Roman" w:hAnsi="Times New Roman" w:cs="Times New Roman"/>
                <w:b/>
                <w:bCs/>
                <w:szCs w:val="20"/>
                <w:lang w:eastAsia="cs-CZ"/>
              </w:rPr>
            </w:pPr>
            <w:r w:rsidRPr="00DA7980">
              <w:rPr>
                <w:rFonts w:ascii="Times New Roman" w:eastAsia="Times New Roman" w:hAnsi="Times New Roman" w:cs="Times New Roman"/>
                <w:b/>
                <w:bCs/>
                <w:szCs w:val="20"/>
                <w:lang w:eastAsia="cs-CZ"/>
              </w:rPr>
              <w:t>Komentář, doporučení</w:t>
            </w:r>
          </w:p>
        </w:tc>
      </w:tr>
      <w:tr w:rsidR="0028521C" w:rsidRPr="00DA7980" w:rsidTr="00BA7678">
        <w:trPr>
          <w:trHeight w:val="471"/>
        </w:trPr>
        <w:tc>
          <w:tcPr>
            <w:tcW w:w="906" w:type="dxa"/>
            <w:shd w:val="clear" w:color="000000" w:fill="EAF1DD"/>
            <w:hideMark/>
          </w:tcPr>
          <w:p w:rsidR="0028521C" w:rsidRPr="00DA7980" w:rsidRDefault="0028521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02.6</w:t>
            </w:r>
          </w:p>
        </w:tc>
        <w:tc>
          <w:tcPr>
            <w:tcW w:w="2795" w:type="dxa"/>
            <w:shd w:val="clear" w:color="000000" w:fill="EAF1DD"/>
            <w:hideMark/>
          </w:tcPr>
          <w:p w:rsidR="0028521C" w:rsidRPr="00DA7980" w:rsidRDefault="0028521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Jsou pro každou prioritní osu stanoveny vhodné monitorovací indikátory a další ukazatele (např. finančního čerpání) jako milníky pro výkonnostní rámec?</w:t>
            </w:r>
          </w:p>
        </w:tc>
        <w:tc>
          <w:tcPr>
            <w:tcW w:w="1698" w:type="dxa"/>
            <w:shd w:val="clear" w:color="000000" w:fill="EAF1DD"/>
            <w:vAlign w:val="center"/>
            <w:hideMark/>
          </w:tcPr>
          <w:p w:rsidR="0028521C" w:rsidRPr="00DA7980" w:rsidRDefault="00FB5422" w:rsidP="005C0ADF">
            <w:pPr>
              <w:jc w:val="cente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A</w:t>
            </w:r>
          </w:p>
        </w:tc>
        <w:tc>
          <w:tcPr>
            <w:tcW w:w="3830" w:type="dxa"/>
            <w:shd w:val="clear" w:color="000000" w:fill="EAF1DD"/>
            <w:hideMark/>
          </w:tcPr>
          <w:p w:rsidR="0028521C" w:rsidRPr="00DA7980" w:rsidRDefault="00BD6894" w:rsidP="005215A5">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 xml:space="preserve">Dle </w:t>
            </w:r>
            <w:r w:rsidR="000A2A73" w:rsidRPr="00DA7980">
              <w:rPr>
                <w:rFonts w:ascii="Times New Roman" w:eastAsia="Times New Roman" w:hAnsi="Times New Roman" w:cs="Times New Roman"/>
                <w:szCs w:val="20"/>
                <w:lang w:eastAsia="cs-CZ"/>
              </w:rPr>
              <w:t>názoru hodnotitele jsou pro prioritní osy OP PIK stanoveny takové ukazatele, které splňují metodické požadavky na milníky pro výkonn</w:t>
            </w:r>
            <w:r w:rsidRPr="00DA7980">
              <w:rPr>
                <w:rFonts w:ascii="Times New Roman" w:eastAsia="Times New Roman" w:hAnsi="Times New Roman" w:cs="Times New Roman"/>
                <w:szCs w:val="20"/>
                <w:lang w:eastAsia="cs-CZ"/>
              </w:rPr>
              <w:t>ostní rámec</w:t>
            </w:r>
            <w:r w:rsidR="00425819" w:rsidRPr="00DA7980">
              <w:rPr>
                <w:rFonts w:ascii="Times New Roman" w:eastAsia="Times New Roman" w:hAnsi="Times New Roman" w:cs="Times New Roman"/>
                <w:szCs w:val="20"/>
                <w:lang w:eastAsia="cs-CZ"/>
              </w:rPr>
              <w:t>.</w:t>
            </w:r>
            <w:r w:rsidRPr="00DA7980">
              <w:rPr>
                <w:rFonts w:ascii="Times New Roman" w:eastAsia="Times New Roman" w:hAnsi="Times New Roman" w:cs="Times New Roman"/>
                <w:szCs w:val="20"/>
                <w:lang w:eastAsia="cs-CZ"/>
              </w:rPr>
              <w:t xml:space="preserve"> </w:t>
            </w:r>
          </w:p>
        </w:tc>
      </w:tr>
      <w:tr w:rsidR="0028521C" w:rsidRPr="00DA7980" w:rsidTr="00BA7678">
        <w:trPr>
          <w:trHeight w:val="270"/>
        </w:trPr>
        <w:tc>
          <w:tcPr>
            <w:tcW w:w="906" w:type="dxa"/>
            <w:shd w:val="clear" w:color="auto" w:fill="EAF1DD" w:themeFill="accent3" w:themeFillTint="33"/>
            <w:hideMark/>
          </w:tcPr>
          <w:p w:rsidR="0028521C" w:rsidRPr="00DA7980" w:rsidRDefault="0028521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02.7</w:t>
            </w:r>
          </w:p>
        </w:tc>
        <w:tc>
          <w:tcPr>
            <w:tcW w:w="2795" w:type="dxa"/>
            <w:shd w:val="clear" w:color="auto" w:fill="EAF1DD" w:themeFill="accent3" w:themeFillTint="33"/>
            <w:hideMark/>
          </w:tcPr>
          <w:p w:rsidR="0028521C" w:rsidRPr="00DA7980" w:rsidRDefault="0028521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Jsou navržené cílové hodnoty milníků realistické?</w:t>
            </w:r>
          </w:p>
        </w:tc>
        <w:tc>
          <w:tcPr>
            <w:tcW w:w="1698" w:type="dxa"/>
            <w:shd w:val="clear" w:color="auto" w:fill="EAF1DD" w:themeFill="accent3" w:themeFillTint="33"/>
            <w:vAlign w:val="center"/>
            <w:hideMark/>
          </w:tcPr>
          <w:p w:rsidR="0028521C" w:rsidRPr="00DA7980" w:rsidRDefault="002D1A0E" w:rsidP="005C0ADF">
            <w:pPr>
              <w:jc w:val="cente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A</w:t>
            </w:r>
          </w:p>
        </w:tc>
        <w:tc>
          <w:tcPr>
            <w:tcW w:w="3830" w:type="dxa"/>
            <w:shd w:val="clear" w:color="auto" w:fill="EAF1DD" w:themeFill="accent3" w:themeFillTint="33"/>
            <w:hideMark/>
          </w:tcPr>
          <w:p w:rsidR="0028521C" w:rsidRPr="005215A5" w:rsidRDefault="00853E09" w:rsidP="002D1A0E">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 xml:space="preserve">Cílové hodnoty milníků lze považovat za realistické, nicméně </w:t>
            </w:r>
            <w:r w:rsidR="002D1A0E" w:rsidRPr="00DA7980">
              <w:rPr>
                <w:rFonts w:ascii="Times New Roman" w:eastAsia="Times New Roman" w:hAnsi="Times New Roman" w:cs="Times New Roman"/>
                <w:szCs w:val="20"/>
                <w:lang w:eastAsia="cs-CZ"/>
              </w:rPr>
              <w:t xml:space="preserve">i </w:t>
            </w:r>
            <w:r w:rsidRPr="00DA7980">
              <w:rPr>
                <w:rFonts w:ascii="Times New Roman" w:eastAsia="Times New Roman" w:hAnsi="Times New Roman" w:cs="Times New Roman"/>
                <w:szCs w:val="20"/>
                <w:lang w:eastAsia="cs-CZ"/>
              </w:rPr>
              <w:t xml:space="preserve">s ohledem na skutečnosti popsané v komentáři k evaluační otázce </w:t>
            </w:r>
            <w:r w:rsidR="002D1A0E" w:rsidRPr="00DA7980">
              <w:rPr>
                <w:rFonts w:ascii="Times New Roman" w:eastAsia="Times New Roman" w:hAnsi="Times New Roman" w:cs="Times New Roman"/>
                <w:szCs w:val="20"/>
                <w:lang w:eastAsia="cs-CZ"/>
              </w:rPr>
              <w:t xml:space="preserve">02.5 budou zřejmě dále zpřesňovány. </w:t>
            </w:r>
          </w:p>
        </w:tc>
      </w:tr>
    </w:tbl>
    <w:p w:rsidR="009749D7" w:rsidRPr="009749D7" w:rsidRDefault="009749D7" w:rsidP="009749D7">
      <w:pPr>
        <w:spacing w:after="120"/>
        <w:rPr>
          <w:rFonts w:cs="Tahoma"/>
          <w:szCs w:val="20"/>
        </w:rPr>
      </w:pPr>
    </w:p>
    <w:p w:rsidR="00B40936" w:rsidRPr="00C33503" w:rsidRDefault="00B40936" w:rsidP="00C33503">
      <w:pPr>
        <w:pStyle w:val="Nadpis2"/>
      </w:pPr>
      <w:bookmarkStart w:id="31" w:name="_Toc392583676"/>
      <w:r w:rsidRPr="00C33503">
        <w:t>Administrativní kapacita, procedury sběru dat a evaluace</w:t>
      </w:r>
      <w:bookmarkEnd w:id="31"/>
    </w:p>
    <w:p w:rsidR="008B2BBB" w:rsidRPr="002C6BB2" w:rsidRDefault="008B2BBB" w:rsidP="008B2BBB">
      <w:pPr>
        <w:tabs>
          <w:tab w:val="num" w:pos="720"/>
        </w:tabs>
        <w:spacing w:after="120"/>
        <w:rPr>
          <w:u w:val="single"/>
        </w:rPr>
      </w:pPr>
      <w:r w:rsidRPr="002C6BB2">
        <w:rPr>
          <w:u w:val="single"/>
        </w:rPr>
        <w:t>Úkol:</w:t>
      </w:r>
    </w:p>
    <w:p w:rsidR="008459AE" w:rsidRPr="0028521C" w:rsidRDefault="008459AE" w:rsidP="0087255C">
      <w:pPr>
        <w:spacing w:after="120"/>
        <w:rPr>
          <w:rFonts w:cs="Tahoma"/>
          <w:szCs w:val="20"/>
        </w:rPr>
      </w:pPr>
      <w:r w:rsidRPr="0028521C">
        <w:rPr>
          <w:rFonts w:cs="Tahoma"/>
          <w:szCs w:val="20"/>
        </w:rPr>
        <w:t xml:space="preserve">Posoudit </w:t>
      </w:r>
      <w:r w:rsidR="008B2BBB" w:rsidRPr="0028521C">
        <w:rPr>
          <w:rFonts w:cs="Tahoma"/>
          <w:szCs w:val="20"/>
        </w:rPr>
        <w:t>vhodnos</w:t>
      </w:r>
      <w:r w:rsidRPr="0028521C">
        <w:rPr>
          <w:rFonts w:cs="Tahoma"/>
          <w:szCs w:val="20"/>
        </w:rPr>
        <w:t>t</w:t>
      </w:r>
      <w:r w:rsidR="008B2BBB" w:rsidRPr="0028521C">
        <w:rPr>
          <w:rFonts w:cs="Tahoma"/>
          <w:szCs w:val="20"/>
        </w:rPr>
        <w:t xml:space="preserve">, kvalitu a </w:t>
      </w:r>
      <w:r w:rsidRPr="0028521C">
        <w:rPr>
          <w:rFonts w:cs="Tahoma"/>
          <w:szCs w:val="20"/>
        </w:rPr>
        <w:t xml:space="preserve">spolehlivost </w:t>
      </w:r>
      <w:r w:rsidR="008B2BBB" w:rsidRPr="0028521C">
        <w:rPr>
          <w:rFonts w:cs="Tahoma"/>
          <w:szCs w:val="20"/>
        </w:rPr>
        <w:t>mechani</w:t>
      </w:r>
      <w:r w:rsidRPr="0028521C">
        <w:rPr>
          <w:rFonts w:cs="Tahoma"/>
          <w:szCs w:val="20"/>
        </w:rPr>
        <w:t>smů</w:t>
      </w:r>
      <w:r w:rsidR="008B2BBB" w:rsidRPr="0028521C">
        <w:rPr>
          <w:rFonts w:cs="Tahoma"/>
          <w:szCs w:val="20"/>
        </w:rPr>
        <w:t xml:space="preserve"> a systém</w:t>
      </w:r>
      <w:r w:rsidRPr="0028521C">
        <w:rPr>
          <w:rFonts w:cs="Tahoma"/>
          <w:szCs w:val="20"/>
        </w:rPr>
        <w:t>ů</w:t>
      </w:r>
      <w:r w:rsidR="008B2BBB" w:rsidRPr="0028521C">
        <w:rPr>
          <w:rFonts w:cs="Tahoma"/>
          <w:szCs w:val="20"/>
        </w:rPr>
        <w:t xml:space="preserve"> pr</w:t>
      </w:r>
      <w:r w:rsidRPr="0028521C">
        <w:rPr>
          <w:rFonts w:cs="Tahoma"/>
          <w:szCs w:val="20"/>
        </w:rPr>
        <w:t>o</w:t>
      </w:r>
      <w:r w:rsidR="008B2BBB" w:rsidRPr="0028521C">
        <w:rPr>
          <w:rFonts w:cs="Tahoma"/>
          <w:szCs w:val="20"/>
        </w:rPr>
        <w:t xml:space="preserve"> monitorov</w:t>
      </w:r>
      <w:r w:rsidRPr="0028521C">
        <w:rPr>
          <w:rFonts w:cs="Tahoma"/>
          <w:szCs w:val="20"/>
        </w:rPr>
        <w:t>ání</w:t>
      </w:r>
      <w:r w:rsidR="008B2BBB" w:rsidRPr="0028521C">
        <w:rPr>
          <w:rFonts w:cs="Tahoma"/>
          <w:szCs w:val="20"/>
        </w:rPr>
        <w:t xml:space="preserve"> a </w:t>
      </w:r>
      <w:r w:rsidRPr="0028521C">
        <w:rPr>
          <w:rFonts w:cs="Tahoma"/>
          <w:szCs w:val="20"/>
        </w:rPr>
        <w:t>sběr dat</w:t>
      </w:r>
      <w:r w:rsidR="008B2BBB" w:rsidRPr="0028521C">
        <w:rPr>
          <w:rFonts w:cs="Tahoma"/>
          <w:szCs w:val="20"/>
        </w:rPr>
        <w:t xml:space="preserve"> pot</w:t>
      </w:r>
      <w:r w:rsidRPr="0028521C">
        <w:rPr>
          <w:rFonts w:cs="Tahoma"/>
          <w:szCs w:val="20"/>
        </w:rPr>
        <w:t>ř</w:t>
      </w:r>
      <w:r w:rsidR="008B2BBB" w:rsidRPr="0028521C">
        <w:rPr>
          <w:rFonts w:cs="Tahoma"/>
          <w:szCs w:val="20"/>
        </w:rPr>
        <w:t>ebných pr</w:t>
      </w:r>
      <w:r w:rsidRPr="0028521C">
        <w:rPr>
          <w:rFonts w:cs="Tahoma"/>
          <w:szCs w:val="20"/>
        </w:rPr>
        <w:t>o</w:t>
      </w:r>
      <w:r w:rsidR="008B2BBB" w:rsidRPr="0028521C">
        <w:rPr>
          <w:rFonts w:cs="Tahoma"/>
          <w:szCs w:val="20"/>
        </w:rPr>
        <w:t xml:space="preserve"> hodno</w:t>
      </w:r>
      <w:r w:rsidRPr="0028521C">
        <w:rPr>
          <w:rFonts w:cs="Tahoma"/>
          <w:szCs w:val="20"/>
        </w:rPr>
        <w:t>cení a také a</w:t>
      </w:r>
      <w:r w:rsidR="008B2BBB" w:rsidRPr="0028521C">
        <w:rPr>
          <w:rFonts w:cs="Tahoma"/>
          <w:szCs w:val="20"/>
        </w:rPr>
        <w:t>dekvátnos</w:t>
      </w:r>
      <w:r w:rsidRPr="0028521C">
        <w:rPr>
          <w:rFonts w:cs="Tahoma"/>
          <w:szCs w:val="20"/>
        </w:rPr>
        <w:t>t personálních a administrativních</w:t>
      </w:r>
      <w:r w:rsidR="008B2BBB" w:rsidRPr="0028521C">
        <w:rPr>
          <w:rFonts w:cs="Tahoma"/>
          <w:szCs w:val="20"/>
        </w:rPr>
        <w:t xml:space="preserve"> kapac</w:t>
      </w:r>
      <w:r w:rsidRPr="0028521C">
        <w:rPr>
          <w:rFonts w:cs="Tahoma"/>
          <w:szCs w:val="20"/>
        </w:rPr>
        <w:t>i</w:t>
      </w:r>
      <w:r w:rsidR="008B2BBB" w:rsidRPr="0028521C">
        <w:rPr>
          <w:rFonts w:cs="Tahoma"/>
          <w:szCs w:val="20"/>
        </w:rPr>
        <w:t>t zodpov</w:t>
      </w:r>
      <w:r w:rsidRPr="0028521C">
        <w:rPr>
          <w:rFonts w:cs="Tahoma"/>
          <w:szCs w:val="20"/>
        </w:rPr>
        <w:t>ě</w:t>
      </w:r>
      <w:r w:rsidR="008B2BBB" w:rsidRPr="0028521C">
        <w:rPr>
          <w:rFonts w:cs="Tahoma"/>
          <w:szCs w:val="20"/>
        </w:rPr>
        <w:t xml:space="preserve">dných za </w:t>
      </w:r>
      <w:r w:rsidRPr="0028521C">
        <w:rPr>
          <w:rFonts w:cs="Tahoma"/>
          <w:szCs w:val="20"/>
        </w:rPr>
        <w:t>řízení programu</w:t>
      </w:r>
      <w:r w:rsidR="008B2BBB" w:rsidRPr="0028521C">
        <w:rPr>
          <w:rFonts w:cs="Tahoma"/>
          <w:szCs w:val="20"/>
        </w:rPr>
        <w:t>.</w:t>
      </w:r>
    </w:p>
    <w:p w:rsidR="0028521C" w:rsidRPr="00022E68" w:rsidRDefault="0028521C" w:rsidP="0028521C">
      <w:pPr>
        <w:tabs>
          <w:tab w:val="num" w:pos="720"/>
        </w:tabs>
        <w:spacing w:after="120"/>
        <w:rPr>
          <w:u w:val="single"/>
        </w:rPr>
      </w:pPr>
      <w:r w:rsidRPr="00022E68">
        <w:rPr>
          <w:u w:val="single"/>
        </w:rPr>
        <w:t>Východiska:</w:t>
      </w:r>
    </w:p>
    <w:p w:rsidR="0028521C" w:rsidRPr="007530AF" w:rsidRDefault="0028521C" w:rsidP="0028521C">
      <w:pPr>
        <w:tabs>
          <w:tab w:val="num" w:pos="720"/>
        </w:tabs>
        <w:spacing w:after="120"/>
      </w:pPr>
      <w:r w:rsidRPr="007530AF">
        <w:t xml:space="preserve">Východiskem pro hodnocení je především </w:t>
      </w:r>
      <w:r w:rsidR="00A2310F">
        <w:t>oddíl</w:t>
      </w:r>
      <w:r w:rsidRPr="007530AF">
        <w:t xml:space="preserve"> </w:t>
      </w:r>
      <w:r w:rsidR="001E07C1" w:rsidRPr="007530AF">
        <w:t>7</w:t>
      </w:r>
      <w:r w:rsidRPr="007530AF">
        <w:t xml:space="preserve"> „</w:t>
      </w:r>
      <w:r w:rsidR="0079673E">
        <w:t>O</w:t>
      </w:r>
      <w:r w:rsidR="001E07C1" w:rsidRPr="007530AF">
        <w:t>rgány</w:t>
      </w:r>
      <w:r w:rsidR="0079673E">
        <w:t xml:space="preserve"> a subjekty</w:t>
      </w:r>
      <w:r w:rsidR="001E07C1" w:rsidRPr="007530AF">
        <w:t xml:space="preserve"> odpovědné za řízení, kontrolu a audit a </w:t>
      </w:r>
      <w:r w:rsidR="0079673E">
        <w:t>úloha příslušných</w:t>
      </w:r>
      <w:r w:rsidR="001E07C1" w:rsidRPr="007530AF">
        <w:t xml:space="preserve"> partnerů“</w:t>
      </w:r>
      <w:r w:rsidR="00801E2A">
        <w:t>,</w:t>
      </w:r>
      <w:r w:rsidR="001E07C1" w:rsidRPr="007530AF">
        <w:t xml:space="preserve"> </w:t>
      </w:r>
      <w:r w:rsidR="00A2310F">
        <w:t>oddíl</w:t>
      </w:r>
      <w:r w:rsidR="001E07C1" w:rsidRPr="007530AF">
        <w:t xml:space="preserve"> 10 „Snižování administrativní zátěže pro příjemce“</w:t>
      </w:r>
      <w:r w:rsidR="0079673E">
        <w:t xml:space="preserve">, </w:t>
      </w:r>
      <w:r w:rsidR="00E840B5">
        <w:t>nepovinná příloha č. 3 „</w:t>
      </w:r>
      <w:r w:rsidR="00E840B5" w:rsidRPr="00E840B5">
        <w:t>Základní principy monitorování a vyhodnocování OP PIK</w:t>
      </w:r>
      <w:r w:rsidR="00E840B5">
        <w:t>“</w:t>
      </w:r>
      <w:r w:rsidR="00E840B5" w:rsidRPr="00E840B5">
        <w:t xml:space="preserve"> </w:t>
      </w:r>
      <w:r w:rsidR="00801E2A">
        <w:t>a</w:t>
      </w:r>
      <w:r w:rsidRPr="007530AF">
        <w:t xml:space="preserve"> průřezově také ostatní </w:t>
      </w:r>
      <w:r w:rsidR="00A2310F">
        <w:t>oddíly</w:t>
      </w:r>
      <w:r w:rsidRPr="007530AF">
        <w:t xml:space="preserve"> textu programu.</w:t>
      </w:r>
    </w:p>
    <w:p w:rsidR="001E07C1" w:rsidRPr="0079673E" w:rsidRDefault="0028521C" w:rsidP="0028521C">
      <w:pPr>
        <w:tabs>
          <w:tab w:val="num" w:pos="720"/>
        </w:tabs>
        <w:spacing w:after="120"/>
      </w:pPr>
      <w:r w:rsidRPr="0079673E">
        <w:t xml:space="preserve">Kapitola </w:t>
      </w:r>
      <w:r w:rsidR="001E07C1" w:rsidRPr="0079673E">
        <w:t xml:space="preserve">7.1 identifikuje řídící orgán OP PIK a další subjekty implementační struktury programu. </w:t>
      </w:r>
    </w:p>
    <w:p w:rsidR="0028521C" w:rsidRPr="0079673E" w:rsidRDefault="00A2310F" w:rsidP="000768FE">
      <w:pPr>
        <w:tabs>
          <w:tab w:val="num" w:pos="720"/>
        </w:tabs>
        <w:spacing w:after="120"/>
      </w:pPr>
      <w:r w:rsidRPr="0079673E">
        <w:t>Oddíl</w:t>
      </w:r>
      <w:r w:rsidR="001E07C1" w:rsidRPr="0079673E">
        <w:t xml:space="preserve"> 10</w:t>
      </w:r>
      <w:r w:rsidR="000768FE" w:rsidRPr="0079673E">
        <w:t xml:space="preserve"> popisuje východiska, cíle a plánovaná opatření v oblasti snižování administrativní zátěže.</w:t>
      </w:r>
    </w:p>
    <w:p w:rsidR="00E840B5" w:rsidRDefault="0079673E" w:rsidP="000768FE">
      <w:pPr>
        <w:tabs>
          <w:tab w:val="num" w:pos="720"/>
        </w:tabs>
        <w:spacing w:after="120"/>
      </w:pPr>
      <w:r w:rsidRPr="0079673E">
        <w:t>Nepovinná p</w:t>
      </w:r>
      <w:r w:rsidR="00801E2A" w:rsidRPr="0079673E">
        <w:t xml:space="preserve">říloha č. </w:t>
      </w:r>
      <w:r w:rsidR="00E840B5">
        <w:t>3</w:t>
      </w:r>
      <w:r w:rsidR="00594EA1" w:rsidRPr="0079673E">
        <w:t xml:space="preserve"> </w:t>
      </w:r>
      <w:r w:rsidR="00E840B5">
        <w:t>nastiňuje z</w:t>
      </w:r>
      <w:r w:rsidR="00E840B5" w:rsidRPr="00E840B5">
        <w:t>ákladní principy</w:t>
      </w:r>
      <w:r w:rsidR="00E840B5">
        <w:t xml:space="preserve"> a přístupy k</w:t>
      </w:r>
      <w:r w:rsidR="00E840B5" w:rsidRPr="00E840B5">
        <w:t xml:space="preserve"> monitorování a vyhodnocování OP PIK</w:t>
      </w:r>
      <w:r w:rsidR="00E840B5">
        <w:t>.</w:t>
      </w:r>
    </w:p>
    <w:p w:rsidR="0028521C" w:rsidRPr="00022E68" w:rsidRDefault="0028521C" w:rsidP="0028521C">
      <w:pPr>
        <w:tabs>
          <w:tab w:val="num" w:pos="720"/>
        </w:tabs>
        <w:spacing w:after="120"/>
        <w:rPr>
          <w:u w:val="single"/>
        </w:rPr>
      </w:pPr>
      <w:r w:rsidRPr="00022E68">
        <w:rPr>
          <w:u w:val="single"/>
        </w:rPr>
        <w:t>Zjištění v návaznosti na evaluační otázky a úkoly:</w:t>
      </w:r>
    </w:p>
    <w:tbl>
      <w:tblPr>
        <w:tblW w:w="922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06"/>
        <w:gridCol w:w="2795"/>
        <w:gridCol w:w="1698"/>
        <w:gridCol w:w="3830"/>
      </w:tblGrid>
      <w:tr w:rsidR="0028521C" w:rsidRPr="00DA7980" w:rsidTr="00490D5C">
        <w:trPr>
          <w:trHeight w:val="1350"/>
          <w:tblHeader/>
        </w:trPr>
        <w:tc>
          <w:tcPr>
            <w:tcW w:w="906" w:type="dxa"/>
            <w:shd w:val="clear" w:color="000000" w:fill="BFBFBF"/>
            <w:vAlign w:val="center"/>
            <w:hideMark/>
          </w:tcPr>
          <w:p w:rsidR="0028521C" w:rsidRPr="00DA7980" w:rsidRDefault="0028521C" w:rsidP="0028521C">
            <w:pPr>
              <w:jc w:val="center"/>
              <w:rPr>
                <w:rFonts w:ascii="Times New Roman" w:eastAsia="Times New Roman" w:hAnsi="Times New Roman" w:cs="Times New Roman"/>
                <w:b/>
                <w:bCs/>
                <w:szCs w:val="20"/>
                <w:lang w:eastAsia="cs-CZ"/>
              </w:rPr>
            </w:pPr>
            <w:proofErr w:type="spellStart"/>
            <w:r w:rsidRPr="00DA7980">
              <w:rPr>
                <w:rFonts w:ascii="Times New Roman" w:eastAsia="Times New Roman" w:hAnsi="Times New Roman" w:cs="Times New Roman"/>
                <w:b/>
                <w:bCs/>
                <w:szCs w:val="20"/>
                <w:lang w:eastAsia="cs-CZ"/>
              </w:rPr>
              <w:t>Poř</w:t>
            </w:r>
            <w:proofErr w:type="spellEnd"/>
            <w:r w:rsidRPr="00DA7980">
              <w:rPr>
                <w:rFonts w:ascii="Times New Roman" w:eastAsia="Times New Roman" w:hAnsi="Times New Roman" w:cs="Times New Roman"/>
                <w:b/>
                <w:bCs/>
                <w:szCs w:val="20"/>
                <w:lang w:eastAsia="cs-CZ"/>
              </w:rPr>
              <w:t>. č.</w:t>
            </w:r>
          </w:p>
        </w:tc>
        <w:tc>
          <w:tcPr>
            <w:tcW w:w="2795" w:type="dxa"/>
            <w:shd w:val="clear" w:color="000000" w:fill="BFBFBF"/>
            <w:vAlign w:val="center"/>
            <w:hideMark/>
          </w:tcPr>
          <w:p w:rsidR="0028521C" w:rsidRPr="00DA7980" w:rsidRDefault="0028521C" w:rsidP="0028521C">
            <w:pPr>
              <w:jc w:val="center"/>
              <w:rPr>
                <w:rFonts w:ascii="Times New Roman" w:eastAsia="Times New Roman" w:hAnsi="Times New Roman" w:cs="Times New Roman"/>
                <w:b/>
                <w:bCs/>
                <w:szCs w:val="20"/>
                <w:lang w:eastAsia="cs-CZ"/>
              </w:rPr>
            </w:pPr>
            <w:r w:rsidRPr="00DA7980">
              <w:rPr>
                <w:rFonts w:ascii="Times New Roman" w:eastAsia="Times New Roman" w:hAnsi="Times New Roman" w:cs="Times New Roman"/>
                <w:b/>
                <w:bCs/>
                <w:szCs w:val="20"/>
                <w:lang w:eastAsia="cs-CZ"/>
              </w:rPr>
              <w:t>Evaluační otázka / úkol</w:t>
            </w:r>
          </w:p>
        </w:tc>
        <w:tc>
          <w:tcPr>
            <w:tcW w:w="1698" w:type="dxa"/>
            <w:shd w:val="clear" w:color="000000" w:fill="BFBFBF"/>
            <w:vAlign w:val="center"/>
            <w:hideMark/>
          </w:tcPr>
          <w:p w:rsidR="0028521C" w:rsidRPr="00DA7980" w:rsidRDefault="0028521C" w:rsidP="005C0ADF">
            <w:pPr>
              <w:jc w:val="center"/>
              <w:rPr>
                <w:rFonts w:ascii="Times New Roman" w:eastAsia="Times New Roman" w:hAnsi="Times New Roman" w:cs="Times New Roman"/>
                <w:b/>
                <w:bCs/>
                <w:szCs w:val="20"/>
                <w:lang w:eastAsia="cs-CZ"/>
              </w:rPr>
            </w:pPr>
            <w:r w:rsidRPr="00DA7980">
              <w:rPr>
                <w:rFonts w:ascii="Times New Roman" w:eastAsia="Times New Roman" w:hAnsi="Times New Roman" w:cs="Times New Roman"/>
                <w:b/>
                <w:bCs/>
                <w:szCs w:val="20"/>
                <w:lang w:eastAsia="cs-CZ"/>
              </w:rPr>
              <w:t>Zhodnocení</w:t>
            </w:r>
            <w:r w:rsidRPr="00DA7980">
              <w:rPr>
                <w:rFonts w:ascii="Times New Roman" w:eastAsia="Times New Roman" w:hAnsi="Times New Roman" w:cs="Times New Roman"/>
                <w:b/>
                <w:bCs/>
                <w:szCs w:val="20"/>
                <w:lang w:eastAsia="cs-CZ"/>
              </w:rPr>
              <w:br/>
            </w:r>
            <w:r w:rsidRPr="00DA7980">
              <w:rPr>
                <w:rFonts w:ascii="Times New Roman" w:eastAsia="Times New Roman" w:hAnsi="Times New Roman" w:cs="Times New Roman"/>
                <w:szCs w:val="20"/>
                <w:lang w:eastAsia="cs-CZ"/>
              </w:rPr>
              <w:t>(A - Ano, SA - Spíše ano, SN - Spíše ne, N - Ne, NR - Není relevantní)</w:t>
            </w:r>
          </w:p>
        </w:tc>
        <w:tc>
          <w:tcPr>
            <w:tcW w:w="3830" w:type="dxa"/>
            <w:shd w:val="clear" w:color="000000" w:fill="BFBFBF"/>
            <w:vAlign w:val="center"/>
            <w:hideMark/>
          </w:tcPr>
          <w:p w:rsidR="0028521C" w:rsidRPr="00DA7980" w:rsidRDefault="0028521C" w:rsidP="0028521C">
            <w:pPr>
              <w:jc w:val="center"/>
              <w:rPr>
                <w:rFonts w:ascii="Times New Roman" w:eastAsia="Times New Roman" w:hAnsi="Times New Roman" w:cs="Times New Roman"/>
                <w:b/>
                <w:bCs/>
                <w:szCs w:val="20"/>
                <w:lang w:eastAsia="cs-CZ"/>
              </w:rPr>
            </w:pPr>
            <w:r w:rsidRPr="00DA7980">
              <w:rPr>
                <w:rFonts w:ascii="Times New Roman" w:eastAsia="Times New Roman" w:hAnsi="Times New Roman" w:cs="Times New Roman"/>
                <w:b/>
                <w:bCs/>
                <w:szCs w:val="20"/>
                <w:lang w:eastAsia="cs-CZ"/>
              </w:rPr>
              <w:t>Komentář, doporučení</w:t>
            </w:r>
          </w:p>
        </w:tc>
      </w:tr>
      <w:tr w:rsidR="0028521C" w:rsidRPr="00DA7980" w:rsidTr="00490D5C">
        <w:trPr>
          <w:trHeight w:val="810"/>
        </w:trPr>
        <w:tc>
          <w:tcPr>
            <w:tcW w:w="906" w:type="dxa"/>
            <w:shd w:val="clear" w:color="000000" w:fill="D7E4BC"/>
            <w:hideMark/>
          </w:tcPr>
          <w:p w:rsidR="0028521C" w:rsidRPr="00DA7980" w:rsidRDefault="0028521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02.8</w:t>
            </w:r>
          </w:p>
        </w:tc>
        <w:tc>
          <w:tcPr>
            <w:tcW w:w="2795" w:type="dxa"/>
            <w:shd w:val="clear" w:color="000000" w:fill="D7E4BC"/>
            <w:hideMark/>
          </w:tcPr>
          <w:p w:rsidR="0028521C" w:rsidRPr="00DA7980" w:rsidRDefault="0028521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Jsou navrženy vhodné postupy monitorování programu a shromažďování dat nezbytných k provádění evaluací k posouzení účinnosti, účelnosti a dopadu operačního programu?</w:t>
            </w:r>
          </w:p>
        </w:tc>
        <w:tc>
          <w:tcPr>
            <w:tcW w:w="1698" w:type="dxa"/>
            <w:shd w:val="clear" w:color="000000" w:fill="D7E4BC"/>
            <w:vAlign w:val="center"/>
            <w:hideMark/>
          </w:tcPr>
          <w:p w:rsidR="0028521C" w:rsidRPr="00DA7980" w:rsidRDefault="00E840B5" w:rsidP="00FE7D17">
            <w:pPr>
              <w:jc w:val="cente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NR</w:t>
            </w:r>
          </w:p>
        </w:tc>
        <w:tc>
          <w:tcPr>
            <w:tcW w:w="3830" w:type="dxa"/>
            <w:shd w:val="clear" w:color="000000" w:fill="D7E4BC"/>
            <w:hideMark/>
          </w:tcPr>
          <w:p w:rsidR="00E840B5" w:rsidRDefault="00E840B5" w:rsidP="005C0ADF">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Text operačního programu neobsahuje </w:t>
            </w:r>
            <w:r w:rsidRPr="00DA7980">
              <w:rPr>
                <w:rFonts w:ascii="Times New Roman" w:eastAsia="Times New Roman" w:hAnsi="Times New Roman" w:cs="Times New Roman"/>
                <w:szCs w:val="20"/>
                <w:lang w:eastAsia="cs-CZ"/>
              </w:rPr>
              <w:t>n</w:t>
            </w:r>
            <w:r>
              <w:rPr>
                <w:rFonts w:ascii="Times New Roman" w:eastAsia="Times New Roman" w:hAnsi="Times New Roman" w:cs="Times New Roman"/>
                <w:szCs w:val="20"/>
                <w:lang w:eastAsia="cs-CZ"/>
              </w:rPr>
              <w:t xml:space="preserve">ávrh </w:t>
            </w:r>
            <w:r w:rsidRPr="00DA7980">
              <w:rPr>
                <w:rFonts w:ascii="Times New Roman" w:eastAsia="Times New Roman" w:hAnsi="Times New Roman" w:cs="Times New Roman"/>
                <w:szCs w:val="20"/>
                <w:lang w:eastAsia="cs-CZ"/>
              </w:rPr>
              <w:t>postup</w:t>
            </w:r>
            <w:r>
              <w:rPr>
                <w:rFonts w:ascii="Times New Roman" w:eastAsia="Times New Roman" w:hAnsi="Times New Roman" w:cs="Times New Roman"/>
                <w:szCs w:val="20"/>
                <w:lang w:eastAsia="cs-CZ"/>
              </w:rPr>
              <w:t>ů</w:t>
            </w:r>
            <w:r w:rsidRPr="00DA7980">
              <w:rPr>
                <w:rFonts w:ascii="Times New Roman" w:eastAsia="Times New Roman" w:hAnsi="Times New Roman" w:cs="Times New Roman"/>
                <w:szCs w:val="20"/>
                <w:lang w:eastAsia="cs-CZ"/>
              </w:rPr>
              <w:t xml:space="preserve"> monitorování programu a shromažďování dat nezbytných k provádění evaluací k posouzení účinnosti, účelnosti a dopadu</w:t>
            </w:r>
            <w:r>
              <w:rPr>
                <w:rFonts w:ascii="Times New Roman" w:eastAsia="Times New Roman" w:hAnsi="Times New Roman" w:cs="Times New Roman"/>
                <w:szCs w:val="20"/>
                <w:lang w:eastAsia="cs-CZ"/>
              </w:rPr>
              <w:t xml:space="preserve"> operačního programu vzhledem k tomu, že dle „</w:t>
            </w:r>
            <w:r w:rsidRPr="00E840B5">
              <w:rPr>
                <w:rFonts w:ascii="Times New Roman" w:eastAsia="Times New Roman" w:hAnsi="Times New Roman" w:cs="Times New Roman"/>
                <w:szCs w:val="20"/>
                <w:lang w:eastAsia="cs-CZ"/>
              </w:rPr>
              <w:t>Vzor</w:t>
            </w:r>
            <w:r>
              <w:rPr>
                <w:rFonts w:ascii="Times New Roman" w:eastAsia="Times New Roman" w:hAnsi="Times New Roman" w:cs="Times New Roman"/>
                <w:szCs w:val="20"/>
                <w:lang w:eastAsia="cs-CZ"/>
              </w:rPr>
              <w:t>u</w:t>
            </w:r>
            <w:r w:rsidRPr="00E840B5">
              <w:rPr>
                <w:rFonts w:ascii="Times New Roman" w:eastAsia="Times New Roman" w:hAnsi="Times New Roman" w:cs="Times New Roman"/>
                <w:szCs w:val="20"/>
                <w:lang w:eastAsia="cs-CZ"/>
              </w:rPr>
              <w:t xml:space="preserve"> pro operační programy v rámci cíle Investice pro růst a zaměstnanost“</w:t>
            </w:r>
            <w:r>
              <w:rPr>
                <w:rFonts w:ascii="Times New Roman" w:eastAsia="Times New Roman" w:hAnsi="Times New Roman" w:cs="Times New Roman"/>
                <w:szCs w:val="20"/>
                <w:lang w:eastAsia="cs-CZ"/>
              </w:rPr>
              <w:t>, který tvoří přílohu</w:t>
            </w:r>
            <w:r w:rsidRPr="00E840B5">
              <w:rPr>
                <w:rFonts w:ascii="Times New Roman" w:eastAsia="Times New Roman" w:hAnsi="Times New Roman" w:cs="Times New Roman"/>
                <w:szCs w:val="20"/>
                <w:lang w:eastAsia="cs-CZ"/>
              </w:rPr>
              <w:t xml:space="preserve"> prováděcího nařízení Komise (EU) č. 288/2014 ze dne 25. února 2014</w:t>
            </w:r>
            <w:r>
              <w:rPr>
                <w:rFonts w:ascii="Times New Roman" w:eastAsia="Times New Roman" w:hAnsi="Times New Roman" w:cs="Times New Roman"/>
                <w:szCs w:val="20"/>
                <w:lang w:eastAsia="cs-CZ"/>
              </w:rPr>
              <w:t xml:space="preserve">, není toto téma součástí </w:t>
            </w:r>
            <w:r w:rsidR="009D7676">
              <w:rPr>
                <w:rFonts w:ascii="Times New Roman" w:eastAsia="Times New Roman" w:hAnsi="Times New Roman" w:cs="Times New Roman"/>
                <w:szCs w:val="20"/>
                <w:lang w:eastAsia="cs-CZ"/>
              </w:rPr>
              <w:t xml:space="preserve">struktury </w:t>
            </w:r>
            <w:r>
              <w:rPr>
                <w:rFonts w:ascii="Times New Roman" w:eastAsia="Times New Roman" w:hAnsi="Times New Roman" w:cs="Times New Roman"/>
                <w:szCs w:val="20"/>
                <w:lang w:eastAsia="cs-CZ"/>
              </w:rPr>
              <w:t>operačního programu</w:t>
            </w:r>
            <w:r w:rsidRPr="00E840B5">
              <w:rPr>
                <w:rFonts w:ascii="Times New Roman" w:eastAsia="Times New Roman" w:hAnsi="Times New Roman" w:cs="Times New Roman"/>
                <w:szCs w:val="20"/>
                <w:lang w:eastAsia="cs-CZ"/>
              </w:rPr>
              <w:t>.</w:t>
            </w:r>
          </w:p>
          <w:p w:rsidR="000455EF" w:rsidRDefault="000455EF" w:rsidP="005C0ADF">
            <w:pPr>
              <w:rPr>
                <w:rFonts w:ascii="Times New Roman" w:eastAsia="Times New Roman" w:hAnsi="Times New Roman" w:cs="Times New Roman"/>
                <w:szCs w:val="20"/>
                <w:lang w:eastAsia="cs-CZ"/>
              </w:rPr>
            </w:pPr>
          </w:p>
          <w:p w:rsidR="0028521C" w:rsidRPr="00DA7980" w:rsidRDefault="000768FE"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Postupy monitorování programu a shromažďování dat n</w:t>
            </w:r>
            <w:r w:rsidR="000455EF">
              <w:rPr>
                <w:rFonts w:ascii="Times New Roman" w:eastAsia="Times New Roman" w:hAnsi="Times New Roman" w:cs="Times New Roman"/>
                <w:szCs w:val="20"/>
                <w:lang w:eastAsia="cs-CZ"/>
              </w:rPr>
              <w:t xml:space="preserve">ezbytných k provádění evaluací </w:t>
            </w:r>
            <w:r w:rsidR="00490D5C" w:rsidRPr="00DA7980">
              <w:rPr>
                <w:rFonts w:ascii="Times New Roman" w:eastAsia="Times New Roman" w:hAnsi="Times New Roman" w:cs="Times New Roman"/>
                <w:szCs w:val="20"/>
                <w:lang w:eastAsia="cs-CZ"/>
              </w:rPr>
              <w:t xml:space="preserve">jsou </w:t>
            </w:r>
            <w:r w:rsidR="007B5EC8" w:rsidRPr="00DA7980">
              <w:rPr>
                <w:rFonts w:ascii="Times New Roman" w:eastAsia="Times New Roman" w:hAnsi="Times New Roman" w:cs="Times New Roman"/>
                <w:szCs w:val="20"/>
                <w:lang w:eastAsia="cs-CZ"/>
              </w:rPr>
              <w:t xml:space="preserve">částečně </w:t>
            </w:r>
            <w:r w:rsidR="00490D5C" w:rsidRPr="00DA7980">
              <w:rPr>
                <w:rFonts w:ascii="Times New Roman" w:eastAsia="Times New Roman" w:hAnsi="Times New Roman" w:cs="Times New Roman"/>
                <w:szCs w:val="20"/>
                <w:lang w:eastAsia="cs-CZ"/>
              </w:rPr>
              <w:t xml:space="preserve">naznačeny v oddíle 10, </w:t>
            </w:r>
            <w:r w:rsidR="00490D5C" w:rsidRPr="00DA7980">
              <w:rPr>
                <w:rFonts w:ascii="Times New Roman" w:eastAsia="Times New Roman" w:hAnsi="Times New Roman" w:cs="Times New Roman"/>
                <w:szCs w:val="20"/>
                <w:lang w:eastAsia="cs-CZ"/>
              </w:rPr>
              <w:lastRenderedPageBreak/>
              <w:t xml:space="preserve">v části textu: “2. Efektivní a uživatelsky přívětivý informační systém“ (str. </w:t>
            </w:r>
            <w:r w:rsidR="000455EF">
              <w:rPr>
                <w:rFonts w:ascii="Times New Roman" w:eastAsia="Times New Roman" w:hAnsi="Times New Roman" w:cs="Times New Roman"/>
                <w:szCs w:val="20"/>
                <w:lang w:eastAsia="cs-CZ"/>
              </w:rPr>
              <w:t>205</w:t>
            </w:r>
            <w:r w:rsidR="00490D5C" w:rsidRPr="00DA7980">
              <w:rPr>
                <w:rFonts w:ascii="Times New Roman" w:eastAsia="Times New Roman" w:hAnsi="Times New Roman" w:cs="Times New Roman"/>
                <w:szCs w:val="20"/>
                <w:lang w:eastAsia="cs-CZ"/>
              </w:rPr>
              <w:t>).</w:t>
            </w:r>
            <w:r w:rsidRPr="00DA7980">
              <w:rPr>
                <w:rFonts w:ascii="Times New Roman" w:eastAsia="Times New Roman" w:hAnsi="Times New Roman" w:cs="Times New Roman"/>
                <w:szCs w:val="20"/>
                <w:lang w:eastAsia="cs-CZ"/>
              </w:rPr>
              <w:t xml:space="preserve"> </w:t>
            </w:r>
          </w:p>
          <w:p w:rsidR="009F0222" w:rsidRDefault="009F0222" w:rsidP="005C0ADF">
            <w:pPr>
              <w:rPr>
                <w:rFonts w:ascii="Times New Roman" w:eastAsia="Times New Roman" w:hAnsi="Times New Roman" w:cs="Times New Roman"/>
                <w:szCs w:val="20"/>
                <w:lang w:eastAsia="cs-CZ"/>
              </w:rPr>
            </w:pPr>
          </w:p>
          <w:p w:rsidR="00801E2A" w:rsidRPr="00DA7980" w:rsidRDefault="000455EF" w:rsidP="00BE7910">
            <w:pPr>
              <w:rPr>
                <w:rFonts w:ascii="Times New Roman" w:eastAsia="Times New Roman" w:hAnsi="Times New Roman" w:cs="Times New Roman"/>
                <w:szCs w:val="20"/>
                <w:lang w:eastAsia="cs-CZ"/>
              </w:rPr>
            </w:pPr>
            <w:r w:rsidRPr="000455EF">
              <w:rPr>
                <w:rFonts w:ascii="Times New Roman" w:eastAsia="Times New Roman" w:hAnsi="Times New Roman" w:cs="Times New Roman"/>
                <w:szCs w:val="20"/>
                <w:lang w:eastAsia="cs-CZ"/>
              </w:rPr>
              <w:t>Základní principy monitorování a vyhodnocování OP PIK</w:t>
            </w:r>
            <w:r>
              <w:rPr>
                <w:rFonts w:ascii="Times New Roman" w:eastAsia="Times New Roman" w:hAnsi="Times New Roman" w:cs="Times New Roman"/>
                <w:szCs w:val="20"/>
                <w:lang w:eastAsia="cs-CZ"/>
              </w:rPr>
              <w:t xml:space="preserve"> jsou dostatečně popsány v nepovinné příloze č. 3 s tím, že p</w:t>
            </w:r>
            <w:r w:rsidRPr="000455EF">
              <w:rPr>
                <w:rFonts w:ascii="Times New Roman" w:eastAsia="Times New Roman" w:hAnsi="Times New Roman" w:cs="Times New Roman"/>
                <w:szCs w:val="20"/>
                <w:lang w:eastAsia="cs-CZ"/>
              </w:rPr>
              <w:t xml:space="preserve">odrobná pravidla a postupy </w:t>
            </w:r>
            <w:r w:rsidR="00E96270">
              <w:rPr>
                <w:rFonts w:ascii="Times New Roman" w:eastAsia="Times New Roman" w:hAnsi="Times New Roman" w:cs="Times New Roman"/>
                <w:szCs w:val="20"/>
                <w:lang w:eastAsia="cs-CZ"/>
              </w:rPr>
              <w:t xml:space="preserve">pro </w:t>
            </w:r>
            <w:r w:rsidRPr="000455EF">
              <w:rPr>
                <w:rFonts w:ascii="Times New Roman" w:eastAsia="Times New Roman" w:hAnsi="Times New Roman" w:cs="Times New Roman"/>
                <w:szCs w:val="20"/>
                <w:lang w:eastAsia="cs-CZ"/>
              </w:rPr>
              <w:t xml:space="preserve">monitorování operačního programu </w:t>
            </w:r>
            <w:r>
              <w:rPr>
                <w:rFonts w:ascii="Times New Roman" w:eastAsia="Times New Roman" w:hAnsi="Times New Roman" w:cs="Times New Roman"/>
                <w:szCs w:val="20"/>
                <w:lang w:eastAsia="cs-CZ"/>
              </w:rPr>
              <w:t>budou</w:t>
            </w:r>
            <w:r w:rsidRPr="000455EF">
              <w:rPr>
                <w:rFonts w:ascii="Times New Roman" w:eastAsia="Times New Roman" w:hAnsi="Times New Roman" w:cs="Times New Roman"/>
                <w:szCs w:val="20"/>
                <w:lang w:eastAsia="cs-CZ"/>
              </w:rPr>
              <w:t xml:space="preserve"> rozpracována v řídící dokumentaci k OP PIK</w:t>
            </w:r>
            <w:r>
              <w:rPr>
                <w:rFonts w:ascii="Times New Roman" w:eastAsia="Times New Roman" w:hAnsi="Times New Roman" w:cs="Times New Roman"/>
                <w:szCs w:val="20"/>
                <w:lang w:eastAsia="cs-CZ"/>
              </w:rPr>
              <w:t>.</w:t>
            </w:r>
          </w:p>
        </w:tc>
      </w:tr>
      <w:tr w:rsidR="0028521C" w:rsidRPr="00DA7980" w:rsidTr="00490D5C">
        <w:trPr>
          <w:trHeight w:val="810"/>
        </w:trPr>
        <w:tc>
          <w:tcPr>
            <w:tcW w:w="906" w:type="dxa"/>
            <w:shd w:val="clear" w:color="000000" w:fill="D7E4BC"/>
            <w:hideMark/>
          </w:tcPr>
          <w:p w:rsidR="0028521C" w:rsidRPr="00DA7980" w:rsidRDefault="0028521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lastRenderedPageBreak/>
              <w:t>02.9</w:t>
            </w:r>
          </w:p>
        </w:tc>
        <w:tc>
          <w:tcPr>
            <w:tcW w:w="2795" w:type="dxa"/>
            <w:shd w:val="clear" w:color="000000" w:fill="D7E4BC"/>
            <w:hideMark/>
          </w:tcPr>
          <w:p w:rsidR="0028521C" w:rsidRPr="00DA7980" w:rsidRDefault="0028521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 xml:space="preserve">Je tam, kde je to vhodné, navrženo </w:t>
            </w:r>
            <w:r w:rsidR="006A7056">
              <w:rPr>
                <w:rFonts w:ascii="Times New Roman" w:eastAsia="Times New Roman" w:hAnsi="Times New Roman" w:cs="Times New Roman"/>
                <w:szCs w:val="20"/>
                <w:lang w:eastAsia="cs-CZ"/>
              </w:rPr>
              <w:t>využití a</w:t>
            </w:r>
            <w:r w:rsidRPr="00DA7980">
              <w:rPr>
                <w:rFonts w:ascii="Times New Roman" w:eastAsia="Times New Roman" w:hAnsi="Times New Roman" w:cs="Times New Roman"/>
                <w:szCs w:val="20"/>
                <w:lang w:eastAsia="cs-CZ"/>
              </w:rPr>
              <w:t>dministrativních a statistických dat z databází veřejné správy s cílem minimalizovat administrativní zátěž pro příjemce?</w:t>
            </w:r>
          </w:p>
        </w:tc>
        <w:tc>
          <w:tcPr>
            <w:tcW w:w="1698" w:type="dxa"/>
            <w:shd w:val="clear" w:color="000000" w:fill="D7E4BC"/>
            <w:vAlign w:val="center"/>
            <w:hideMark/>
          </w:tcPr>
          <w:p w:rsidR="0028521C" w:rsidRPr="00DA7980" w:rsidRDefault="002450B5" w:rsidP="00FE7D17">
            <w:pPr>
              <w:jc w:val="cente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SA</w:t>
            </w:r>
          </w:p>
        </w:tc>
        <w:tc>
          <w:tcPr>
            <w:tcW w:w="3830" w:type="dxa"/>
            <w:shd w:val="clear" w:color="000000" w:fill="D7E4BC"/>
            <w:hideMark/>
          </w:tcPr>
          <w:p w:rsidR="0028521C" w:rsidRDefault="002450B5" w:rsidP="00E96270">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Toto téma je naznačeno v oddíl</w:t>
            </w:r>
            <w:r w:rsidR="005C3221">
              <w:rPr>
                <w:rFonts w:ascii="Times New Roman" w:eastAsia="Times New Roman" w:hAnsi="Times New Roman" w:cs="Times New Roman"/>
                <w:szCs w:val="20"/>
                <w:lang w:eastAsia="cs-CZ"/>
              </w:rPr>
              <w:t>e</w:t>
            </w:r>
            <w:r w:rsidRPr="00DA7980">
              <w:rPr>
                <w:rFonts w:ascii="Times New Roman" w:eastAsia="Times New Roman" w:hAnsi="Times New Roman" w:cs="Times New Roman"/>
                <w:szCs w:val="20"/>
                <w:lang w:eastAsia="cs-CZ"/>
              </w:rPr>
              <w:t xml:space="preserve"> 10 jako součást rámcového popisu jednotného monitorovacího prostředí. </w:t>
            </w:r>
          </w:p>
          <w:p w:rsidR="003E798F" w:rsidRPr="00DA7980" w:rsidRDefault="003E798F" w:rsidP="003E798F">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Zajištění </w:t>
            </w:r>
            <w:r w:rsidRPr="003E798F">
              <w:rPr>
                <w:rFonts w:ascii="Times New Roman" w:eastAsia="Times New Roman" w:hAnsi="Times New Roman" w:cs="Times New Roman"/>
                <w:szCs w:val="20"/>
                <w:lang w:eastAsia="cs-CZ"/>
              </w:rPr>
              <w:t>statistického základu nezbytného k provádění hodnocení za účelem posouzení účinnosti a dopadu programů</w:t>
            </w:r>
            <w:r>
              <w:rPr>
                <w:rFonts w:ascii="Times New Roman" w:eastAsia="Times New Roman" w:hAnsi="Times New Roman" w:cs="Times New Roman"/>
                <w:szCs w:val="20"/>
                <w:lang w:eastAsia="cs-CZ"/>
              </w:rPr>
              <w:t xml:space="preserve"> je rovněž řešeno v rámci příslušné obecné předběžné podmínky.</w:t>
            </w:r>
          </w:p>
        </w:tc>
      </w:tr>
      <w:tr w:rsidR="0028521C" w:rsidRPr="00DA7980" w:rsidTr="00490D5C">
        <w:trPr>
          <w:trHeight w:val="755"/>
        </w:trPr>
        <w:tc>
          <w:tcPr>
            <w:tcW w:w="906" w:type="dxa"/>
            <w:shd w:val="clear" w:color="000000" w:fill="D7E4BC"/>
            <w:hideMark/>
          </w:tcPr>
          <w:p w:rsidR="0028521C" w:rsidRPr="00DA7980" w:rsidRDefault="0028521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02.10</w:t>
            </w:r>
          </w:p>
        </w:tc>
        <w:tc>
          <w:tcPr>
            <w:tcW w:w="2795" w:type="dxa"/>
            <w:shd w:val="clear" w:color="000000" w:fill="D7E4BC"/>
            <w:hideMark/>
          </w:tcPr>
          <w:p w:rsidR="0028521C" w:rsidRPr="00DA7980" w:rsidRDefault="0028521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Jsou navrženy přiměřené lidské zdroje a administrativní kapacity pro řízení programu, zejména s ohledem na úzká místa implementace současného OPPI, a to včetně úrovně zprostředkujících subjektů?</w:t>
            </w:r>
          </w:p>
        </w:tc>
        <w:tc>
          <w:tcPr>
            <w:tcW w:w="1698" w:type="dxa"/>
            <w:shd w:val="clear" w:color="000000" w:fill="D7E4BC"/>
            <w:vAlign w:val="center"/>
            <w:hideMark/>
          </w:tcPr>
          <w:p w:rsidR="0028521C" w:rsidRPr="00DA7980" w:rsidRDefault="002375C4" w:rsidP="00FE7D17">
            <w:pPr>
              <w:jc w:val="cente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N</w:t>
            </w:r>
            <w:r w:rsidR="003E798F">
              <w:rPr>
                <w:rFonts w:ascii="Times New Roman" w:eastAsia="Times New Roman" w:hAnsi="Times New Roman" w:cs="Times New Roman"/>
                <w:szCs w:val="20"/>
                <w:lang w:eastAsia="cs-CZ"/>
              </w:rPr>
              <w:t>R</w:t>
            </w:r>
          </w:p>
        </w:tc>
        <w:tc>
          <w:tcPr>
            <w:tcW w:w="3830" w:type="dxa"/>
            <w:shd w:val="clear" w:color="000000" w:fill="D7E4BC"/>
            <w:hideMark/>
          </w:tcPr>
          <w:p w:rsidR="003E798F" w:rsidRPr="00667E35" w:rsidRDefault="004C70C0" w:rsidP="003E798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Konkrétní návrhy lidských zdrojů a administrativní kapacity pro řízení programu nejsou v textu programu uvedeny</w:t>
            </w:r>
            <w:r w:rsidR="003E798F">
              <w:rPr>
                <w:rFonts w:ascii="Times New Roman" w:eastAsia="Times New Roman" w:hAnsi="Times New Roman" w:cs="Times New Roman"/>
                <w:szCs w:val="20"/>
                <w:lang w:eastAsia="cs-CZ"/>
              </w:rPr>
              <w:t xml:space="preserve"> vzhledem k tomu, že dle </w:t>
            </w:r>
            <w:r w:rsidR="003E798F" w:rsidRPr="005C3221">
              <w:rPr>
                <w:rFonts w:ascii="Times New Roman" w:eastAsia="Times New Roman" w:hAnsi="Times New Roman" w:cs="Times New Roman"/>
                <w:i/>
                <w:szCs w:val="20"/>
                <w:lang w:eastAsia="cs-CZ"/>
              </w:rPr>
              <w:t>„Vzoru pro operační programy v rámci cíle Investice pro růst a zaměstnanost“</w:t>
            </w:r>
            <w:r w:rsidR="003E798F">
              <w:rPr>
                <w:rFonts w:ascii="Times New Roman" w:eastAsia="Times New Roman" w:hAnsi="Times New Roman" w:cs="Times New Roman"/>
                <w:szCs w:val="20"/>
                <w:lang w:eastAsia="cs-CZ"/>
              </w:rPr>
              <w:t>, který tvoří přílohu</w:t>
            </w:r>
            <w:r w:rsidR="003E798F" w:rsidRPr="00E840B5">
              <w:rPr>
                <w:rFonts w:ascii="Times New Roman" w:eastAsia="Times New Roman" w:hAnsi="Times New Roman" w:cs="Times New Roman"/>
                <w:szCs w:val="20"/>
                <w:lang w:eastAsia="cs-CZ"/>
              </w:rPr>
              <w:t xml:space="preserve"> prováděcího </w:t>
            </w:r>
            <w:r w:rsidR="003E798F" w:rsidRPr="00667E35">
              <w:rPr>
                <w:rFonts w:ascii="Times New Roman" w:eastAsia="Times New Roman" w:hAnsi="Times New Roman" w:cs="Times New Roman"/>
                <w:szCs w:val="20"/>
                <w:lang w:eastAsia="cs-CZ"/>
              </w:rPr>
              <w:t xml:space="preserve">nařízení Komise (EU) č. 288/2014 ze dne 25. února 2014, není toto téma součástí </w:t>
            </w:r>
            <w:r w:rsidR="009D7676" w:rsidRPr="00667E35">
              <w:rPr>
                <w:rFonts w:ascii="Times New Roman" w:eastAsia="Times New Roman" w:hAnsi="Times New Roman" w:cs="Times New Roman"/>
                <w:szCs w:val="20"/>
                <w:lang w:eastAsia="cs-CZ"/>
              </w:rPr>
              <w:t xml:space="preserve">struktury </w:t>
            </w:r>
            <w:r w:rsidR="003E798F" w:rsidRPr="00667E35">
              <w:rPr>
                <w:rFonts w:ascii="Times New Roman" w:eastAsia="Times New Roman" w:hAnsi="Times New Roman" w:cs="Times New Roman"/>
                <w:szCs w:val="20"/>
                <w:lang w:eastAsia="cs-CZ"/>
              </w:rPr>
              <w:t>operačního programu.</w:t>
            </w:r>
          </w:p>
          <w:p w:rsidR="003E798F" w:rsidRPr="00667E35" w:rsidRDefault="003E798F" w:rsidP="003E798F">
            <w:pPr>
              <w:rPr>
                <w:rFonts w:ascii="Times New Roman" w:eastAsia="Times New Roman" w:hAnsi="Times New Roman" w:cs="Times New Roman"/>
                <w:szCs w:val="20"/>
                <w:lang w:eastAsia="cs-CZ"/>
              </w:rPr>
            </w:pPr>
          </w:p>
          <w:p w:rsidR="003E798F" w:rsidRPr="00667E35" w:rsidRDefault="00A83FFA" w:rsidP="003E798F">
            <w:pPr>
              <w:rPr>
                <w:rFonts w:ascii="Times New Roman" w:eastAsia="Times New Roman" w:hAnsi="Times New Roman" w:cs="Times New Roman"/>
                <w:szCs w:val="20"/>
                <w:lang w:eastAsia="cs-CZ"/>
              </w:rPr>
            </w:pPr>
            <w:r w:rsidRPr="00667E35">
              <w:rPr>
                <w:rFonts w:ascii="Times New Roman" w:eastAsia="Times New Roman" w:hAnsi="Times New Roman" w:cs="Times New Roman"/>
                <w:szCs w:val="20"/>
                <w:lang w:eastAsia="cs-CZ"/>
              </w:rPr>
              <w:t xml:space="preserve">Hodnotitel </w:t>
            </w:r>
            <w:r w:rsidR="003E798F" w:rsidRPr="00667E35">
              <w:rPr>
                <w:rFonts w:ascii="Times New Roman" w:eastAsia="Times New Roman" w:hAnsi="Times New Roman" w:cs="Times New Roman"/>
                <w:szCs w:val="20"/>
                <w:lang w:eastAsia="cs-CZ"/>
              </w:rPr>
              <w:t>doporučuje provést analýzu administrativní kapacity pro OP PIK, která by:</w:t>
            </w:r>
          </w:p>
          <w:p w:rsidR="003E798F" w:rsidRPr="003E798F" w:rsidRDefault="003E798F" w:rsidP="00C6279B">
            <w:pPr>
              <w:pStyle w:val="Odstavecseseznamem"/>
              <w:numPr>
                <w:ilvl w:val="0"/>
                <w:numId w:val="29"/>
              </w:numPr>
              <w:ind w:left="358" w:hanging="358"/>
              <w:jc w:val="both"/>
              <w:rPr>
                <w:sz w:val="20"/>
                <w:szCs w:val="20"/>
              </w:rPr>
            </w:pPr>
            <w:r w:rsidRPr="00667E35">
              <w:rPr>
                <w:sz w:val="20"/>
                <w:szCs w:val="20"/>
              </w:rPr>
              <w:t>navrhla optimální model kapacitního zabezpečení i</w:t>
            </w:r>
            <w:r w:rsidRPr="003E798F">
              <w:rPr>
                <w:sz w:val="20"/>
                <w:szCs w:val="20"/>
              </w:rPr>
              <w:t>mplementační struktury OP PIK,</w:t>
            </w:r>
          </w:p>
          <w:p w:rsidR="003E798F" w:rsidRPr="003E798F" w:rsidRDefault="003E798F" w:rsidP="00C6279B">
            <w:pPr>
              <w:pStyle w:val="Odstavecseseznamem"/>
              <w:numPr>
                <w:ilvl w:val="0"/>
                <w:numId w:val="29"/>
              </w:numPr>
              <w:ind w:left="358" w:hanging="358"/>
              <w:jc w:val="both"/>
              <w:rPr>
                <w:sz w:val="20"/>
                <w:szCs w:val="20"/>
              </w:rPr>
            </w:pPr>
            <w:r w:rsidRPr="003E798F">
              <w:rPr>
                <w:sz w:val="20"/>
                <w:szCs w:val="20"/>
              </w:rPr>
              <w:t xml:space="preserve">prověřila stávající personální kapacity na MPO, </w:t>
            </w:r>
            <w:proofErr w:type="spellStart"/>
            <w:r w:rsidRPr="003E798F">
              <w:rPr>
                <w:sz w:val="20"/>
                <w:szCs w:val="20"/>
              </w:rPr>
              <w:t>CzechInvestu</w:t>
            </w:r>
            <w:proofErr w:type="spellEnd"/>
            <w:r w:rsidRPr="003E798F">
              <w:rPr>
                <w:sz w:val="20"/>
                <w:szCs w:val="20"/>
              </w:rPr>
              <w:t xml:space="preserve"> a také na dalším zvažovaném zprostředkujícím subjektu (TA ČR),</w:t>
            </w:r>
          </w:p>
          <w:p w:rsidR="003E798F" w:rsidRPr="003E798F" w:rsidRDefault="003E798F" w:rsidP="00C6279B">
            <w:pPr>
              <w:pStyle w:val="Odstavecseseznamem"/>
              <w:numPr>
                <w:ilvl w:val="0"/>
                <w:numId w:val="29"/>
              </w:numPr>
              <w:ind w:left="358" w:hanging="358"/>
              <w:jc w:val="both"/>
              <w:rPr>
                <w:sz w:val="20"/>
                <w:szCs w:val="20"/>
              </w:rPr>
            </w:pPr>
            <w:r w:rsidRPr="003E798F">
              <w:rPr>
                <w:sz w:val="20"/>
                <w:szCs w:val="20"/>
              </w:rPr>
              <w:t>následně provedla srovnání aktuálního stavu s „optimální“ variantou, identifikovala riziková místa implementace programu a navrhla příslušná opatření.</w:t>
            </w:r>
          </w:p>
          <w:p w:rsidR="003E798F" w:rsidRDefault="003E798F" w:rsidP="003E798F">
            <w:pPr>
              <w:rPr>
                <w:rFonts w:ascii="Times New Roman" w:eastAsia="Times New Roman" w:hAnsi="Times New Roman" w:cs="Times New Roman"/>
                <w:szCs w:val="20"/>
                <w:lang w:eastAsia="cs-CZ"/>
              </w:rPr>
            </w:pPr>
          </w:p>
          <w:p w:rsidR="00A83FFA" w:rsidRPr="00DA7980" w:rsidRDefault="004C70C0" w:rsidP="004C70C0">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Zvýšenou pozornost z pohledu řízení a implementace programu je nutné věnovat novým tématům, se kterými nemá stávající implementační struktura dostatečné zkušenosti (zejm. SC 3.3, 3.4</w:t>
            </w:r>
            <w:r w:rsidR="002375C4" w:rsidRPr="00DA7980">
              <w:rPr>
                <w:rFonts w:ascii="Times New Roman" w:eastAsia="Times New Roman" w:hAnsi="Times New Roman" w:cs="Times New Roman"/>
                <w:szCs w:val="20"/>
                <w:lang w:eastAsia="cs-CZ"/>
              </w:rPr>
              <w:t>, 3.6</w:t>
            </w:r>
            <w:r w:rsidRPr="00DA7980">
              <w:rPr>
                <w:rFonts w:ascii="Times New Roman" w:eastAsia="Times New Roman" w:hAnsi="Times New Roman" w:cs="Times New Roman"/>
                <w:szCs w:val="20"/>
                <w:lang w:eastAsia="cs-CZ"/>
              </w:rPr>
              <w:t xml:space="preserve"> a 4.1</w:t>
            </w:r>
            <w:r w:rsidR="005C3221">
              <w:rPr>
                <w:rFonts w:ascii="Times New Roman" w:eastAsia="Times New Roman" w:hAnsi="Times New Roman" w:cs="Times New Roman"/>
                <w:szCs w:val="20"/>
                <w:lang w:eastAsia="cs-CZ"/>
              </w:rPr>
              <w:t xml:space="preserve"> a také nové finanční nástroje</w:t>
            </w:r>
            <w:r w:rsidRPr="00DA7980">
              <w:rPr>
                <w:rFonts w:ascii="Times New Roman" w:eastAsia="Times New Roman" w:hAnsi="Times New Roman" w:cs="Times New Roman"/>
                <w:szCs w:val="20"/>
                <w:lang w:eastAsia="cs-CZ"/>
              </w:rPr>
              <w:t>).</w:t>
            </w:r>
          </w:p>
        </w:tc>
      </w:tr>
      <w:tr w:rsidR="00E735E2" w:rsidRPr="00DA7980" w:rsidTr="00490D5C">
        <w:trPr>
          <w:trHeight w:val="755"/>
        </w:trPr>
        <w:tc>
          <w:tcPr>
            <w:tcW w:w="906" w:type="dxa"/>
            <w:shd w:val="clear" w:color="000000" w:fill="D7E4BC"/>
            <w:hideMark/>
          </w:tcPr>
          <w:p w:rsidR="00E735E2" w:rsidRPr="008B4736" w:rsidRDefault="00E735E2" w:rsidP="005C0ADF">
            <w:pPr>
              <w:rPr>
                <w:rFonts w:ascii="Times New Roman" w:eastAsia="Times New Roman" w:hAnsi="Times New Roman" w:cs="Times New Roman"/>
                <w:szCs w:val="20"/>
                <w:lang w:eastAsia="cs-CZ"/>
              </w:rPr>
            </w:pPr>
            <w:r w:rsidRPr="008B4736">
              <w:rPr>
                <w:rFonts w:ascii="Times New Roman" w:eastAsia="Times New Roman" w:hAnsi="Times New Roman" w:cs="Times New Roman"/>
                <w:szCs w:val="20"/>
                <w:lang w:eastAsia="cs-CZ"/>
              </w:rPr>
              <w:t>02.11</w:t>
            </w:r>
          </w:p>
        </w:tc>
        <w:tc>
          <w:tcPr>
            <w:tcW w:w="2795" w:type="dxa"/>
            <w:shd w:val="clear" w:color="000000" w:fill="D7E4BC"/>
            <w:hideMark/>
          </w:tcPr>
          <w:p w:rsidR="00E735E2" w:rsidRPr="008B4736" w:rsidRDefault="00E735E2" w:rsidP="005C0ADF">
            <w:pPr>
              <w:rPr>
                <w:rFonts w:ascii="Times New Roman" w:eastAsia="Times New Roman" w:hAnsi="Times New Roman" w:cs="Times New Roman"/>
                <w:szCs w:val="20"/>
                <w:lang w:eastAsia="cs-CZ"/>
              </w:rPr>
            </w:pPr>
            <w:r w:rsidRPr="008B4736">
              <w:rPr>
                <w:rFonts w:ascii="Times New Roman" w:eastAsia="Times New Roman" w:hAnsi="Times New Roman" w:cs="Times New Roman"/>
                <w:szCs w:val="20"/>
                <w:lang w:eastAsia="cs-CZ"/>
              </w:rPr>
              <w:t>Je správně nastaven indikativní evaluační plán operačního programu?</w:t>
            </w:r>
          </w:p>
        </w:tc>
        <w:tc>
          <w:tcPr>
            <w:tcW w:w="1698" w:type="dxa"/>
            <w:shd w:val="clear" w:color="000000" w:fill="D7E4BC"/>
            <w:vAlign w:val="center"/>
            <w:hideMark/>
          </w:tcPr>
          <w:p w:rsidR="00E735E2" w:rsidRPr="008B4736" w:rsidRDefault="008B4736" w:rsidP="00FE7D17">
            <w:pPr>
              <w:jc w:val="cente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SA</w:t>
            </w:r>
          </w:p>
        </w:tc>
        <w:tc>
          <w:tcPr>
            <w:tcW w:w="3830" w:type="dxa"/>
            <w:shd w:val="clear" w:color="000000" w:fill="D7E4BC"/>
            <w:hideMark/>
          </w:tcPr>
          <w:p w:rsidR="00E735E2" w:rsidRPr="008B4736" w:rsidRDefault="00E735E2" w:rsidP="004F488D">
            <w:pPr>
              <w:rPr>
                <w:rFonts w:ascii="Times New Roman" w:eastAsia="Times New Roman" w:hAnsi="Times New Roman" w:cs="Times New Roman"/>
                <w:szCs w:val="20"/>
                <w:lang w:eastAsia="cs-CZ"/>
              </w:rPr>
            </w:pPr>
            <w:r w:rsidRPr="008B4736">
              <w:rPr>
                <w:rFonts w:ascii="Times New Roman" w:eastAsia="Times New Roman" w:hAnsi="Times New Roman" w:cs="Times New Roman"/>
                <w:szCs w:val="20"/>
                <w:lang w:eastAsia="cs-CZ"/>
              </w:rPr>
              <w:t>Hodnotitel měl k dispozici pracovní návrh Evaluačního plánu OP PIK 2014-2020 z dubna 2014.</w:t>
            </w:r>
            <w:r w:rsidR="004F488D" w:rsidRPr="008B4736">
              <w:rPr>
                <w:rFonts w:ascii="Times New Roman" w:eastAsia="Times New Roman" w:hAnsi="Times New Roman" w:cs="Times New Roman"/>
                <w:szCs w:val="20"/>
                <w:lang w:eastAsia="cs-CZ"/>
              </w:rPr>
              <w:t xml:space="preserve"> </w:t>
            </w:r>
            <w:r w:rsidRPr="008B4736">
              <w:rPr>
                <w:rFonts w:ascii="Times New Roman" w:eastAsia="Times New Roman" w:hAnsi="Times New Roman" w:cs="Times New Roman"/>
                <w:szCs w:val="20"/>
                <w:lang w:eastAsia="cs-CZ"/>
              </w:rPr>
              <w:t xml:space="preserve">Jedná se </w:t>
            </w:r>
            <w:r w:rsidR="004F488D" w:rsidRPr="008B4736">
              <w:rPr>
                <w:rFonts w:ascii="Times New Roman" w:eastAsia="Times New Roman" w:hAnsi="Times New Roman" w:cs="Times New Roman"/>
                <w:szCs w:val="20"/>
                <w:lang w:eastAsia="cs-CZ"/>
              </w:rPr>
              <w:t xml:space="preserve">o </w:t>
            </w:r>
            <w:r w:rsidRPr="008B4736">
              <w:rPr>
                <w:rFonts w:ascii="Times New Roman" w:eastAsia="Times New Roman" w:hAnsi="Times New Roman" w:cs="Times New Roman"/>
                <w:szCs w:val="20"/>
                <w:lang w:eastAsia="cs-CZ"/>
              </w:rPr>
              <w:t>zatím neúplný</w:t>
            </w:r>
            <w:r w:rsidR="004F488D" w:rsidRPr="008B4736">
              <w:rPr>
                <w:rFonts w:ascii="Times New Roman" w:eastAsia="Times New Roman" w:hAnsi="Times New Roman" w:cs="Times New Roman"/>
                <w:szCs w:val="20"/>
                <w:lang w:eastAsia="cs-CZ"/>
              </w:rPr>
              <w:t xml:space="preserve"> </w:t>
            </w:r>
            <w:r w:rsidRPr="008B4736">
              <w:rPr>
                <w:rFonts w:ascii="Times New Roman" w:eastAsia="Times New Roman" w:hAnsi="Times New Roman" w:cs="Times New Roman"/>
                <w:szCs w:val="20"/>
                <w:lang w:eastAsia="cs-CZ"/>
              </w:rPr>
              <w:t>text</w:t>
            </w:r>
            <w:r w:rsidR="004F488D" w:rsidRPr="008B4736">
              <w:rPr>
                <w:rFonts w:ascii="Times New Roman" w:eastAsia="Times New Roman" w:hAnsi="Times New Roman" w:cs="Times New Roman"/>
                <w:szCs w:val="20"/>
                <w:lang w:eastAsia="cs-CZ"/>
              </w:rPr>
              <w:t xml:space="preserve"> ve stavu rozpracovanosti.</w:t>
            </w:r>
          </w:p>
          <w:p w:rsidR="004F488D" w:rsidRPr="008B4736" w:rsidRDefault="00BE284B" w:rsidP="00477F5A">
            <w:pPr>
              <w:rPr>
                <w:rFonts w:ascii="Times New Roman" w:eastAsia="Times New Roman" w:hAnsi="Times New Roman" w:cs="Times New Roman"/>
                <w:szCs w:val="20"/>
                <w:lang w:eastAsia="cs-CZ"/>
              </w:rPr>
            </w:pPr>
            <w:r w:rsidRPr="008B4736">
              <w:rPr>
                <w:rFonts w:ascii="Times New Roman" w:eastAsia="Times New Roman" w:hAnsi="Times New Roman" w:cs="Times New Roman"/>
                <w:szCs w:val="20"/>
                <w:lang w:eastAsia="cs-CZ"/>
              </w:rPr>
              <w:t xml:space="preserve">Vzhledem k tomu, že </w:t>
            </w:r>
            <w:r w:rsidR="005C3221">
              <w:rPr>
                <w:rFonts w:ascii="Times New Roman" w:eastAsia="Times New Roman" w:hAnsi="Times New Roman" w:cs="Times New Roman"/>
                <w:szCs w:val="20"/>
                <w:lang w:eastAsia="cs-CZ"/>
              </w:rPr>
              <w:t>E</w:t>
            </w:r>
            <w:r w:rsidRPr="008B4736">
              <w:rPr>
                <w:rFonts w:ascii="Times New Roman" w:eastAsia="Times New Roman" w:hAnsi="Times New Roman" w:cs="Times New Roman"/>
                <w:szCs w:val="20"/>
                <w:lang w:eastAsia="cs-CZ"/>
              </w:rPr>
              <w:t>valuační</w:t>
            </w:r>
            <w:r w:rsidR="005C3221">
              <w:rPr>
                <w:rFonts w:ascii="Times New Roman" w:eastAsia="Times New Roman" w:hAnsi="Times New Roman" w:cs="Times New Roman"/>
                <w:szCs w:val="20"/>
                <w:lang w:eastAsia="cs-CZ"/>
              </w:rPr>
              <w:t xml:space="preserve"> plán</w:t>
            </w:r>
            <w:r w:rsidRPr="008B4736">
              <w:rPr>
                <w:rFonts w:ascii="Times New Roman" w:eastAsia="Times New Roman" w:hAnsi="Times New Roman" w:cs="Times New Roman"/>
                <w:szCs w:val="20"/>
                <w:lang w:eastAsia="cs-CZ"/>
              </w:rPr>
              <w:t xml:space="preserve"> OP PIK </w:t>
            </w:r>
            <w:r w:rsidRPr="008B4736">
              <w:rPr>
                <w:rFonts w:ascii="Times New Roman" w:eastAsia="Times New Roman" w:hAnsi="Times New Roman" w:cs="Times New Roman"/>
                <w:szCs w:val="20"/>
                <w:lang w:eastAsia="cs-CZ"/>
              </w:rPr>
              <w:lastRenderedPageBreak/>
              <w:t>představuje samostatn</w:t>
            </w:r>
            <w:r w:rsidR="00AB2136" w:rsidRPr="008B4736">
              <w:rPr>
                <w:rFonts w:ascii="Times New Roman" w:eastAsia="Times New Roman" w:hAnsi="Times New Roman" w:cs="Times New Roman"/>
                <w:szCs w:val="20"/>
                <w:lang w:eastAsia="cs-CZ"/>
              </w:rPr>
              <w:t xml:space="preserve">ý dokument stojící mimo strukturu operačního programu a jeho příloh, není </w:t>
            </w:r>
            <w:r w:rsidR="005C3221">
              <w:rPr>
                <w:rFonts w:ascii="Times New Roman" w:eastAsia="Times New Roman" w:hAnsi="Times New Roman" w:cs="Times New Roman"/>
                <w:szCs w:val="20"/>
                <w:lang w:eastAsia="cs-CZ"/>
              </w:rPr>
              <w:t xml:space="preserve">jeho </w:t>
            </w:r>
            <w:r w:rsidR="00477F5A">
              <w:rPr>
                <w:rFonts w:ascii="Times New Roman" w:eastAsia="Times New Roman" w:hAnsi="Times New Roman" w:cs="Times New Roman"/>
                <w:szCs w:val="20"/>
                <w:lang w:eastAsia="cs-CZ"/>
              </w:rPr>
              <w:t xml:space="preserve">vlastní </w:t>
            </w:r>
            <w:r w:rsidR="005C3221">
              <w:rPr>
                <w:rFonts w:ascii="Times New Roman" w:eastAsia="Times New Roman" w:hAnsi="Times New Roman" w:cs="Times New Roman"/>
                <w:szCs w:val="20"/>
                <w:lang w:eastAsia="cs-CZ"/>
              </w:rPr>
              <w:t>obsahová náplň předmětem hodnocení</w:t>
            </w:r>
            <w:r w:rsidR="00477F5A">
              <w:rPr>
                <w:rFonts w:ascii="Times New Roman" w:eastAsia="Times New Roman" w:hAnsi="Times New Roman" w:cs="Times New Roman"/>
                <w:szCs w:val="20"/>
                <w:lang w:eastAsia="cs-CZ"/>
              </w:rPr>
              <w:t xml:space="preserve"> v rámci</w:t>
            </w:r>
            <w:r w:rsidR="005C3221">
              <w:rPr>
                <w:rFonts w:ascii="Times New Roman" w:eastAsia="Times New Roman" w:hAnsi="Times New Roman" w:cs="Times New Roman"/>
                <w:szCs w:val="20"/>
                <w:lang w:eastAsia="cs-CZ"/>
              </w:rPr>
              <w:t xml:space="preserve"> </w:t>
            </w:r>
            <w:r w:rsidR="00AB2136" w:rsidRPr="008B4736">
              <w:rPr>
                <w:rFonts w:ascii="Times New Roman" w:eastAsia="Times New Roman" w:hAnsi="Times New Roman" w:cs="Times New Roman"/>
                <w:szCs w:val="20"/>
                <w:lang w:eastAsia="cs-CZ"/>
              </w:rPr>
              <w:t xml:space="preserve">této závěrečné zprávy. Hodnotitel níže uvádí </w:t>
            </w:r>
            <w:r w:rsidR="005C3221">
              <w:rPr>
                <w:rFonts w:ascii="Times New Roman" w:eastAsia="Times New Roman" w:hAnsi="Times New Roman" w:cs="Times New Roman"/>
                <w:szCs w:val="20"/>
                <w:lang w:eastAsia="cs-CZ"/>
              </w:rPr>
              <w:t xml:space="preserve">alespoň </w:t>
            </w:r>
            <w:r w:rsidR="00AB2136" w:rsidRPr="008B4736">
              <w:rPr>
                <w:rFonts w:ascii="Times New Roman" w:eastAsia="Times New Roman" w:hAnsi="Times New Roman" w:cs="Times New Roman"/>
                <w:szCs w:val="20"/>
                <w:lang w:eastAsia="cs-CZ"/>
              </w:rPr>
              <w:t>některá</w:t>
            </w:r>
            <w:r w:rsidR="005C3221">
              <w:rPr>
                <w:rFonts w:ascii="Times New Roman" w:eastAsia="Times New Roman" w:hAnsi="Times New Roman" w:cs="Times New Roman"/>
                <w:szCs w:val="20"/>
                <w:lang w:eastAsia="cs-CZ"/>
              </w:rPr>
              <w:t>,</w:t>
            </w:r>
            <w:r w:rsidR="00AB2136" w:rsidRPr="008B4736">
              <w:rPr>
                <w:rFonts w:ascii="Times New Roman" w:eastAsia="Times New Roman" w:hAnsi="Times New Roman" w:cs="Times New Roman"/>
                <w:szCs w:val="20"/>
                <w:lang w:eastAsia="cs-CZ"/>
              </w:rPr>
              <w:t xml:space="preserve"> spíše obecná doporučení k tvorbě evaluačního plánu.</w:t>
            </w:r>
          </w:p>
        </w:tc>
      </w:tr>
    </w:tbl>
    <w:p w:rsidR="008459AE" w:rsidRDefault="008459AE" w:rsidP="008459AE">
      <w:pPr>
        <w:spacing w:after="120"/>
        <w:rPr>
          <w:rFonts w:cs="Tahoma"/>
          <w:szCs w:val="20"/>
        </w:rPr>
      </w:pPr>
    </w:p>
    <w:p w:rsidR="00746584" w:rsidRDefault="00746584" w:rsidP="00746584">
      <w:pPr>
        <w:spacing w:after="120"/>
        <w:rPr>
          <w:rFonts w:cs="Tahoma"/>
          <w:szCs w:val="20"/>
        </w:rPr>
      </w:pPr>
      <w:r w:rsidRPr="00133FE0">
        <w:rPr>
          <w:rFonts w:cs="Tahoma"/>
          <w:szCs w:val="20"/>
        </w:rPr>
        <w:t>Další komentáře a doporučení:</w:t>
      </w:r>
    </w:p>
    <w:tbl>
      <w:tblPr>
        <w:tblStyle w:val="Mkatabulky"/>
        <w:tblW w:w="9180" w:type="dxa"/>
        <w:tblLook w:val="04A0"/>
      </w:tblPr>
      <w:tblGrid>
        <w:gridCol w:w="534"/>
        <w:gridCol w:w="8646"/>
      </w:tblGrid>
      <w:tr w:rsidR="00F10D91" w:rsidRPr="004E4E23" w:rsidTr="00F10D91">
        <w:tc>
          <w:tcPr>
            <w:tcW w:w="534" w:type="dxa"/>
          </w:tcPr>
          <w:p w:rsidR="00F10D91" w:rsidRPr="004E4E23" w:rsidRDefault="00F10D91" w:rsidP="00F10D91">
            <w:pPr>
              <w:spacing w:after="120"/>
              <w:jc w:val="center"/>
              <w:rPr>
                <w:rFonts w:cs="Tahoma"/>
                <w:szCs w:val="20"/>
              </w:rPr>
            </w:pPr>
            <w:r w:rsidRPr="004E4E23">
              <w:rPr>
                <w:rFonts w:cs="Tahoma"/>
                <w:szCs w:val="20"/>
              </w:rPr>
              <w:t>1</w:t>
            </w:r>
          </w:p>
        </w:tc>
        <w:tc>
          <w:tcPr>
            <w:tcW w:w="8646" w:type="dxa"/>
          </w:tcPr>
          <w:p w:rsidR="00F10D91" w:rsidRPr="004E4E23" w:rsidRDefault="00F10D91" w:rsidP="00ED023A">
            <w:pPr>
              <w:spacing w:after="120"/>
              <w:rPr>
                <w:rFonts w:cs="Tahoma"/>
                <w:szCs w:val="20"/>
              </w:rPr>
            </w:pPr>
            <w:r w:rsidRPr="004E4E23">
              <w:rPr>
                <w:rFonts w:cs="Tahoma"/>
                <w:szCs w:val="20"/>
              </w:rPr>
              <w:t xml:space="preserve">Základním informačním systémem OPPI je ISOP7-13, který je nedílnou součástí Jednotného monitorovacího systému strukturálních fondů. Systém ISOP7-13 byl od svých počátků budován tak, aby vyhověl plně požadavkům příslušné metodiky monitoringu MMR-NOK. Zároveň je to systém, který slouží specifickým potřebám ŘO OPPI na řízení tohoto operačního programu, resp. jednotlivých vyhlášených programů podpory. ISOP7-13 tvoří dva subsystémy: </w:t>
            </w:r>
            <w:proofErr w:type="spellStart"/>
            <w:r w:rsidRPr="004E4E23">
              <w:rPr>
                <w:rFonts w:cs="Tahoma"/>
                <w:szCs w:val="20"/>
              </w:rPr>
              <w:t>eAccount</w:t>
            </w:r>
            <w:proofErr w:type="spellEnd"/>
            <w:r w:rsidRPr="004E4E23">
              <w:rPr>
                <w:rFonts w:cs="Tahoma"/>
                <w:szCs w:val="20"/>
              </w:rPr>
              <w:t xml:space="preserve"> a ISOP-Centrum.</w:t>
            </w:r>
          </w:p>
          <w:p w:rsidR="00F10D91" w:rsidRPr="004E4E23" w:rsidRDefault="00F10D91" w:rsidP="00ED023A">
            <w:pPr>
              <w:spacing w:after="120"/>
              <w:rPr>
                <w:rFonts w:cs="Tahoma"/>
                <w:szCs w:val="20"/>
              </w:rPr>
            </w:pPr>
            <w:r w:rsidRPr="004E4E23">
              <w:rPr>
                <w:rFonts w:cs="Tahoma"/>
                <w:szCs w:val="20"/>
              </w:rPr>
              <w:t>Dosud realizované průzkumy a šetření jak mezi žadateli a příjemci v OPPI, tak mezi pracovníky implementační struktury OPPI opakovaně prokázaly pozitivní vnímání obou subsystémů ze strany jejich uživatelů. Stávající ISOP7-13 v současné podobě představuje regulérní formu manažerského informačního systému, který plně podporuje procesy a vyhovuje potřebám řízení a administrace OPPI. Nad rámec „běžných“ požadavků na monitorovací systém dokáže stávající ISOP řešit i složitější požadavky uživatelů (např. v oblasti agregace indikátorů), čímž převyšuje technické schopnosti ostatních prvků Jednotného monitorovacího systému včetně MSC2007.</w:t>
            </w:r>
          </w:p>
          <w:p w:rsidR="00F10D91" w:rsidRPr="004E4E23" w:rsidRDefault="00F10D91" w:rsidP="00ED023A">
            <w:pPr>
              <w:spacing w:after="120"/>
              <w:rPr>
                <w:rFonts w:cs="Tahoma"/>
                <w:szCs w:val="20"/>
              </w:rPr>
            </w:pPr>
            <w:r w:rsidRPr="004E4E23">
              <w:rPr>
                <w:rFonts w:cs="Tahoma"/>
                <w:szCs w:val="20"/>
              </w:rPr>
              <w:t>Hodnotitel proto vnímá a chápe jisté obavy a pochybnosti ze strany pracovníků implementační struktury programu z plánovaného přechodu na jednotný monitorovací systém MS2014+.</w:t>
            </w:r>
          </w:p>
          <w:p w:rsidR="00F10D91" w:rsidRPr="004E4E23" w:rsidRDefault="00F10D91" w:rsidP="00ED023A">
            <w:pPr>
              <w:spacing w:after="120"/>
              <w:rPr>
                <w:rFonts w:cs="Tahoma"/>
                <w:szCs w:val="20"/>
              </w:rPr>
            </w:pPr>
            <w:r w:rsidRPr="004E4E23">
              <w:rPr>
                <w:rFonts w:cs="Tahoma"/>
                <w:szCs w:val="20"/>
              </w:rPr>
              <w:t>Klíčovým předpokladem pro zajištění vhodných postupů monitorování programu a shromažďování dat je včasné spuštění nového jednotného monitorovacího systému pro programové období 2014-2020 a jeho funkcionalita, která musí zajišťovat všechny procesy nezbytné pro implementaci OP PIK.</w:t>
            </w:r>
          </w:p>
        </w:tc>
      </w:tr>
      <w:tr w:rsidR="00F10D91" w:rsidRPr="004E4E23" w:rsidTr="00F10D91">
        <w:tc>
          <w:tcPr>
            <w:tcW w:w="534" w:type="dxa"/>
          </w:tcPr>
          <w:p w:rsidR="00F10D91" w:rsidRPr="004E4E23" w:rsidRDefault="00F10D91" w:rsidP="00F10D91">
            <w:pPr>
              <w:spacing w:after="120"/>
              <w:jc w:val="center"/>
              <w:rPr>
                <w:rFonts w:cs="Tahoma"/>
                <w:szCs w:val="20"/>
              </w:rPr>
            </w:pPr>
            <w:r w:rsidRPr="004E4E23">
              <w:rPr>
                <w:rFonts w:cs="Tahoma"/>
                <w:szCs w:val="20"/>
              </w:rPr>
              <w:t>2</w:t>
            </w:r>
          </w:p>
        </w:tc>
        <w:tc>
          <w:tcPr>
            <w:tcW w:w="8646" w:type="dxa"/>
          </w:tcPr>
          <w:p w:rsidR="00F10D91" w:rsidRPr="004E4E23" w:rsidRDefault="00F10D91" w:rsidP="00ED023A">
            <w:pPr>
              <w:spacing w:after="120"/>
              <w:rPr>
                <w:rFonts w:cs="Tahoma"/>
                <w:szCs w:val="20"/>
              </w:rPr>
            </w:pPr>
            <w:r w:rsidRPr="004E4E23">
              <w:rPr>
                <w:rFonts w:cs="Tahoma"/>
                <w:szCs w:val="20"/>
              </w:rPr>
              <w:t>Hodnotitel spatřuje - na základě dosavadního průběhu a zkušeností s implementací OPPI i se strukturálními fondy v ČR obecně a také s ohledem na nová pravidla a požadavky nového programového období – následující významná rizika pro systém implementace nového programu:</w:t>
            </w:r>
          </w:p>
          <w:p w:rsidR="00B93F65" w:rsidRPr="004E4E23" w:rsidRDefault="00B93F65" w:rsidP="00C6279B">
            <w:pPr>
              <w:pStyle w:val="Odstavecseseznamem"/>
              <w:numPr>
                <w:ilvl w:val="0"/>
                <w:numId w:val="11"/>
              </w:numPr>
              <w:spacing w:after="120"/>
              <w:jc w:val="both"/>
              <w:rPr>
                <w:rFonts w:ascii="Tahoma" w:hAnsi="Tahoma" w:cs="Tahoma"/>
                <w:sz w:val="20"/>
                <w:szCs w:val="20"/>
              </w:rPr>
            </w:pPr>
            <w:r w:rsidRPr="004E4E23">
              <w:rPr>
                <w:rFonts w:ascii="Tahoma" w:hAnsi="Tahoma" w:cs="Tahoma"/>
                <w:sz w:val="20"/>
                <w:szCs w:val="20"/>
              </w:rPr>
              <w:t>Opožděné spuštění nového jednotného monitorovacího systému, jeho uživatelská „</w:t>
            </w:r>
            <w:proofErr w:type="spellStart"/>
            <w:r w:rsidRPr="004E4E23">
              <w:rPr>
                <w:rFonts w:ascii="Tahoma" w:hAnsi="Tahoma" w:cs="Tahoma"/>
                <w:sz w:val="20"/>
                <w:szCs w:val="20"/>
              </w:rPr>
              <w:t>nevstřícnost</w:t>
            </w:r>
            <w:proofErr w:type="spellEnd"/>
            <w:r w:rsidRPr="004E4E23">
              <w:rPr>
                <w:rFonts w:ascii="Tahoma" w:hAnsi="Tahoma" w:cs="Tahoma"/>
                <w:sz w:val="20"/>
                <w:szCs w:val="20"/>
              </w:rPr>
              <w:t>“, problémy se stabilitou a funkčností (např. neaktuální a nepřesná data, nemožnost generovat požadované sestavy důležité pro administraci programu, komplikovaný a chybový přenos dat s navazujícími informačními systémy apod.)</w:t>
            </w:r>
            <w:r>
              <w:rPr>
                <w:rFonts w:ascii="Tahoma" w:hAnsi="Tahoma" w:cs="Tahoma"/>
                <w:sz w:val="20"/>
                <w:szCs w:val="20"/>
              </w:rPr>
              <w:t>.</w:t>
            </w:r>
          </w:p>
          <w:p w:rsidR="00B93F65" w:rsidRPr="004E4E23" w:rsidRDefault="00B93F65" w:rsidP="00C6279B">
            <w:pPr>
              <w:pStyle w:val="Odstavecseseznamem"/>
              <w:numPr>
                <w:ilvl w:val="0"/>
                <w:numId w:val="11"/>
              </w:numPr>
              <w:spacing w:after="120"/>
              <w:jc w:val="both"/>
              <w:rPr>
                <w:rFonts w:ascii="Tahoma" w:hAnsi="Tahoma" w:cs="Tahoma"/>
                <w:sz w:val="20"/>
                <w:szCs w:val="20"/>
              </w:rPr>
            </w:pPr>
            <w:r w:rsidRPr="004E4E23">
              <w:rPr>
                <w:rFonts w:ascii="Tahoma" w:hAnsi="Tahoma" w:cs="Tahoma"/>
                <w:sz w:val="20"/>
                <w:szCs w:val="20"/>
              </w:rPr>
              <w:t>Sjednocování metodického prostředí napříč všemi programy ESIF, které nemusí odpovídat potřebám OP PIK</w:t>
            </w:r>
            <w:r>
              <w:rPr>
                <w:rFonts w:ascii="Tahoma" w:hAnsi="Tahoma" w:cs="Tahoma"/>
                <w:sz w:val="20"/>
                <w:szCs w:val="20"/>
              </w:rPr>
              <w:t>.</w:t>
            </w:r>
          </w:p>
          <w:p w:rsidR="00B93F65" w:rsidRDefault="00F10D91" w:rsidP="00C6279B">
            <w:pPr>
              <w:pStyle w:val="Odstavecseseznamem"/>
              <w:numPr>
                <w:ilvl w:val="0"/>
                <w:numId w:val="11"/>
              </w:numPr>
              <w:spacing w:after="120"/>
              <w:jc w:val="both"/>
              <w:rPr>
                <w:rFonts w:ascii="Tahoma" w:hAnsi="Tahoma" w:cs="Tahoma"/>
                <w:sz w:val="20"/>
                <w:szCs w:val="20"/>
              </w:rPr>
            </w:pPr>
            <w:r w:rsidRPr="004E4E23">
              <w:rPr>
                <w:rFonts w:ascii="Tahoma" w:hAnsi="Tahoma" w:cs="Tahoma"/>
                <w:sz w:val="20"/>
                <w:szCs w:val="20"/>
              </w:rPr>
              <w:t>Nedostatečná administrativní kapacita na straně orgánů zodpovědných za řízení programu, a to jak z kvantitativního, tak i kvalitativního hlediska (odbornost, erudice pracovníků)</w:t>
            </w:r>
            <w:r w:rsidR="00294380">
              <w:rPr>
                <w:rFonts w:ascii="Tahoma" w:hAnsi="Tahoma" w:cs="Tahoma"/>
                <w:sz w:val="20"/>
                <w:szCs w:val="20"/>
              </w:rPr>
              <w:t>.</w:t>
            </w:r>
            <w:r w:rsidR="00B93F65" w:rsidRPr="004E4E23">
              <w:rPr>
                <w:rFonts w:ascii="Tahoma" w:hAnsi="Tahoma" w:cs="Tahoma"/>
                <w:sz w:val="20"/>
                <w:szCs w:val="20"/>
              </w:rPr>
              <w:t xml:space="preserve"> </w:t>
            </w:r>
          </w:p>
          <w:p w:rsidR="00B93F65" w:rsidRPr="004E4E23" w:rsidRDefault="00B93F65" w:rsidP="00C6279B">
            <w:pPr>
              <w:pStyle w:val="Odstavecseseznamem"/>
              <w:numPr>
                <w:ilvl w:val="0"/>
                <w:numId w:val="11"/>
              </w:numPr>
              <w:spacing w:after="120"/>
              <w:jc w:val="both"/>
              <w:rPr>
                <w:rFonts w:ascii="Tahoma" w:hAnsi="Tahoma" w:cs="Tahoma"/>
                <w:sz w:val="20"/>
                <w:szCs w:val="20"/>
              </w:rPr>
            </w:pPr>
            <w:r w:rsidRPr="004E4E23">
              <w:rPr>
                <w:rFonts w:ascii="Tahoma" w:hAnsi="Tahoma" w:cs="Tahoma"/>
                <w:sz w:val="20"/>
                <w:szCs w:val="20"/>
              </w:rPr>
              <w:t>Nedostatečná připravenost administrativních kapacit programu na nové programové období - zejména nutnost seznámit se s novou legislativou a s aplikací nových pravidel, přechod na nový jednotný monitorovací systém MS2014+ apod.</w:t>
            </w:r>
          </w:p>
          <w:p w:rsidR="00F10D91" w:rsidRPr="004E4E23" w:rsidRDefault="00F10D91" w:rsidP="00C6279B">
            <w:pPr>
              <w:pStyle w:val="Odstavecseseznamem"/>
              <w:numPr>
                <w:ilvl w:val="0"/>
                <w:numId w:val="11"/>
              </w:numPr>
              <w:spacing w:after="120"/>
              <w:jc w:val="both"/>
              <w:rPr>
                <w:rFonts w:ascii="Tahoma" w:hAnsi="Tahoma" w:cs="Tahoma"/>
                <w:sz w:val="20"/>
                <w:szCs w:val="20"/>
              </w:rPr>
            </w:pPr>
            <w:r w:rsidRPr="004E4E23">
              <w:rPr>
                <w:rFonts w:ascii="Tahoma" w:hAnsi="Tahoma" w:cs="Tahoma"/>
                <w:sz w:val="20"/>
                <w:szCs w:val="20"/>
              </w:rPr>
              <w:t>Neopodstatněné změny stávající, relativně stabilní implementační struktury programu (např. zařazováním nových subjektů do implementační struktury)</w:t>
            </w:r>
            <w:r w:rsidR="00294380">
              <w:rPr>
                <w:rFonts w:ascii="Tahoma" w:hAnsi="Tahoma" w:cs="Tahoma"/>
                <w:sz w:val="20"/>
                <w:szCs w:val="20"/>
              </w:rPr>
              <w:t>.</w:t>
            </w:r>
          </w:p>
          <w:p w:rsidR="00F10D91" w:rsidRPr="004E4E23" w:rsidRDefault="00F10D91" w:rsidP="00C6279B">
            <w:pPr>
              <w:pStyle w:val="Odstavecseseznamem"/>
              <w:numPr>
                <w:ilvl w:val="0"/>
                <w:numId w:val="11"/>
              </w:numPr>
              <w:spacing w:after="120"/>
              <w:jc w:val="both"/>
              <w:rPr>
                <w:rFonts w:ascii="Tahoma" w:hAnsi="Tahoma" w:cs="Tahoma"/>
                <w:sz w:val="20"/>
                <w:szCs w:val="20"/>
              </w:rPr>
            </w:pPr>
            <w:r w:rsidRPr="004E4E23">
              <w:rPr>
                <w:rFonts w:ascii="Tahoma" w:hAnsi="Tahoma" w:cs="Tahoma"/>
                <w:sz w:val="20"/>
                <w:szCs w:val="20"/>
              </w:rPr>
              <w:t xml:space="preserve">Častá fluktuace pracovníků implementační struktury způsobená jednak nedostatečnou </w:t>
            </w:r>
            <w:r w:rsidRPr="004E4E23">
              <w:rPr>
                <w:rFonts w:ascii="Tahoma" w:hAnsi="Tahoma" w:cs="Tahoma"/>
                <w:sz w:val="20"/>
                <w:szCs w:val="20"/>
              </w:rPr>
              <w:lastRenderedPageBreak/>
              <w:t>motivací, ale také vnějšími (např. politickými) zásahy do personálního složení útvarů zajišťujících výkon agendy ESIF</w:t>
            </w:r>
            <w:r w:rsidR="00294380">
              <w:rPr>
                <w:rFonts w:ascii="Tahoma" w:hAnsi="Tahoma" w:cs="Tahoma"/>
                <w:sz w:val="20"/>
                <w:szCs w:val="20"/>
              </w:rPr>
              <w:t>.</w:t>
            </w:r>
          </w:p>
          <w:p w:rsidR="00F10D91" w:rsidRPr="004E4E23" w:rsidRDefault="00F10D91" w:rsidP="00C6279B">
            <w:pPr>
              <w:pStyle w:val="Odstavecseseznamem"/>
              <w:numPr>
                <w:ilvl w:val="0"/>
                <w:numId w:val="11"/>
              </w:numPr>
              <w:spacing w:after="120"/>
              <w:jc w:val="both"/>
              <w:rPr>
                <w:rFonts w:ascii="Tahoma" w:hAnsi="Tahoma" w:cs="Tahoma"/>
                <w:sz w:val="20"/>
                <w:szCs w:val="20"/>
              </w:rPr>
            </w:pPr>
            <w:r w:rsidRPr="004E4E23">
              <w:rPr>
                <w:rFonts w:ascii="Tahoma" w:hAnsi="Tahoma" w:cs="Tahoma"/>
                <w:sz w:val="20"/>
                <w:szCs w:val="20"/>
              </w:rPr>
              <w:t>Nesystémové vyhlašování výzev v programu způsobující nárazové „přetížení“ implementační struktury programu a tím prodlužování procesů administrace a hodnocení projektů</w:t>
            </w:r>
            <w:r w:rsidR="00294380">
              <w:rPr>
                <w:rFonts w:ascii="Tahoma" w:hAnsi="Tahoma" w:cs="Tahoma"/>
                <w:sz w:val="20"/>
                <w:szCs w:val="20"/>
              </w:rPr>
              <w:t>.</w:t>
            </w:r>
          </w:p>
          <w:p w:rsidR="00F10D91" w:rsidRPr="004E4E23" w:rsidRDefault="00F10D91" w:rsidP="00C6279B">
            <w:pPr>
              <w:pStyle w:val="Odstavecseseznamem"/>
              <w:numPr>
                <w:ilvl w:val="0"/>
                <w:numId w:val="11"/>
              </w:numPr>
              <w:spacing w:after="120"/>
              <w:jc w:val="both"/>
              <w:rPr>
                <w:rFonts w:ascii="Tahoma" w:hAnsi="Tahoma" w:cs="Tahoma"/>
                <w:sz w:val="20"/>
                <w:szCs w:val="20"/>
              </w:rPr>
            </w:pPr>
            <w:r w:rsidRPr="004E4E23">
              <w:rPr>
                <w:rFonts w:ascii="Tahoma" w:hAnsi="Tahoma" w:cs="Tahoma"/>
                <w:sz w:val="20"/>
                <w:szCs w:val="20"/>
              </w:rPr>
              <w:t>Časté změny v řídící (implementační) dokumentaci k</w:t>
            </w:r>
            <w:r w:rsidR="00294380">
              <w:rPr>
                <w:rFonts w:ascii="Tahoma" w:hAnsi="Tahoma" w:cs="Tahoma"/>
                <w:sz w:val="20"/>
                <w:szCs w:val="20"/>
              </w:rPr>
              <w:t> </w:t>
            </w:r>
            <w:r w:rsidRPr="004E4E23">
              <w:rPr>
                <w:rFonts w:ascii="Tahoma" w:hAnsi="Tahoma" w:cs="Tahoma"/>
                <w:sz w:val="20"/>
                <w:szCs w:val="20"/>
              </w:rPr>
              <w:t>programu</w:t>
            </w:r>
            <w:r w:rsidR="00294380">
              <w:rPr>
                <w:rFonts w:ascii="Tahoma" w:hAnsi="Tahoma" w:cs="Tahoma"/>
                <w:sz w:val="20"/>
                <w:szCs w:val="20"/>
              </w:rPr>
              <w:t>.</w:t>
            </w:r>
          </w:p>
          <w:p w:rsidR="00F10D91" w:rsidRPr="004E4E23" w:rsidRDefault="00F10D91" w:rsidP="00C6279B">
            <w:pPr>
              <w:pStyle w:val="Odstavecseseznamem"/>
              <w:numPr>
                <w:ilvl w:val="0"/>
                <w:numId w:val="11"/>
              </w:numPr>
              <w:spacing w:after="120"/>
              <w:jc w:val="both"/>
              <w:rPr>
                <w:rFonts w:ascii="Tahoma" w:hAnsi="Tahoma" w:cs="Tahoma"/>
                <w:sz w:val="20"/>
                <w:szCs w:val="20"/>
              </w:rPr>
            </w:pPr>
            <w:r w:rsidRPr="004E4E23">
              <w:rPr>
                <w:rFonts w:ascii="Tahoma" w:hAnsi="Tahoma" w:cs="Tahoma"/>
                <w:sz w:val="20"/>
                <w:szCs w:val="20"/>
              </w:rPr>
              <w:t>Nedostatečně nastavené kontrolní mechanismy</w:t>
            </w:r>
            <w:r w:rsidR="00294380">
              <w:rPr>
                <w:rFonts w:ascii="Tahoma" w:hAnsi="Tahoma" w:cs="Tahoma"/>
                <w:sz w:val="20"/>
                <w:szCs w:val="20"/>
              </w:rPr>
              <w:t>.</w:t>
            </w:r>
          </w:p>
          <w:p w:rsidR="00F10D91" w:rsidRPr="004E4E23" w:rsidRDefault="00F10D91" w:rsidP="00C6279B">
            <w:pPr>
              <w:pStyle w:val="Odstavecseseznamem"/>
              <w:numPr>
                <w:ilvl w:val="0"/>
                <w:numId w:val="11"/>
              </w:numPr>
              <w:spacing w:after="120"/>
              <w:jc w:val="both"/>
              <w:rPr>
                <w:rFonts w:ascii="Tahoma" w:hAnsi="Tahoma" w:cs="Tahoma"/>
                <w:sz w:val="20"/>
                <w:szCs w:val="20"/>
              </w:rPr>
            </w:pPr>
            <w:r w:rsidRPr="004E4E23">
              <w:rPr>
                <w:rFonts w:ascii="Tahoma" w:hAnsi="Tahoma" w:cs="Tahoma"/>
                <w:sz w:val="20"/>
                <w:szCs w:val="20"/>
              </w:rPr>
              <w:t>Komplikovaná a nevhodně nastavená pravidla pro výběr dodavatelů (včetně ZVZ)</w:t>
            </w:r>
            <w:r w:rsidR="00294380">
              <w:rPr>
                <w:rFonts w:ascii="Tahoma" w:hAnsi="Tahoma" w:cs="Tahoma"/>
                <w:sz w:val="20"/>
                <w:szCs w:val="20"/>
              </w:rPr>
              <w:t>.</w:t>
            </w:r>
          </w:p>
          <w:p w:rsidR="00D0188C" w:rsidRPr="004E4E23" w:rsidRDefault="00F10D91" w:rsidP="00C6279B">
            <w:pPr>
              <w:pStyle w:val="Odstavecseseznamem"/>
              <w:numPr>
                <w:ilvl w:val="0"/>
                <w:numId w:val="11"/>
              </w:numPr>
              <w:spacing w:after="120"/>
              <w:jc w:val="both"/>
              <w:rPr>
                <w:rFonts w:cs="Tahoma"/>
                <w:szCs w:val="20"/>
              </w:rPr>
            </w:pPr>
            <w:r w:rsidRPr="004E4E23">
              <w:rPr>
                <w:rFonts w:ascii="Tahoma" w:hAnsi="Tahoma" w:cs="Tahoma"/>
                <w:sz w:val="20"/>
                <w:szCs w:val="20"/>
              </w:rPr>
              <w:t>Neinformovanost žadatelů a příjemců o všech povinnostech v souvislosti s realizací projektů a obtížná vymahatelnost jejich plnění ze strany ŘO/ZS</w:t>
            </w:r>
            <w:r w:rsidR="00294380">
              <w:rPr>
                <w:rFonts w:ascii="Tahoma" w:hAnsi="Tahoma" w:cs="Tahoma"/>
                <w:sz w:val="20"/>
                <w:szCs w:val="20"/>
              </w:rPr>
              <w:t>.</w:t>
            </w:r>
          </w:p>
          <w:p w:rsidR="00F10D91" w:rsidRPr="004E4E23" w:rsidRDefault="00D0188C" w:rsidP="00C6279B">
            <w:pPr>
              <w:pStyle w:val="Odstavecseseznamem"/>
              <w:numPr>
                <w:ilvl w:val="0"/>
                <w:numId w:val="11"/>
              </w:numPr>
              <w:spacing w:after="120"/>
              <w:jc w:val="both"/>
              <w:rPr>
                <w:rFonts w:cs="Tahoma"/>
                <w:szCs w:val="20"/>
              </w:rPr>
            </w:pPr>
            <w:r w:rsidRPr="004E4E23">
              <w:rPr>
                <w:rFonts w:ascii="Tahoma" w:hAnsi="Tahoma" w:cs="Tahoma"/>
                <w:sz w:val="20"/>
                <w:szCs w:val="20"/>
              </w:rPr>
              <w:t xml:space="preserve">Nejasné, příp. i protichůdné závěry kontrol finančních úřadů a dalších kontrolních institucí a nevhodně nastavený, nepřehledný systém sankcí za porušení povinností </w:t>
            </w:r>
            <w:r w:rsidR="004E4E23" w:rsidRPr="004E4E23">
              <w:rPr>
                <w:rFonts w:ascii="Tahoma" w:hAnsi="Tahoma" w:cs="Tahoma"/>
                <w:sz w:val="20"/>
                <w:szCs w:val="20"/>
              </w:rPr>
              <w:t>příjemce podpory</w:t>
            </w:r>
            <w:r w:rsidR="00294380">
              <w:rPr>
                <w:rFonts w:ascii="Tahoma" w:hAnsi="Tahoma" w:cs="Tahoma"/>
                <w:sz w:val="20"/>
                <w:szCs w:val="20"/>
              </w:rPr>
              <w:t>.</w:t>
            </w:r>
          </w:p>
        </w:tc>
      </w:tr>
      <w:tr w:rsidR="00AB2136" w:rsidRPr="004E4E23" w:rsidTr="00F10D91">
        <w:tc>
          <w:tcPr>
            <w:tcW w:w="534" w:type="dxa"/>
          </w:tcPr>
          <w:p w:rsidR="00AB2136" w:rsidRPr="004E4E23" w:rsidRDefault="00AB2136" w:rsidP="00F10D91">
            <w:pPr>
              <w:spacing w:after="120"/>
              <w:jc w:val="center"/>
              <w:rPr>
                <w:rFonts w:cs="Tahoma"/>
                <w:szCs w:val="20"/>
              </w:rPr>
            </w:pPr>
            <w:r>
              <w:rPr>
                <w:rFonts w:cs="Tahoma"/>
                <w:szCs w:val="20"/>
              </w:rPr>
              <w:lastRenderedPageBreak/>
              <w:t>3</w:t>
            </w:r>
          </w:p>
        </w:tc>
        <w:tc>
          <w:tcPr>
            <w:tcW w:w="8646" w:type="dxa"/>
          </w:tcPr>
          <w:p w:rsidR="00AB2136" w:rsidRPr="00AB2136" w:rsidRDefault="00AB2136" w:rsidP="00C3526C">
            <w:pPr>
              <w:spacing w:after="120"/>
              <w:rPr>
                <w:rFonts w:cs="Tahoma"/>
                <w:szCs w:val="20"/>
              </w:rPr>
            </w:pPr>
            <w:r w:rsidRPr="00AB2136">
              <w:rPr>
                <w:rFonts w:cs="Tahoma"/>
                <w:szCs w:val="20"/>
              </w:rPr>
              <w:t>Obecná doporučení k Evaluačnímu plánu OP PIK 2014-2020:</w:t>
            </w:r>
          </w:p>
          <w:p w:rsidR="00AB2136" w:rsidRPr="00C3526C" w:rsidRDefault="00477F5A" w:rsidP="00C3526C">
            <w:pPr>
              <w:pStyle w:val="Odstavecseseznamem"/>
              <w:numPr>
                <w:ilvl w:val="0"/>
                <w:numId w:val="37"/>
              </w:numPr>
              <w:spacing w:after="120"/>
              <w:jc w:val="both"/>
              <w:rPr>
                <w:rFonts w:ascii="Tahoma" w:hAnsi="Tahoma" w:cs="Tahoma"/>
                <w:sz w:val="20"/>
                <w:szCs w:val="20"/>
              </w:rPr>
            </w:pPr>
            <w:r>
              <w:rPr>
                <w:rFonts w:ascii="Tahoma" w:hAnsi="Tahoma" w:cs="Tahoma"/>
                <w:sz w:val="20"/>
                <w:szCs w:val="20"/>
              </w:rPr>
              <w:t>D</w:t>
            </w:r>
            <w:r w:rsidR="00AB2136" w:rsidRPr="00C3526C">
              <w:rPr>
                <w:rFonts w:ascii="Tahoma" w:hAnsi="Tahoma" w:cs="Tahoma"/>
                <w:sz w:val="20"/>
                <w:szCs w:val="20"/>
              </w:rPr>
              <w:t>le názoru hodnotitele by klíčovým podkladem pro úspěšné řízení implementace programu mělo být průběžné hodnocení (on-</w:t>
            </w:r>
            <w:proofErr w:type="spellStart"/>
            <w:r w:rsidR="00AB2136" w:rsidRPr="00C3526C">
              <w:rPr>
                <w:rFonts w:ascii="Tahoma" w:hAnsi="Tahoma" w:cs="Tahoma"/>
                <w:sz w:val="20"/>
                <w:szCs w:val="20"/>
              </w:rPr>
              <w:t>going</w:t>
            </w:r>
            <w:proofErr w:type="spellEnd"/>
            <w:r w:rsidR="00AB2136" w:rsidRPr="00C3526C">
              <w:rPr>
                <w:rFonts w:ascii="Tahoma" w:hAnsi="Tahoma" w:cs="Tahoma"/>
                <w:sz w:val="20"/>
                <w:szCs w:val="20"/>
              </w:rPr>
              <w:t xml:space="preserve"> </w:t>
            </w:r>
            <w:proofErr w:type="spellStart"/>
            <w:r w:rsidR="00AB2136" w:rsidRPr="00C3526C">
              <w:rPr>
                <w:rFonts w:ascii="Tahoma" w:hAnsi="Tahoma" w:cs="Tahoma"/>
                <w:sz w:val="20"/>
                <w:szCs w:val="20"/>
              </w:rPr>
              <w:t>evaluation</w:t>
            </w:r>
            <w:proofErr w:type="spellEnd"/>
            <w:r w:rsidR="00AB2136" w:rsidRPr="00C3526C">
              <w:rPr>
                <w:rFonts w:ascii="Tahoma" w:hAnsi="Tahoma" w:cs="Tahoma"/>
                <w:sz w:val="20"/>
                <w:szCs w:val="20"/>
              </w:rPr>
              <w:t xml:space="preserve">) intervencí na všech úrovních až po úroveň </w:t>
            </w:r>
            <w:r w:rsidR="00D52955" w:rsidRPr="00C3526C">
              <w:rPr>
                <w:rFonts w:ascii="Tahoma" w:hAnsi="Tahoma" w:cs="Tahoma"/>
                <w:sz w:val="20"/>
                <w:szCs w:val="20"/>
              </w:rPr>
              <w:t>specifických cílů</w:t>
            </w:r>
            <w:r w:rsidR="00AB2136" w:rsidRPr="00C3526C">
              <w:rPr>
                <w:rFonts w:ascii="Tahoma" w:hAnsi="Tahoma" w:cs="Tahoma"/>
                <w:sz w:val="20"/>
                <w:szCs w:val="20"/>
              </w:rPr>
              <w:t>, a to prostřednictvím spíše „malých“, cílených hodnocení namísto komplexních evaluací;</w:t>
            </w:r>
            <w:r w:rsidR="00C3526C" w:rsidRPr="00C3526C">
              <w:rPr>
                <w:rFonts w:ascii="Tahoma" w:hAnsi="Tahoma" w:cs="Tahoma"/>
                <w:sz w:val="20"/>
                <w:szCs w:val="20"/>
              </w:rPr>
              <w:t xml:space="preserve"> </w:t>
            </w:r>
            <w:r w:rsidR="00AB2136" w:rsidRPr="00C3526C">
              <w:rPr>
                <w:rFonts w:ascii="Tahoma" w:hAnsi="Tahoma" w:cs="Tahoma"/>
                <w:sz w:val="20"/>
                <w:szCs w:val="20"/>
              </w:rPr>
              <w:t xml:space="preserve">tak bude možné </w:t>
            </w:r>
            <w:r w:rsidR="00C3526C">
              <w:rPr>
                <w:rFonts w:ascii="Tahoma" w:hAnsi="Tahoma" w:cs="Tahoma"/>
                <w:sz w:val="20"/>
                <w:szCs w:val="20"/>
              </w:rPr>
              <w:t>např.</w:t>
            </w:r>
            <w:r w:rsidR="00D52955" w:rsidRPr="00C3526C">
              <w:rPr>
                <w:rFonts w:ascii="Tahoma" w:hAnsi="Tahoma" w:cs="Tahoma"/>
                <w:sz w:val="20"/>
                <w:szCs w:val="20"/>
              </w:rPr>
              <w:t xml:space="preserve"> </w:t>
            </w:r>
            <w:r w:rsidR="00AB2136" w:rsidRPr="00C3526C">
              <w:rPr>
                <w:rFonts w:ascii="Tahoma" w:hAnsi="Tahoma" w:cs="Tahoma"/>
                <w:sz w:val="20"/>
                <w:szCs w:val="20"/>
              </w:rPr>
              <w:t>posoudit, zda byly pro naplnění specifick</w:t>
            </w:r>
            <w:r w:rsidR="00C3526C">
              <w:rPr>
                <w:rFonts w:ascii="Tahoma" w:hAnsi="Tahoma" w:cs="Tahoma"/>
                <w:sz w:val="20"/>
                <w:szCs w:val="20"/>
              </w:rPr>
              <w:t>ého</w:t>
            </w:r>
            <w:r w:rsidR="00AB2136" w:rsidRPr="00C3526C">
              <w:rPr>
                <w:rFonts w:ascii="Tahoma" w:hAnsi="Tahoma" w:cs="Tahoma"/>
                <w:sz w:val="20"/>
                <w:szCs w:val="20"/>
              </w:rPr>
              <w:t xml:space="preserve"> cíl</w:t>
            </w:r>
            <w:r w:rsidR="00C3526C">
              <w:rPr>
                <w:rFonts w:ascii="Tahoma" w:hAnsi="Tahoma" w:cs="Tahoma"/>
                <w:sz w:val="20"/>
                <w:szCs w:val="20"/>
              </w:rPr>
              <w:t>e</w:t>
            </w:r>
            <w:r w:rsidR="00AB2136" w:rsidRPr="00C3526C">
              <w:rPr>
                <w:rFonts w:ascii="Tahoma" w:hAnsi="Tahoma" w:cs="Tahoma"/>
                <w:sz w:val="20"/>
                <w:szCs w:val="20"/>
              </w:rPr>
              <w:t xml:space="preserve"> zvoleny vhodné aktivity (např. správné nastavení výzvy) a zda je/není nutné danou aktivitu/</w:t>
            </w:r>
            <w:r>
              <w:rPr>
                <w:rFonts w:ascii="Tahoma" w:hAnsi="Tahoma" w:cs="Tahoma"/>
                <w:sz w:val="20"/>
                <w:szCs w:val="20"/>
              </w:rPr>
              <w:t>-y nadále realizovat.</w:t>
            </w:r>
          </w:p>
          <w:p w:rsidR="00D52955" w:rsidRPr="00C3526C" w:rsidRDefault="00477F5A" w:rsidP="00C3526C">
            <w:pPr>
              <w:pStyle w:val="Odstavecseseznamem"/>
              <w:numPr>
                <w:ilvl w:val="0"/>
                <w:numId w:val="37"/>
              </w:numPr>
              <w:spacing w:after="120"/>
              <w:jc w:val="both"/>
              <w:rPr>
                <w:rFonts w:ascii="Tahoma" w:hAnsi="Tahoma" w:cs="Tahoma"/>
                <w:sz w:val="20"/>
                <w:szCs w:val="20"/>
              </w:rPr>
            </w:pPr>
            <w:r>
              <w:rPr>
                <w:rFonts w:ascii="Tahoma" w:hAnsi="Tahoma" w:cs="Tahoma"/>
                <w:sz w:val="20"/>
                <w:szCs w:val="20"/>
              </w:rPr>
              <w:t>D</w:t>
            </w:r>
            <w:r w:rsidR="00AB2136" w:rsidRPr="00C3526C">
              <w:rPr>
                <w:rFonts w:ascii="Tahoma" w:hAnsi="Tahoma" w:cs="Tahoma"/>
                <w:sz w:val="20"/>
                <w:szCs w:val="20"/>
              </w:rPr>
              <w:t>ůraz by měl být kladen na hodnocení přínosů (</w:t>
            </w:r>
            <w:proofErr w:type="spellStart"/>
            <w:r w:rsidR="00AB2136" w:rsidRPr="00C3526C">
              <w:rPr>
                <w:rFonts w:ascii="Tahoma" w:hAnsi="Tahoma" w:cs="Tahoma"/>
                <w:sz w:val="20"/>
                <w:szCs w:val="20"/>
              </w:rPr>
              <w:t>impact</w:t>
            </w:r>
            <w:proofErr w:type="spellEnd"/>
            <w:r w:rsidR="00AB2136" w:rsidRPr="00C3526C">
              <w:rPr>
                <w:rFonts w:ascii="Tahoma" w:hAnsi="Tahoma" w:cs="Tahoma"/>
                <w:sz w:val="20"/>
                <w:szCs w:val="20"/>
              </w:rPr>
              <w:t xml:space="preserve"> </w:t>
            </w:r>
            <w:proofErr w:type="spellStart"/>
            <w:r w:rsidR="00AB2136" w:rsidRPr="00C3526C">
              <w:rPr>
                <w:rFonts w:ascii="Tahoma" w:hAnsi="Tahoma" w:cs="Tahoma"/>
                <w:sz w:val="20"/>
                <w:szCs w:val="20"/>
              </w:rPr>
              <w:t>evaluations</w:t>
            </w:r>
            <w:proofErr w:type="spellEnd"/>
            <w:r w:rsidR="00AB2136" w:rsidRPr="00C3526C">
              <w:rPr>
                <w:rFonts w:ascii="Tahoma" w:hAnsi="Tahoma" w:cs="Tahoma"/>
                <w:sz w:val="20"/>
                <w:szCs w:val="20"/>
              </w:rPr>
              <w:t>) s využitím mixu vhodných kvalitativních a kvantitativních metod.</w:t>
            </w:r>
            <w:r w:rsidR="00D52955" w:rsidRPr="00C3526C">
              <w:rPr>
                <w:rFonts w:ascii="Tahoma" w:hAnsi="Tahoma" w:cs="Tahoma"/>
                <w:sz w:val="20"/>
                <w:szCs w:val="20"/>
              </w:rPr>
              <w:t xml:space="preserve"> Evaluační plán </w:t>
            </w:r>
            <w:r w:rsidR="00D52955" w:rsidRPr="00C3526C">
              <w:rPr>
                <w:rStyle w:val="hps"/>
                <w:rFonts w:ascii="Tahoma" w:hAnsi="Tahoma" w:cs="Tahoma"/>
                <w:sz w:val="20"/>
                <w:szCs w:val="20"/>
              </w:rPr>
              <w:t>by měl</w:t>
            </w:r>
            <w:r w:rsidR="00D52955" w:rsidRPr="00C3526C">
              <w:rPr>
                <w:rFonts w:ascii="Tahoma" w:hAnsi="Tahoma" w:cs="Tahoma"/>
                <w:sz w:val="20"/>
                <w:szCs w:val="20"/>
              </w:rPr>
              <w:t xml:space="preserve"> </w:t>
            </w:r>
            <w:r w:rsidR="00D52955" w:rsidRPr="00C3526C">
              <w:rPr>
                <w:rStyle w:val="hps"/>
                <w:rFonts w:ascii="Tahoma" w:hAnsi="Tahoma" w:cs="Tahoma"/>
                <w:sz w:val="20"/>
                <w:szCs w:val="20"/>
              </w:rPr>
              <w:t xml:space="preserve">stanovit, do jaké </w:t>
            </w:r>
            <w:r>
              <w:rPr>
                <w:rStyle w:val="hps"/>
                <w:rFonts w:ascii="Tahoma" w:hAnsi="Tahoma" w:cs="Tahoma"/>
                <w:sz w:val="20"/>
                <w:szCs w:val="20"/>
              </w:rPr>
              <w:t>úrovně</w:t>
            </w:r>
            <w:r w:rsidR="00D52955" w:rsidRPr="00C3526C">
              <w:rPr>
                <w:rStyle w:val="hps"/>
                <w:rFonts w:ascii="Tahoma" w:hAnsi="Tahoma" w:cs="Tahoma"/>
                <w:sz w:val="20"/>
                <w:szCs w:val="20"/>
              </w:rPr>
              <w:t xml:space="preserve"> </w:t>
            </w:r>
            <w:r w:rsidR="00D52955" w:rsidRPr="00C3526C">
              <w:rPr>
                <w:rFonts w:ascii="Tahoma" w:hAnsi="Tahoma" w:cs="Tahoma"/>
                <w:sz w:val="20"/>
                <w:szCs w:val="20"/>
              </w:rPr>
              <w:t>detail</w:t>
            </w:r>
            <w:r>
              <w:rPr>
                <w:rFonts w:ascii="Tahoma" w:hAnsi="Tahoma" w:cs="Tahoma"/>
                <w:sz w:val="20"/>
                <w:szCs w:val="20"/>
              </w:rPr>
              <w:t>u</w:t>
            </w:r>
            <w:r w:rsidR="00D52955" w:rsidRPr="00C3526C">
              <w:rPr>
                <w:rFonts w:ascii="Tahoma" w:hAnsi="Tahoma" w:cs="Tahoma"/>
                <w:sz w:val="20"/>
                <w:szCs w:val="20"/>
              </w:rPr>
              <w:t xml:space="preserve"> budou tyto přínosy</w:t>
            </w:r>
            <w:r w:rsidR="00C3526C">
              <w:rPr>
                <w:rFonts w:ascii="Tahoma" w:hAnsi="Tahoma" w:cs="Tahoma"/>
                <w:sz w:val="20"/>
                <w:szCs w:val="20"/>
              </w:rPr>
              <w:t xml:space="preserve"> (</w:t>
            </w:r>
            <w:r w:rsidR="008B4736">
              <w:rPr>
                <w:rFonts w:ascii="Tahoma" w:hAnsi="Tahoma" w:cs="Tahoma"/>
                <w:sz w:val="20"/>
                <w:szCs w:val="20"/>
              </w:rPr>
              <w:t>vlivy</w:t>
            </w:r>
            <w:r w:rsidR="00C3526C">
              <w:rPr>
                <w:rFonts w:ascii="Tahoma" w:hAnsi="Tahoma" w:cs="Tahoma"/>
                <w:sz w:val="20"/>
                <w:szCs w:val="20"/>
              </w:rPr>
              <w:t>)</w:t>
            </w:r>
            <w:r w:rsidR="00D52955" w:rsidRPr="00C3526C">
              <w:rPr>
                <w:rFonts w:ascii="Tahoma" w:hAnsi="Tahoma" w:cs="Tahoma"/>
                <w:sz w:val="20"/>
                <w:szCs w:val="20"/>
              </w:rPr>
              <w:t xml:space="preserve"> programu vyhodnocovány</w:t>
            </w:r>
            <w:r>
              <w:rPr>
                <w:rFonts w:ascii="Tahoma" w:hAnsi="Tahoma" w:cs="Tahoma"/>
                <w:sz w:val="20"/>
                <w:szCs w:val="20"/>
              </w:rPr>
              <w:t>.</w:t>
            </w:r>
          </w:p>
          <w:p w:rsidR="00D52955" w:rsidRPr="00C3526C" w:rsidRDefault="00477F5A" w:rsidP="00C3526C">
            <w:pPr>
              <w:pStyle w:val="Odstavecseseznamem"/>
              <w:numPr>
                <w:ilvl w:val="0"/>
                <w:numId w:val="37"/>
              </w:numPr>
              <w:spacing w:after="120"/>
              <w:jc w:val="both"/>
              <w:rPr>
                <w:rFonts w:ascii="Tahoma" w:hAnsi="Tahoma" w:cs="Tahoma"/>
                <w:sz w:val="20"/>
                <w:szCs w:val="20"/>
              </w:rPr>
            </w:pPr>
            <w:r>
              <w:rPr>
                <w:rFonts w:ascii="Tahoma" w:hAnsi="Tahoma" w:cs="Tahoma"/>
                <w:sz w:val="20"/>
                <w:szCs w:val="20"/>
              </w:rPr>
              <w:t>H</w:t>
            </w:r>
            <w:r w:rsidR="00D52955" w:rsidRPr="00C3526C">
              <w:rPr>
                <w:rFonts w:ascii="Tahoma" w:hAnsi="Tahoma" w:cs="Tahoma"/>
                <w:sz w:val="20"/>
                <w:szCs w:val="20"/>
              </w:rPr>
              <w:t xml:space="preserve">odnocení </w:t>
            </w:r>
            <w:r w:rsidR="008B4736">
              <w:rPr>
                <w:rFonts w:ascii="Tahoma" w:hAnsi="Tahoma" w:cs="Tahoma"/>
                <w:sz w:val="20"/>
                <w:szCs w:val="20"/>
              </w:rPr>
              <w:t>vlivu (</w:t>
            </w:r>
            <w:r w:rsidR="00D52955" w:rsidRPr="00C3526C">
              <w:rPr>
                <w:rFonts w:ascii="Tahoma" w:hAnsi="Tahoma" w:cs="Tahoma"/>
                <w:sz w:val="20"/>
                <w:szCs w:val="20"/>
              </w:rPr>
              <w:t>dopadu</w:t>
            </w:r>
            <w:r w:rsidR="008B4736">
              <w:rPr>
                <w:rFonts w:ascii="Tahoma" w:hAnsi="Tahoma" w:cs="Tahoma"/>
                <w:sz w:val="20"/>
                <w:szCs w:val="20"/>
              </w:rPr>
              <w:t>)</w:t>
            </w:r>
            <w:r w:rsidR="00D52955" w:rsidRPr="00C3526C">
              <w:rPr>
                <w:rFonts w:ascii="Tahoma" w:hAnsi="Tahoma" w:cs="Tahoma"/>
                <w:sz w:val="20"/>
                <w:szCs w:val="20"/>
              </w:rPr>
              <w:t xml:space="preserve"> programu a/nebo jeho priorit nebude ve většině případů zřejmě možné provádět pomocí kvantitativních metod, a to s ohledem na</w:t>
            </w:r>
            <w:r w:rsidR="008B4736">
              <w:rPr>
                <w:rFonts w:ascii="Tahoma" w:hAnsi="Tahoma" w:cs="Tahoma"/>
                <w:sz w:val="20"/>
                <w:szCs w:val="20"/>
              </w:rPr>
              <w:t>: i)</w:t>
            </w:r>
            <w:r w:rsidR="00D52955" w:rsidRPr="00C3526C">
              <w:rPr>
                <w:rFonts w:ascii="Tahoma" w:hAnsi="Tahoma" w:cs="Tahoma"/>
                <w:sz w:val="20"/>
                <w:szCs w:val="20"/>
              </w:rPr>
              <w:t xml:space="preserve"> omezené množství disponibilních zdrojů OP PIK v porovnání s</w:t>
            </w:r>
            <w:r w:rsidR="008B4736">
              <w:rPr>
                <w:rFonts w:ascii="Tahoma" w:hAnsi="Tahoma" w:cs="Tahoma"/>
                <w:sz w:val="20"/>
                <w:szCs w:val="20"/>
              </w:rPr>
              <w:t xml:space="preserve"> celkovými </w:t>
            </w:r>
            <w:r w:rsidR="00D52955" w:rsidRPr="00C3526C">
              <w:rPr>
                <w:rFonts w:ascii="Tahoma" w:hAnsi="Tahoma" w:cs="Tahoma"/>
                <w:sz w:val="20"/>
                <w:szCs w:val="20"/>
              </w:rPr>
              <w:t>potřebami a také</w:t>
            </w:r>
            <w:r w:rsidR="008B4736">
              <w:rPr>
                <w:rFonts w:ascii="Tahoma" w:hAnsi="Tahoma" w:cs="Tahoma"/>
                <w:sz w:val="20"/>
                <w:szCs w:val="20"/>
              </w:rPr>
              <w:t xml:space="preserve"> </w:t>
            </w:r>
            <w:proofErr w:type="spellStart"/>
            <w:r w:rsidR="008B4736">
              <w:rPr>
                <w:rFonts w:ascii="Tahoma" w:hAnsi="Tahoma" w:cs="Tahoma"/>
                <w:sz w:val="20"/>
                <w:szCs w:val="20"/>
              </w:rPr>
              <w:t>ii</w:t>
            </w:r>
            <w:proofErr w:type="spellEnd"/>
            <w:r w:rsidR="008B4736">
              <w:rPr>
                <w:rFonts w:ascii="Tahoma" w:hAnsi="Tahoma" w:cs="Tahoma"/>
                <w:sz w:val="20"/>
                <w:szCs w:val="20"/>
              </w:rPr>
              <w:t>)</w:t>
            </w:r>
            <w:r w:rsidR="00D52955" w:rsidRPr="00C3526C">
              <w:rPr>
                <w:rFonts w:ascii="Tahoma" w:hAnsi="Tahoma" w:cs="Tahoma"/>
                <w:sz w:val="20"/>
                <w:szCs w:val="20"/>
              </w:rPr>
              <w:t xml:space="preserve"> vliv dalších faktorů mimo OP PIK. Proto se dá uvažovat spíše o kvalitativních metodách hodnocení</w:t>
            </w:r>
            <w:r>
              <w:rPr>
                <w:rFonts w:ascii="Tahoma" w:hAnsi="Tahoma" w:cs="Tahoma"/>
                <w:sz w:val="20"/>
                <w:szCs w:val="20"/>
              </w:rPr>
              <w:t>.</w:t>
            </w:r>
          </w:p>
          <w:p w:rsidR="00AB2136" w:rsidRPr="004E4E23" w:rsidRDefault="00477F5A" w:rsidP="00477F5A">
            <w:pPr>
              <w:pStyle w:val="Odstavecseseznamem"/>
              <w:numPr>
                <w:ilvl w:val="0"/>
                <w:numId w:val="37"/>
              </w:numPr>
              <w:spacing w:after="120"/>
              <w:jc w:val="both"/>
              <w:rPr>
                <w:rFonts w:cs="Tahoma"/>
                <w:szCs w:val="20"/>
              </w:rPr>
            </w:pPr>
            <w:r>
              <w:rPr>
                <w:rFonts w:ascii="Tahoma" w:hAnsi="Tahoma" w:cs="Tahoma"/>
                <w:sz w:val="20"/>
                <w:szCs w:val="20"/>
              </w:rPr>
              <w:t>P</w:t>
            </w:r>
            <w:r w:rsidR="00D52955" w:rsidRPr="00C3526C">
              <w:rPr>
                <w:rFonts w:ascii="Tahoma" w:hAnsi="Tahoma" w:cs="Tahoma"/>
                <w:sz w:val="20"/>
                <w:szCs w:val="20"/>
              </w:rPr>
              <w:t xml:space="preserve">lán evaluací musí být realistický a musí odrážet povahu hodnocených intervencí. </w:t>
            </w:r>
            <w:r w:rsidR="00C3526C" w:rsidRPr="00C3526C">
              <w:rPr>
                <w:rFonts w:ascii="Tahoma" w:hAnsi="Tahoma" w:cs="Tahoma"/>
                <w:sz w:val="20"/>
                <w:szCs w:val="20"/>
              </w:rPr>
              <w:t>Zatímco například podpor</w:t>
            </w:r>
            <w:r w:rsidR="008B4736">
              <w:rPr>
                <w:rFonts w:ascii="Tahoma" w:hAnsi="Tahoma" w:cs="Tahoma"/>
                <w:sz w:val="20"/>
                <w:szCs w:val="20"/>
              </w:rPr>
              <w:t>u</w:t>
            </w:r>
            <w:r w:rsidR="00C3526C" w:rsidRPr="00C3526C">
              <w:rPr>
                <w:rFonts w:ascii="Tahoma" w:hAnsi="Tahoma" w:cs="Tahoma"/>
                <w:sz w:val="20"/>
                <w:szCs w:val="20"/>
              </w:rPr>
              <w:t xml:space="preserve"> podnikatelských záměrů začínajících a rozvojových MSP (SC 2.1) lze hodnotit relativně brzy po její realizaci, v případě infrastrukturních projektů (např. SC 3.3, 3.6, 4.1) lze očekávat, že se účinky projeví až s delším časovým odstupem, který může</w:t>
            </w:r>
            <w:r w:rsidR="008B4736">
              <w:rPr>
                <w:rFonts w:ascii="Tahoma" w:hAnsi="Tahoma" w:cs="Tahoma"/>
                <w:sz w:val="20"/>
                <w:szCs w:val="20"/>
              </w:rPr>
              <w:t xml:space="preserve"> </w:t>
            </w:r>
            <w:r w:rsidR="00C3526C" w:rsidRPr="00C3526C">
              <w:rPr>
                <w:rFonts w:ascii="Tahoma" w:hAnsi="Tahoma" w:cs="Tahoma"/>
                <w:sz w:val="20"/>
                <w:szCs w:val="20"/>
              </w:rPr>
              <w:t>přesahovat</w:t>
            </w:r>
            <w:r>
              <w:rPr>
                <w:rFonts w:ascii="Tahoma" w:hAnsi="Tahoma" w:cs="Tahoma"/>
                <w:sz w:val="20"/>
                <w:szCs w:val="20"/>
              </w:rPr>
              <w:t xml:space="preserve"> i</w:t>
            </w:r>
            <w:r w:rsidR="008B4736">
              <w:rPr>
                <w:rFonts w:ascii="Tahoma" w:hAnsi="Tahoma" w:cs="Tahoma"/>
                <w:sz w:val="20"/>
                <w:szCs w:val="20"/>
              </w:rPr>
              <w:t xml:space="preserve"> </w:t>
            </w:r>
            <w:r w:rsidR="00C3526C" w:rsidRPr="00C3526C">
              <w:rPr>
                <w:rFonts w:ascii="Tahoma" w:hAnsi="Tahoma" w:cs="Tahoma"/>
                <w:sz w:val="20"/>
                <w:szCs w:val="20"/>
              </w:rPr>
              <w:t xml:space="preserve">rámec programovacího období. </w:t>
            </w:r>
            <w:r w:rsidR="00D52955" w:rsidRPr="00C3526C">
              <w:rPr>
                <w:rFonts w:ascii="Tahoma" w:hAnsi="Tahoma" w:cs="Tahoma"/>
                <w:sz w:val="20"/>
                <w:szCs w:val="20"/>
              </w:rPr>
              <w:t xml:space="preserve"> </w:t>
            </w:r>
          </w:p>
        </w:tc>
      </w:tr>
    </w:tbl>
    <w:p w:rsidR="00AD13CF" w:rsidRPr="006D4EB5" w:rsidRDefault="008B2BBB" w:rsidP="00EE784B">
      <w:pPr>
        <w:spacing w:after="120"/>
        <w:rPr>
          <w:highlight w:val="yellow"/>
        </w:rPr>
      </w:pPr>
      <w:r>
        <w:rPr>
          <w:sz w:val="22"/>
        </w:rPr>
        <w:t xml:space="preserve"> </w:t>
      </w:r>
      <w:r w:rsidR="00E21647">
        <w:t xml:space="preserve">  </w:t>
      </w:r>
    </w:p>
    <w:p w:rsidR="00AD13CF" w:rsidRPr="00D45BCA" w:rsidRDefault="001E7FBB" w:rsidP="009C5AC9">
      <w:pPr>
        <w:pStyle w:val="Nadpis1"/>
      </w:pPr>
      <w:bookmarkStart w:id="32" w:name="_Toc392583677"/>
      <w:r w:rsidRPr="00D45BCA">
        <w:lastRenderedPageBreak/>
        <w:t>Konzistence finančních alokací</w:t>
      </w:r>
      <w:bookmarkEnd w:id="32"/>
    </w:p>
    <w:p w:rsidR="005239CC" w:rsidRDefault="005239CC" w:rsidP="006A5D58">
      <w:pPr>
        <w:spacing w:after="120"/>
        <w:rPr>
          <w:rFonts w:cs="Tahoma"/>
          <w:szCs w:val="20"/>
        </w:rPr>
      </w:pPr>
      <w:r>
        <w:rPr>
          <w:rFonts w:cs="Tahoma"/>
          <w:szCs w:val="20"/>
        </w:rPr>
        <w:t xml:space="preserve">Předmětem tohoto evaluačního úkolu je </w:t>
      </w:r>
      <w:r w:rsidRPr="00472262">
        <w:rPr>
          <w:rFonts w:cs="Tahoma"/>
          <w:szCs w:val="20"/>
        </w:rPr>
        <w:t>vyhodnocení souladu alokace rozpočtových zdrojů s cíli programu</w:t>
      </w:r>
      <w:r>
        <w:rPr>
          <w:rFonts w:cs="Tahoma"/>
          <w:szCs w:val="20"/>
        </w:rPr>
        <w:t>.</w:t>
      </w:r>
    </w:p>
    <w:p w:rsidR="008459AE" w:rsidRPr="0028521C" w:rsidRDefault="008459AE" w:rsidP="0028521C">
      <w:pPr>
        <w:tabs>
          <w:tab w:val="num" w:pos="720"/>
        </w:tabs>
        <w:spacing w:after="120"/>
        <w:rPr>
          <w:u w:val="single"/>
        </w:rPr>
      </w:pPr>
      <w:r w:rsidRPr="0028521C">
        <w:rPr>
          <w:u w:val="single"/>
        </w:rPr>
        <w:t>Úkol:</w:t>
      </w:r>
    </w:p>
    <w:p w:rsidR="005239CC" w:rsidRDefault="005239CC" w:rsidP="005239CC">
      <w:pPr>
        <w:spacing w:after="120"/>
        <w:rPr>
          <w:rFonts w:cs="Tahoma"/>
          <w:szCs w:val="20"/>
        </w:rPr>
      </w:pPr>
      <w:r w:rsidRPr="008459AE">
        <w:rPr>
          <w:rFonts w:cs="Tahoma"/>
          <w:szCs w:val="20"/>
        </w:rPr>
        <w:t>Pos</w:t>
      </w:r>
      <w:r>
        <w:rPr>
          <w:rFonts w:cs="Tahoma"/>
          <w:szCs w:val="20"/>
        </w:rPr>
        <w:t>oudit</w:t>
      </w:r>
      <w:r w:rsidRPr="008459AE">
        <w:rPr>
          <w:rFonts w:cs="Tahoma"/>
          <w:szCs w:val="20"/>
        </w:rPr>
        <w:t xml:space="preserve">, </w:t>
      </w:r>
      <w:r>
        <w:rPr>
          <w:rFonts w:cs="Tahoma"/>
          <w:szCs w:val="20"/>
        </w:rPr>
        <w:t xml:space="preserve">zda se </w:t>
      </w:r>
      <w:r w:rsidRPr="008459AE">
        <w:rPr>
          <w:rFonts w:cs="Tahoma"/>
          <w:szCs w:val="20"/>
        </w:rPr>
        <w:t>finančn</w:t>
      </w:r>
      <w:r>
        <w:rPr>
          <w:rFonts w:cs="Tahoma"/>
          <w:szCs w:val="20"/>
        </w:rPr>
        <w:t>í</w:t>
      </w:r>
      <w:r w:rsidRPr="008459AE">
        <w:rPr>
          <w:rFonts w:cs="Tahoma"/>
          <w:szCs w:val="20"/>
        </w:rPr>
        <w:t xml:space="preserve"> alok</w:t>
      </w:r>
      <w:r>
        <w:rPr>
          <w:rFonts w:cs="Tahoma"/>
          <w:szCs w:val="20"/>
        </w:rPr>
        <w:t>ace</w:t>
      </w:r>
      <w:r w:rsidRPr="008459AE">
        <w:rPr>
          <w:rFonts w:cs="Tahoma"/>
          <w:szCs w:val="20"/>
        </w:rPr>
        <w:t xml:space="preserve"> </w:t>
      </w:r>
      <w:r>
        <w:rPr>
          <w:rFonts w:cs="Tahoma"/>
          <w:szCs w:val="20"/>
        </w:rPr>
        <w:t xml:space="preserve">soustředí na nejdůležitější specifické cíle programu v návaznosti na </w:t>
      </w:r>
      <w:r w:rsidRPr="008459AE">
        <w:rPr>
          <w:rFonts w:cs="Tahoma"/>
          <w:szCs w:val="20"/>
        </w:rPr>
        <w:t>identifikované výzvy, problémy a pot</w:t>
      </w:r>
      <w:r>
        <w:rPr>
          <w:rFonts w:cs="Tahoma"/>
          <w:szCs w:val="20"/>
        </w:rPr>
        <w:t>řeby a zvolené tematické cí</w:t>
      </w:r>
      <w:r w:rsidRPr="008459AE">
        <w:rPr>
          <w:rFonts w:cs="Tahoma"/>
          <w:szCs w:val="20"/>
        </w:rPr>
        <w:t>le</w:t>
      </w:r>
      <w:r>
        <w:rPr>
          <w:rFonts w:cs="Tahoma"/>
          <w:szCs w:val="20"/>
        </w:rPr>
        <w:t xml:space="preserve"> v souladu s požadavky koncentrace zdrojů.</w:t>
      </w:r>
    </w:p>
    <w:p w:rsidR="005239CC" w:rsidRDefault="005239CC" w:rsidP="005239CC">
      <w:pPr>
        <w:spacing w:after="120"/>
        <w:rPr>
          <w:rFonts w:cs="Tahoma"/>
          <w:szCs w:val="20"/>
        </w:rPr>
      </w:pPr>
      <w:r>
        <w:rPr>
          <w:rFonts w:cs="Tahoma"/>
          <w:szCs w:val="20"/>
        </w:rPr>
        <w:t>Zhodnotit,</w:t>
      </w:r>
      <w:r w:rsidRPr="00472262">
        <w:rPr>
          <w:rFonts w:cs="Tahoma"/>
          <w:szCs w:val="20"/>
        </w:rPr>
        <w:t xml:space="preserve"> zda alokace odpovídají vybraným formám podpory </w:t>
      </w:r>
      <w:r>
        <w:rPr>
          <w:rFonts w:cs="Tahoma"/>
          <w:szCs w:val="20"/>
        </w:rPr>
        <w:t>a</w:t>
      </w:r>
      <w:r w:rsidRPr="00472262">
        <w:rPr>
          <w:rFonts w:cs="Tahoma"/>
          <w:szCs w:val="20"/>
        </w:rPr>
        <w:t xml:space="preserve"> celkov</w:t>
      </w:r>
      <w:r>
        <w:rPr>
          <w:rFonts w:cs="Tahoma"/>
          <w:szCs w:val="20"/>
        </w:rPr>
        <w:t>ě</w:t>
      </w:r>
      <w:r w:rsidRPr="00472262">
        <w:rPr>
          <w:rFonts w:cs="Tahoma"/>
          <w:szCs w:val="20"/>
        </w:rPr>
        <w:t xml:space="preserve"> posou</w:t>
      </w:r>
      <w:r>
        <w:rPr>
          <w:rFonts w:cs="Tahoma"/>
          <w:szCs w:val="20"/>
        </w:rPr>
        <w:t xml:space="preserve">dit </w:t>
      </w:r>
      <w:r w:rsidRPr="00472262">
        <w:rPr>
          <w:rFonts w:cs="Tahoma"/>
          <w:szCs w:val="20"/>
        </w:rPr>
        <w:t>a zhodno</w:t>
      </w:r>
      <w:r>
        <w:rPr>
          <w:rFonts w:cs="Tahoma"/>
          <w:szCs w:val="20"/>
        </w:rPr>
        <w:t xml:space="preserve">tit </w:t>
      </w:r>
      <w:r w:rsidRPr="00472262">
        <w:rPr>
          <w:rFonts w:cs="Tahoma"/>
          <w:szCs w:val="20"/>
        </w:rPr>
        <w:t>finanční plán programu</w:t>
      </w:r>
      <w:r>
        <w:rPr>
          <w:rFonts w:cs="Tahoma"/>
          <w:szCs w:val="20"/>
        </w:rPr>
        <w:t xml:space="preserve">. </w:t>
      </w:r>
    </w:p>
    <w:p w:rsidR="005239CC" w:rsidRDefault="005239CC" w:rsidP="005239CC">
      <w:pPr>
        <w:spacing w:after="120"/>
        <w:rPr>
          <w:rFonts w:cs="Tahoma"/>
          <w:szCs w:val="20"/>
        </w:rPr>
      </w:pPr>
      <w:r>
        <w:rPr>
          <w:rFonts w:cs="Tahoma"/>
          <w:szCs w:val="20"/>
        </w:rPr>
        <w:t xml:space="preserve">Posoudit </w:t>
      </w:r>
      <w:r w:rsidRPr="00472262">
        <w:rPr>
          <w:rFonts w:cs="Tahoma"/>
          <w:szCs w:val="20"/>
        </w:rPr>
        <w:t>celkov</w:t>
      </w:r>
      <w:r>
        <w:rPr>
          <w:rFonts w:cs="Tahoma"/>
          <w:szCs w:val="20"/>
        </w:rPr>
        <w:t>ou</w:t>
      </w:r>
      <w:r w:rsidRPr="00472262">
        <w:rPr>
          <w:rFonts w:cs="Tahoma"/>
          <w:szCs w:val="20"/>
        </w:rPr>
        <w:t xml:space="preserve"> absorpční kapacit</w:t>
      </w:r>
      <w:r>
        <w:rPr>
          <w:rFonts w:cs="Tahoma"/>
          <w:szCs w:val="20"/>
        </w:rPr>
        <w:t>u</w:t>
      </w:r>
      <w:r w:rsidRPr="00472262">
        <w:rPr>
          <w:rFonts w:cs="Tahoma"/>
          <w:szCs w:val="20"/>
        </w:rPr>
        <w:t xml:space="preserve"> programu </w:t>
      </w:r>
      <w:r>
        <w:rPr>
          <w:rFonts w:cs="Tahoma"/>
          <w:szCs w:val="20"/>
        </w:rPr>
        <w:t>a</w:t>
      </w:r>
      <w:r w:rsidRPr="00472262">
        <w:rPr>
          <w:rFonts w:cs="Tahoma"/>
          <w:szCs w:val="20"/>
        </w:rPr>
        <w:t xml:space="preserve"> navrhovan</w:t>
      </w:r>
      <w:r>
        <w:rPr>
          <w:rFonts w:cs="Tahoma"/>
          <w:szCs w:val="20"/>
        </w:rPr>
        <w:t>é for</w:t>
      </w:r>
      <w:r w:rsidRPr="00472262">
        <w:rPr>
          <w:rFonts w:cs="Tahoma"/>
          <w:szCs w:val="20"/>
        </w:rPr>
        <w:t>m</w:t>
      </w:r>
      <w:r>
        <w:rPr>
          <w:rFonts w:cs="Tahoma"/>
          <w:szCs w:val="20"/>
        </w:rPr>
        <w:t>y</w:t>
      </w:r>
      <w:r w:rsidRPr="00472262">
        <w:rPr>
          <w:rFonts w:cs="Tahoma"/>
          <w:szCs w:val="20"/>
        </w:rPr>
        <w:t xml:space="preserve"> podpory</w:t>
      </w:r>
      <w:r>
        <w:rPr>
          <w:rFonts w:cs="Tahoma"/>
          <w:szCs w:val="20"/>
        </w:rPr>
        <w:t xml:space="preserve"> včetně </w:t>
      </w:r>
      <w:r w:rsidRPr="00472262">
        <w:rPr>
          <w:rFonts w:cs="Tahoma"/>
          <w:szCs w:val="20"/>
        </w:rPr>
        <w:t>finančních nástrojů.</w:t>
      </w:r>
    </w:p>
    <w:p w:rsidR="0028521C" w:rsidRPr="00022E68" w:rsidRDefault="0028521C" w:rsidP="0028521C">
      <w:pPr>
        <w:tabs>
          <w:tab w:val="num" w:pos="720"/>
        </w:tabs>
        <w:spacing w:after="120"/>
        <w:rPr>
          <w:u w:val="single"/>
        </w:rPr>
      </w:pPr>
      <w:r w:rsidRPr="00022E68">
        <w:rPr>
          <w:u w:val="single"/>
        </w:rPr>
        <w:t>Východiska:</w:t>
      </w:r>
    </w:p>
    <w:p w:rsidR="0028521C" w:rsidRPr="00022E68" w:rsidRDefault="0028521C" w:rsidP="0028521C">
      <w:pPr>
        <w:tabs>
          <w:tab w:val="num" w:pos="720"/>
        </w:tabs>
        <w:spacing w:after="120"/>
      </w:pPr>
      <w:r w:rsidRPr="001466C1">
        <w:t xml:space="preserve">Východiskem pro hodnocení je především </w:t>
      </w:r>
      <w:r w:rsidR="00A2310F">
        <w:t>oddíl</w:t>
      </w:r>
      <w:r w:rsidRPr="001466C1">
        <w:t xml:space="preserve"> </w:t>
      </w:r>
      <w:r w:rsidR="00BD6894" w:rsidRPr="001466C1">
        <w:t>3</w:t>
      </w:r>
      <w:r w:rsidRPr="001466C1">
        <w:t xml:space="preserve"> „</w:t>
      </w:r>
      <w:r w:rsidR="00314A07">
        <w:t>P</w:t>
      </w:r>
      <w:r w:rsidR="00BD6894" w:rsidRPr="001466C1">
        <w:t>lán</w:t>
      </w:r>
      <w:r w:rsidR="00314A07">
        <w:t xml:space="preserve"> financování</w:t>
      </w:r>
      <w:r w:rsidRPr="001466C1">
        <w:t xml:space="preserve">“ a průřezově také ostatní </w:t>
      </w:r>
      <w:r w:rsidR="00A2310F">
        <w:t>oddíl</w:t>
      </w:r>
      <w:r w:rsidRPr="001466C1">
        <w:t>y textu programu.</w:t>
      </w:r>
      <w:r w:rsidR="001466C1" w:rsidRPr="001466C1">
        <w:t xml:space="preserve"> V kapitole 1.2 je popsáno zdůvodnění finančních alokací. </w:t>
      </w:r>
    </w:p>
    <w:p w:rsidR="0028521C" w:rsidRPr="00022E68" w:rsidRDefault="0028521C" w:rsidP="0028521C">
      <w:pPr>
        <w:tabs>
          <w:tab w:val="num" w:pos="720"/>
        </w:tabs>
        <w:spacing w:after="120"/>
        <w:rPr>
          <w:u w:val="single"/>
        </w:rPr>
      </w:pPr>
      <w:r w:rsidRPr="00022E68">
        <w:rPr>
          <w:u w:val="single"/>
        </w:rPr>
        <w:t>Zjištění v návaznosti na evaluační otázky a úkoly:</w:t>
      </w:r>
    </w:p>
    <w:tbl>
      <w:tblPr>
        <w:tblW w:w="922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853"/>
        <w:gridCol w:w="2848"/>
        <w:gridCol w:w="1501"/>
        <w:gridCol w:w="4027"/>
      </w:tblGrid>
      <w:tr w:rsidR="0028521C" w:rsidRPr="00DA7980" w:rsidTr="000707AF">
        <w:trPr>
          <w:trHeight w:val="1350"/>
          <w:tblHeader/>
        </w:trPr>
        <w:tc>
          <w:tcPr>
            <w:tcW w:w="853" w:type="dxa"/>
            <w:shd w:val="clear" w:color="000000" w:fill="BFBFBF"/>
            <w:vAlign w:val="center"/>
            <w:hideMark/>
          </w:tcPr>
          <w:p w:rsidR="0028521C" w:rsidRPr="00DA7980" w:rsidRDefault="0028521C" w:rsidP="0028521C">
            <w:pPr>
              <w:jc w:val="center"/>
              <w:rPr>
                <w:rFonts w:ascii="Times New Roman" w:eastAsia="Times New Roman" w:hAnsi="Times New Roman" w:cs="Times New Roman"/>
                <w:b/>
                <w:bCs/>
                <w:szCs w:val="20"/>
                <w:lang w:eastAsia="cs-CZ"/>
              </w:rPr>
            </w:pPr>
            <w:proofErr w:type="spellStart"/>
            <w:r w:rsidRPr="00DA7980">
              <w:rPr>
                <w:rFonts w:ascii="Times New Roman" w:eastAsia="Times New Roman" w:hAnsi="Times New Roman" w:cs="Times New Roman"/>
                <w:b/>
                <w:bCs/>
                <w:szCs w:val="20"/>
                <w:lang w:eastAsia="cs-CZ"/>
              </w:rPr>
              <w:t>Poř</w:t>
            </w:r>
            <w:proofErr w:type="spellEnd"/>
            <w:r w:rsidRPr="00DA7980">
              <w:rPr>
                <w:rFonts w:ascii="Times New Roman" w:eastAsia="Times New Roman" w:hAnsi="Times New Roman" w:cs="Times New Roman"/>
                <w:b/>
                <w:bCs/>
                <w:szCs w:val="20"/>
                <w:lang w:eastAsia="cs-CZ"/>
              </w:rPr>
              <w:t>. č.</w:t>
            </w:r>
          </w:p>
        </w:tc>
        <w:tc>
          <w:tcPr>
            <w:tcW w:w="2848" w:type="dxa"/>
            <w:shd w:val="clear" w:color="000000" w:fill="BFBFBF"/>
            <w:vAlign w:val="center"/>
            <w:hideMark/>
          </w:tcPr>
          <w:p w:rsidR="0028521C" w:rsidRPr="00DA7980" w:rsidRDefault="0028521C" w:rsidP="0028521C">
            <w:pPr>
              <w:jc w:val="center"/>
              <w:rPr>
                <w:rFonts w:ascii="Times New Roman" w:eastAsia="Times New Roman" w:hAnsi="Times New Roman" w:cs="Times New Roman"/>
                <w:b/>
                <w:bCs/>
                <w:szCs w:val="20"/>
                <w:lang w:eastAsia="cs-CZ"/>
              </w:rPr>
            </w:pPr>
            <w:r w:rsidRPr="00DA7980">
              <w:rPr>
                <w:rFonts w:ascii="Times New Roman" w:eastAsia="Times New Roman" w:hAnsi="Times New Roman" w:cs="Times New Roman"/>
                <w:b/>
                <w:bCs/>
                <w:szCs w:val="20"/>
                <w:lang w:eastAsia="cs-CZ"/>
              </w:rPr>
              <w:t>Evaluační otázka / úkol</w:t>
            </w:r>
          </w:p>
        </w:tc>
        <w:tc>
          <w:tcPr>
            <w:tcW w:w="1501" w:type="dxa"/>
            <w:shd w:val="clear" w:color="000000" w:fill="BFBFBF"/>
            <w:vAlign w:val="center"/>
            <w:hideMark/>
          </w:tcPr>
          <w:p w:rsidR="0028521C" w:rsidRPr="00DA7980" w:rsidRDefault="0028521C" w:rsidP="005C0ADF">
            <w:pPr>
              <w:jc w:val="center"/>
              <w:rPr>
                <w:rFonts w:ascii="Times New Roman" w:eastAsia="Times New Roman" w:hAnsi="Times New Roman" w:cs="Times New Roman"/>
                <w:b/>
                <w:bCs/>
                <w:szCs w:val="20"/>
                <w:lang w:eastAsia="cs-CZ"/>
              </w:rPr>
            </w:pPr>
            <w:r w:rsidRPr="00DA7980">
              <w:rPr>
                <w:rFonts w:ascii="Times New Roman" w:eastAsia="Times New Roman" w:hAnsi="Times New Roman" w:cs="Times New Roman"/>
                <w:b/>
                <w:bCs/>
                <w:szCs w:val="20"/>
                <w:lang w:eastAsia="cs-CZ"/>
              </w:rPr>
              <w:t>Zhodnocení</w:t>
            </w:r>
            <w:r w:rsidRPr="00DA7980">
              <w:rPr>
                <w:rFonts w:ascii="Times New Roman" w:eastAsia="Times New Roman" w:hAnsi="Times New Roman" w:cs="Times New Roman"/>
                <w:b/>
                <w:bCs/>
                <w:szCs w:val="20"/>
                <w:lang w:eastAsia="cs-CZ"/>
              </w:rPr>
              <w:br/>
            </w:r>
            <w:r w:rsidRPr="00DA7980">
              <w:rPr>
                <w:rFonts w:ascii="Times New Roman" w:eastAsia="Times New Roman" w:hAnsi="Times New Roman" w:cs="Times New Roman"/>
                <w:szCs w:val="20"/>
                <w:lang w:eastAsia="cs-CZ"/>
              </w:rPr>
              <w:t>(A - Ano, SA - Spíše ano, SN - Spíše ne, N - Ne, NR - Není relevantní)</w:t>
            </w:r>
          </w:p>
        </w:tc>
        <w:tc>
          <w:tcPr>
            <w:tcW w:w="4027" w:type="dxa"/>
            <w:shd w:val="clear" w:color="000000" w:fill="BFBFBF"/>
            <w:vAlign w:val="center"/>
            <w:hideMark/>
          </w:tcPr>
          <w:p w:rsidR="0028521C" w:rsidRPr="00DA7980" w:rsidRDefault="0028521C" w:rsidP="0028521C">
            <w:pPr>
              <w:jc w:val="center"/>
              <w:rPr>
                <w:rFonts w:ascii="Times New Roman" w:eastAsia="Times New Roman" w:hAnsi="Times New Roman" w:cs="Times New Roman"/>
                <w:b/>
                <w:bCs/>
                <w:szCs w:val="20"/>
                <w:lang w:eastAsia="cs-CZ"/>
              </w:rPr>
            </w:pPr>
            <w:r w:rsidRPr="00DA7980">
              <w:rPr>
                <w:rFonts w:ascii="Times New Roman" w:eastAsia="Times New Roman" w:hAnsi="Times New Roman" w:cs="Times New Roman"/>
                <w:b/>
                <w:bCs/>
                <w:szCs w:val="20"/>
                <w:lang w:eastAsia="cs-CZ"/>
              </w:rPr>
              <w:t>Komentář, doporučení</w:t>
            </w:r>
          </w:p>
        </w:tc>
      </w:tr>
      <w:tr w:rsidR="0028521C" w:rsidRPr="00DA7980" w:rsidTr="006C3EA4">
        <w:trPr>
          <w:trHeight w:val="301"/>
        </w:trPr>
        <w:tc>
          <w:tcPr>
            <w:tcW w:w="853" w:type="dxa"/>
            <w:shd w:val="clear" w:color="000000" w:fill="DBEEF3"/>
            <w:hideMark/>
          </w:tcPr>
          <w:p w:rsidR="0028521C" w:rsidRPr="00DA7980" w:rsidRDefault="0028521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03.1</w:t>
            </w:r>
          </w:p>
        </w:tc>
        <w:tc>
          <w:tcPr>
            <w:tcW w:w="2848" w:type="dxa"/>
            <w:shd w:val="clear" w:color="000000" w:fill="DBEEF3"/>
            <w:hideMark/>
          </w:tcPr>
          <w:p w:rsidR="0028521C" w:rsidRPr="00DA7980" w:rsidRDefault="0028521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Odpovídají finanční alokace na jednotlivé prioritní osy a investiční priority významu příslušných problémů a potřeb, na základě kterých byly stanoveny specifické cíle programu, míře příspěvku programu k řešení problému, charakteru aktivit a zvoleným formám podpory a požadavkům na tematickou koncentraci?</w:t>
            </w:r>
          </w:p>
        </w:tc>
        <w:tc>
          <w:tcPr>
            <w:tcW w:w="1501" w:type="dxa"/>
            <w:shd w:val="clear" w:color="000000" w:fill="DBEEF3"/>
            <w:vAlign w:val="center"/>
            <w:hideMark/>
          </w:tcPr>
          <w:p w:rsidR="0028521C" w:rsidRPr="00DA7980" w:rsidRDefault="008B30FA" w:rsidP="005C0ADF">
            <w:pPr>
              <w:jc w:val="center"/>
              <w:rPr>
                <w:rFonts w:ascii="Times New Roman" w:eastAsia="Times New Roman" w:hAnsi="Times New Roman" w:cs="Times New Roman"/>
                <w:bCs/>
                <w:szCs w:val="20"/>
                <w:lang w:eastAsia="cs-CZ"/>
              </w:rPr>
            </w:pPr>
            <w:r w:rsidRPr="00DA7980">
              <w:rPr>
                <w:rFonts w:ascii="Times New Roman" w:eastAsia="Times New Roman" w:hAnsi="Times New Roman" w:cs="Times New Roman"/>
                <w:bCs/>
                <w:szCs w:val="20"/>
                <w:lang w:eastAsia="cs-CZ"/>
              </w:rPr>
              <w:t>SA</w:t>
            </w:r>
          </w:p>
        </w:tc>
        <w:tc>
          <w:tcPr>
            <w:tcW w:w="4027" w:type="dxa"/>
            <w:shd w:val="clear" w:color="000000" w:fill="DBEEF3"/>
            <w:hideMark/>
          </w:tcPr>
          <w:p w:rsidR="008A36D3" w:rsidRDefault="008A36D3" w:rsidP="00DB6286">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Lze konstatovat, že </w:t>
            </w:r>
            <w:r w:rsidRPr="00DA7980">
              <w:rPr>
                <w:rFonts w:ascii="Times New Roman" w:eastAsia="Times New Roman" w:hAnsi="Times New Roman" w:cs="Times New Roman"/>
                <w:szCs w:val="20"/>
                <w:lang w:eastAsia="cs-CZ"/>
              </w:rPr>
              <w:t xml:space="preserve">finanční alokace na jednotlivé prioritní osy a investiční priority </w:t>
            </w:r>
            <w:r>
              <w:rPr>
                <w:rFonts w:ascii="Times New Roman" w:eastAsia="Times New Roman" w:hAnsi="Times New Roman" w:cs="Times New Roman"/>
                <w:szCs w:val="20"/>
                <w:lang w:eastAsia="cs-CZ"/>
              </w:rPr>
              <w:t xml:space="preserve">víceméně odpovídají </w:t>
            </w:r>
            <w:r w:rsidRPr="00DA7980">
              <w:rPr>
                <w:rFonts w:ascii="Times New Roman" w:eastAsia="Times New Roman" w:hAnsi="Times New Roman" w:cs="Times New Roman"/>
                <w:szCs w:val="20"/>
                <w:lang w:eastAsia="cs-CZ"/>
              </w:rPr>
              <w:t>významu příslušných problémů a potřeb, na základě kterých byly stanoveny specifické cíle programu, míře příspěvku programu k řešení problému, charakteru aktivit a zvoleným formám podpory a</w:t>
            </w:r>
            <w:r>
              <w:rPr>
                <w:rFonts w:ascii="Times New Roman" w:eastAsia="Times New Roman" w:hAnsi="Times New Roman" w:cs="Times New Roman"/>
                <w:szCs w:val="20"/>
                <w:lang w:eastAsia="cs-CZ"/>
              </w:rPr>
              <w:t xml:space="preserve"> také</w:t>
            </w:r>
            <w:r w:rsidRPr="00DA7980">
              <w:rPr>
                <w:rFonts w:ascii="Times New Roman" w:eastAsia="Times New Roman" w:hAnsi="Times New Roman" w:cs="Times New Roman"/>
                <w:szCs w:val="20"/>
                <w:lang w:eastAsia="cs-CZ"/>
              </w:rPr>
              <w:t xml:space="preserve"> požadavkům na tematickou koncentraci</w:t>
            </w:r>
            <w:r>
              <w:rPr>
                <w:rFonts w:ascii="Times New Roman" w:eastAsia="Times New Roman" w:hAnsi="Times New Roman" w:cs="Times New Roman"/>
                <w:szCs w:val="20"/>
                <w:lang w:eastAsia="cs-CZ"/>
              </w:rPr>
              <w:t xml:space="preserve"> dle článku 4 nařízení Evropského parlamentu a Rady (EU) č. 1301/2013.</w:t>
            </w:r>
          </w:p>
          <w:p w:rsidR="009365C6" w:rsidRDefault="008B30FA" w:rsidP="008A36D3">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 xml:space="preserve">Největší </w:t>
            </w:r>
            <w:r w:rsidR="00325049" w:rsidRPr="00DA7980">
              <w:rPr>
                <w:rFonts w:ascii="Times New Roman" w:eastAsia="Times New Roman" w:hAnsi="Times New Roman" w:cs="Times New Roman"/>
                <w:szCs w:val="20"/>
                <w:lang w:eastAsia="cs-CZ"/>
              </w:rPr>
              <w:t>podíly z</w:t>
            </w:r>
            <w:r w:rsidRPr="00DA7980">
              <w:rPr>
                <w:rFonts w:ascii="Times New Roman" w:eastAsia="Times New Roman" w:hAnsi="Times New Roman" w:cs="Times New Roman"/>
                <w:szCs w:val="20"/>
                <w:lang w:eastAsia="cs-CZ"/>
              </w:rPr>
              <w:t xml:space="preserve"> finanční alokac</w:t>
            </w:r>
            <w:r w:rsidR="00325049" w:rsidRPr="00DA7980">
              <w:rPr>
                <w:rFonts w:ascii="Times New Roman" w:eastAsia="Times New Roman" w:hAnsi="Times New Roman" w:cs="Times New Roman"/>
                <w:szCs w:val="20"/>
                <w:lang w:eastAsia="cs-CZ"/>
              </w:rPr>
              <w:t>e</w:t>
            </w:r>
            <w:r w:rsidRPr="00DA7980">
              <w:rPr>
                <w:rFonts w:ascii="Times New Roman" w:eastAsia="Times New Roman" w:hAnsi="Times New Roman" w:cs="Times New Roman"/>
                <w:szCs w:val="20"/>
                <w:lang w:eastAsia="cs-CZ"/>
              </w:rPr>
              <w:t xml:space="preserve"> OP PIK jsou přiděleny těm prioritním osám a investičním prioritám, prostřednictvím kterých by měl OP PIK </w:t>
            </w:r>
            <w:r w:rsidR="009D7676">
              <w:rPr>
                <w:rFonts w:ascii="Times New Roman" w:eastAsia="Times New Roman" w:hAnsi="Times New Roman" w:cs="Times New Roman"/>
                <w:szCs w:val="20"/>
                <w:lang w:eastAsia="cs-CZ"/>
              </w:rPr>
              <w:t>– v souladu s </w:t>
            </w:r>
            <w:proofErr w:type="spellStart"/>
            <w:r w:rsidR="009D7676">
              <w:rPr>
                <w:rFonts w:ascii="Times New Roman" w:eastAsia="Times New Roman" w:hAnsi="Times New Roman" w:cs="Times New Roman"/>
                <w:szCs w:val="20"/>
                <w:lang w:eastAsia="cs-CZ"/>
              </w:rPr>
              <w:t>DoP</w:t>
            </w:r>
            <w:proofErr w:type="spellEnd"/>
            <w:r w:rsidR="009D7676">
              <w:rPr>
                <w:rFonts w:ascii="Times New Roman" w:eastAsia="Times New Roman" w:hAnsi="Times New Roman" w:cs="Times New Roman"/>
                <w:szCs w:val="20"/>
                <w:lang w:eastAsia="cs-CZ"/>
              </w:rPr>
              <w:t xml:space="preserve"> - </w:t>
            </w:r>
            <w:r w:rsidR="00CE028C" w:rsidRPr="00DA7980">
              <w:rPr>
                <w:rFonts w:ascii="Times New Roman" w:eastAsia="Times New Roman" w:hAnsi="Times New Roman" w:cs="Times New Roman"/>
                <w:szCs w:val="20"/>
                <w:lang w:eastAsia="cs-CZ"/>
              </w:rPr>
              <w:t>nejvíce</w:t>
            </w:r>
            <w:r w:rsidRPr="00DA7980">
              <w:rPr>
                <w:rFonts w:ascii="Times New Roman" w:eastAsia="Times New Roman" w:hAnsi="Times New Roman" w:cs="Times New Roman"/>
                <w:szCs w:val="20"/>
                <w:lang w:eastAsia="cs-CZ"/>
              </w:rPr>
              <w:t xml:space="preserve"> přispívat k naplňování vybraných hlavních cílů strategie Evropa 2020 a potažmo Národního programu reforem ČR, tj. především </w:t>
            </w:r>
            <w:r w:rsidRPr="00DA7980">
              <w:rPr>
                <w:rFonts w:ascii="Times New Roman" w:hAnsi="Times New Roman" w:cs="Times New Roman"/>
                <w:szCs w:val="20"/>
              </w:rPr>
              <w:t>posíl</w:t>
            </w:r>
            <w:r w:rsidR="00526CAF" w:rsidRPr="00DA7980">
              <w:rPr>
                <w:rFonts w:ascii="Times New Roman" w:hAnsi="Times New Roman" w:cs="Times New Roman"/>
                <w:szCs w:val="20"/>
              </w:rPr>
              <w:t>it</w:t>
            </w:r>
            <w:r w:rsidRPr="00DA7980">
              <w:rPr>
                <w:rFonts w:ascii="Times New Roman" w:hAnsi="Times New Roman" w:cs="Times New Roman"/>
                <w:szCs w:val="20"/>
              </w:rPr>
              <w:t xml:space="preserve"> investic</w:t>
            </w:r>
            <w:r w:rsidR="00526CAF" w:rsidRPr="00DA7980">
              <w:rPr>
                <w:rFonts w:ascii="Times New Roman" w:hAnsi="Times New Roman" w:cs="Times New Roman"/>
                <w:szCs w:val="20"/>
              </w:rPr>
              <w:t>e</w:t>
            </w:r>
            <w:r w:rsidRPr="00DA7980">
              <w:rPr>
                <w:rFonts w:ascii="Times New Roman" w:hAnsi="Times New Roman" w:cs="Times New Roman"/>
                <w:szCs w:val="20"/>
              </w:rPr>
              <w:t xml:space="preserve"> do </w:t>
            </w:r>
            <w:proofErr w:type="spellStart"/>
            <w:r w:rsidRPr="00DA7980">
              <w:rPr>
                <w:rFonts w:ascii="Times New Roman" w:hAnsi="Times New Roman" w:cs="Times New Roman"/>
                <w:szCs w:val="20"/>
              </w:rPr>
              <w:t>VVaI</w:t>
            </w:r>
            <w:proofErr w:type="spellEnd"/>
            <w:r w:rsidRPr="00DA7980">
              <w:rPr>
                <w:rFonts w:ascii="Times New Roman" w:hAnsi="Times New Roman" w:cs="Times New Roman"/>
                <w:szCs w:val="20"/>
              </w:rPr>
              <w:t xml:space="preserve"> (PO 1)</w:t>
            </w:r>
            <w:r w:rsidR="00E71690" w:rsidRPr="00DA7980">
              <w:rPr>
                <w:rFonts w:ascii="Times New Roman" w:hAnsi="Times New Roman" w:cs="Times New Roman"/>
                <w:szCs w:val="20"/>
              </w:rPr>
              <w:t xml:space="preserve">, </w:t>
            </w:r>
            <w:r w:rsidRPr="00DA7980">
              <w:rPr>
                <w:rFonts w:ascii="Times New Roman" w:hAnsi="Times New Roman" w:cs="Times New Roman"/>
                <w:szCs w:val="20"/>
              </w:rPr>
              <w:t>d</w:t>
            </w:r>
            <w:r w:rsidR="00526CAF" w:rsidRPr="00DA7980">
              <w:rPr>
                <w:rFonts w:ascii="Times New Roman" w:hAnsi="Times New Roman" w:cs="Times New Roman"/>
                <w:szCs w:val="20"/>
              </w:rPr>
              <w:t xml:space="preserve">ále </w:t>
            </w:r>
            <w:r w:rsidRPr="00DA7980">
              <w:rPr>
                <w:rFonts w:ascii="Times New Roman" w:hAnsi="Times New Roman" w:cs="Times New Roman"/>
                <w:szCs w:val="20"/>
              </w:rPr>
              <w:t>zvyšov</w:t>
            </w:r>
            <w:r w:rsidR="00526CAF" w:rsidRPr="00DA7980">
              <w:rPr>
                <w:rFonts w:ascii="Times New Roman" w:hAnsi="Times New Roman" w:cs="Times New Roman"/>
                <w:szCs w:val="20"/>
              </w:rPr>
              <w:t>at</w:t>
            </w:r>
            <w:r w:rsidRPr="00DA7980">
              <w:rPr>
                <w:rFonts w:ascii="Times New Roman" w:hAnsi="Times New Roman" w:cs="Times New Roman"/>
                <w:szCs w:val="20"/>
              </w:rPr>
              <w:t xml:space="preserve"> energetick</w:t>
            </w:r>
            <w:r w:rsidR="00526CAF" w:rsidRPr="00DA7980">
              <w:rPr>
                <w:rFonts w:ascii="Times New Roman" w:hAnsi="Times New Roman" w:cs="Times New Roman"/>
                <w:szCs w:val="20"/>
              </w:rPr>
              <w:t>ou</w:t>
            </w:r>
            <w:r w:rsidRPr="00DA7980">
              <w:rPr>
                <w:rFonts w:ascii="Times New Roman" w:hAnsi="Times New Roman" w:cs="Times New Roman"/>
                <w:szCs w:val="20"/>
              </w:rPr>
              <w:t xml:space="preserve"> účinnost v průmyslu (SC 3.2 a 3.5)</w:t>
            </w:r>
            <w:r w:rsidR="00526CAF" w:rsidRPr="00DA7980">
              <w:rPr>
                <w:rFonts w:ascii="Times New Roman" w:hAnsi="Times New Roman" w:cs="Times New Roman"/>
                <w:szCs w:val="20"/>
              </w:rPr>
              <w:t xml:space="preserve">, </w:t>
            </w:r>
            <w:r w:rsidR="00E71690" w:rsidRPr="00DA7980">
              <w:rPr>
                <w:rFonts w:ascii="Times New Roman" w:hAnsi="Times New Roman" w:cs="Times New Roman"/>
                <w:szCs w:val="20"/>
              </w:rPr>
              <w:t>z</w:t>
            </w:r>
            <w:r w:rsidR="00DB6286" w:rsidRPr="00DA7980">
              <w:rPr>
                <w:rFonts w:ascii="Times New Roman" w:hAnsi="Times New Roman" w:cs="Times New Roman"/>
                <w:szCs w:val="20"/>
              </w:rPr>
              <w:t xml:space="preserve">ajistit do roku 2020 připojení k internetu umožňující přenosové rychlosti 30 </w:t>
            </w:r>
            <w:proofErr w:type="spellStart"/>
            <w:r w:rsidR="00DB6286" w:rsidRPr="00DA7980">
              <w:rPr>
                <w:rFonts w:ascii="Times New Roman" w:hAnsi="Times New Roman" w:cs="Times New Roman"/>
                <w:szCs w:val="20"/>
              </w:rPr>
              <w:t>Mbit</w:t>
            </w:r>
            <w:proofErr w:type="spellEnd"/>
            <w:r w:rsidR="00DB6286" w:rsidRPr="00DA7980">
              <w:rPr>
                <w:rFonts w:ascii="Times New Roman" w:hAnsi="Times New Roman" w:cs="Times New Roman"/>
                <w:szCs w:val="20"/>
              </w:rPr>
              <w:t xml:space="preserve">/s pro všechny obyvatele a 100 </w:t>
            </w:r>
            <w:proofErr w:type="spellStart"/>
            <w:r w:rsidR="00DB6286" w:rsidRPr="00DA7980">
              <w:rPr>
                <w:rFonts w:ascii="Times New Roman" w:hAnsi="Times New Roman" w:cs="Times New Roman"/>
                <w:szCs w:val="20"/>
              </w:rPr>
              <w:t>Mbit</w:t>
            </w:r>
            <w:proofErr w:type="spellEnd"/>
            <w:r w:rsidR="00DB6286" w:rsidRPr="00DA7980">
              <w:rPr>
                <w:rFonts w:ascii="Times New Roman" w:hAnsi="Times New Roman" w:cs="Times New Roman"/>
                <w:szCs w:val="20"/>
              </w:rPr>
              <w:t>/s pro polovinu domácností</w:t>
            </w:r>
            <w:r w:rsidR="00526CAF" w:rsidRPr="00DA7980">
              <w:rPr>
                <w:rFonts w:ascii="Times New Roman" w:hAnsi="Times New Roman" w:cs="Times New Roman"/>
                <w:szCs w:val="20"/>
              </w:rPr>
              <w:t xml:space="preserve"> </w:t>
            </w:r>
            <w:r w:rsidR="00650673" w:rsidRPr="00DA7980">
              <w:rPr>
                <w:rFonts w:ascii="Times New Roman" w:hAnsi="Times New Roman" w:cs="Times New Roman"/>
                <w:szCs w:val="20"/>
              </w:rPr>
              <w:t xml:space="preserve">(SC 4.1) </w:t>
            </w:r>
            <w:r w:rsidR="00526CAF" w:rsidRPr="00DA7980">
              <w:rPr>
                <w:rFonts w:ascii="Times New Roman" w:hAnsi="Times New Roman" w:cs="Times New Roman"/>
                <w:szCs w:val="20"/>
              </w:rPr>
              <w:t xml:space="preserve">a </w:t>
            </w:r>
            <w:r w:rsidR="00A22E6B" w:rsidRPr="00DA7980">
              <w:rPr>
                <w:rFonts w:ascii="Times New Roman" w:hAnsi="Times New Roman" w:cs="Times New Roman"/>
                <w:szCs w:val="20"/>
              </w:rPr>
              <w:t xml:space="preserve">nepřímo </w:t>
            </w:r>
            <w:r w:rsidR="00526CAF" w:rsidRPr="00DA7980">
              <w:rPr>
                <w:rFonts w:ascii="Times New Roman" w:hAnsi="Times New Roman" w:cs="Times New Roman"/>
                <w:szCs w:val="20"/>
              </w:rPr>
              <w:t>také zvyšovat zaměstnanost tvorbou nových pracovních míst (SC 2.1</w:t>
            </w:r>
            <w:r w:rsidR="00A22E6B" w:rsidRPr="00DA7980">
              <w:rPr>
                <w:rFonts w:ascii="Times New Roman" w:hAnsi="Times New Roman" w:cs="Times New Roman"/>
                <w:szCs w:val="20"/>
              </w:rPr>
              <w:t>, 4.2</w:t>
            </w:r>
            <w:r w:rsidR="00526CAF" w:rsidRPr="00DA7980">
              <w:rPr>
                <w:rFonts w:ascii="Times New Roman" w:hAnsi="Times New Roman" w:cs="Times New Roman"/>
                <w:szCs w:val="20"/>
              </w:rPr>
              <w:t>)</w:t>
            </w:r>
            <w:r w:rsidR="00DB6286" w:rsidRPr="00DA7980">
              <w:rPr>
                <w:rFonts w:ascii="Times New Roman" w:hAnsi="Times New Roman" w:cs="Times New Roman"/>
                <w:szCs w:val="20"/>
              </w:rPr>
              <w:t>.</w:t>
            </w:r>
            <w:r w:rsidR="009365C6" w:rsidRPr="00DA7980">
              <w:rPr>
                <w:rFonts w:ascii="Times New Roman" w:eastAsia="Times New Roman" w:hAnsi="Times New Roman" w:cs="Times New Roman"/>
                <w:szCs w:val="20"/>
                <w:lang w:eastAsia="cs-CZ"/>
              </w:rPr>
              <w:t xml:space="preserve"> </w:t>
            </w:r>
          </w:p>
          <w:p w:rsidR="008A36D3" w:rsidRPr="00DA7980" w:rsidRDefault="00477F5A" w:rsidP="00477F5A">
            <w:pPr>
              <w:rPr>
                <w:rFonts w:ascii="Times New Roman" w:hAnsi="Times New Roman" w:cs="Times New Roman"/>
                <w:szCs w:val="20"/>
              </w:rPr>
            </w:pPr>
            <w:r>
              <w:rPr>
                <w:rFonts w:ascii="Times New Roman" w:eastAsia="Times New Roman" w:hAnsi="Times New Roman" w:cs="Times New Roman"/>
                <w:szCs w:val="20"/>
                <w:lang w:eastAsia="cs-CZ"/>
              </w:rPr>
              <w:t>Přitom je zároveň</w:t>
            </w:r>
            <w:r w:rsidR="009D7676">
              <w:rPr>
                <w:rFonts w:ascii="Times New Roman" w:eastAsia="Times New Roman" w:hAnsi="Times New Roman" w:cs="Times New Roman"/>
                <w:szCs w:val="20"/>
                <w:lang w:eastAsia="cs-CZ"/>
              </w:rPr>
              <w:t xml:space="preserve"> potřeba brát v úvahu</w:t>
            </w:r>
            <w:r w:rsidR="00D467A5">
              <w:rPr>
                <w:rFonts w:ascii="Times New Roman" w:eastAsia="Times New Roman" w:hAnsi="Times New Roman" w:cs="Times New Roman"/>
                <w:szCs w:val="20"/>
                <w:lang w:eastAsia="cs-CZ"/>
              </w:rPr>
              <w:t xml:space="preserve">, že OP PIK není jediným nástrojem pro dosažení cílů strategie Evropa 2020, a je proto </w:t>
            </w:r>
            <w:r>
              <w:rPr>
                <w:rFonts w:ascii="Times New Roman" w:eastAsia="Times New Roman" w:hAnsi="Times New Roman" w:cs="Times New Roman"/>
                <w:szCs w:val="20"/>
                <w:lang w:eastAsia="cs-CZ"/>
              </w:rPr>
              <w:t>nezbytné</w:t>
            </w:r>
            <w:r w:rsidR="00D467A5">
              <w:rPr>
                <w:rFonts w:ascii="Times New Roman" w:eastAsia="Times New Roman" w:hAnsi="Times New Roman" w:cs="Times New Roman"/>
                <w:szCs w:val="20"/>
                <w:lang w:eastAsia="cs-CZ"/>
              </w:rPr>
              <w:t xml:space="preserve"> mobilizovat a koncentrovat i další finanční a nefinanční zdroje (veřejné</w:t>
            </w:r>
            <w:r>
              <w:rPr>
                <w:rFonts w:ascii="Times New Roman" w:eastAsia="Times New Roman" w:hAnsi="Times New Roman" w:cs="Times New Roman"/>
                <w:szCs w:val="20"/>
                <w:lang w:eastAsia="cs-CZ"/>
              </w:rPr>
              <w:t xml:space="preserve"> </w:t>
            </w:r>
            <w:r w:rsidR="00D467A5">
              <w:rPr>
                <w:rFonts w:ascii="Times New Roman" w:eastAsia="Times New Roman" w:hAnsi="Times New Roman" w:cs="Times New Roman"/>
                <w:szCs w:val="20"/>
                <w:lang w:eastAsia="cs-CZ"/>
              </w:rPr>
              <w:t xml:space="preserve">i soukromé) pro dosažení příslušných strategických cílů. </w:t>
            </w:r>
          </w:p>
        </w:tc>
      </w:tr>
      <w:tr w:rsidR="0028521C" w:rsidRPr="00DA7980" w:rsidTr="000707AF">
        <w:trPr>
          <w:trHeight w:val="810"/>
        </w:trPr>
        <w:tc>
          <w:tcPr>
            <w:tcW w:w="853" w:type="dxa"/>
            <w:shd w:val="clear" w:color="000000" w:fill="DBEEF3"/>
            <w:hideMark/>
          </w:tcPr>
          <w:p w:rsidR="0028521C" w:rsidRPr="00DA7980" w:rsidRDefault="0028521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lastRenderedPageBreak/>
              <w:t>03.2</w:t>
            </w:r>
          </w:p>
        </w:tc>
        <w:tc>
          <w:tcPr>
            <w:tcW w:w="2848" w:type="dxa"/>
            <w:shd w:val="clear" w:color="000000" w:fill="DBEEF3"/>
            <w:hideMark/>
          </w:tcPr>
          <w:p w:rsidR="0028521C" w:rsidRPr="00DA7980" w:rsidRDefault="0028521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Jsou jednotlivé prioritní osy schopny vyčerpat alokované prostředky (vzhledem k pravidlu N+3 s důrazem na finanční plán OP PIK)?</w:t>
            </w:r>
          </w:p>
        </w:tc>
        <w:tc>
          <w:tcPr>
            <w:tcW w:w="1501" w:type="dxa"/>
            <w:shd w:val="clear" w:color="000000" w:fill="DBEEF3"/>
            <w:vAlign w:val="center"/>
            <w:hideMark/>
          </w:tcPr>
          <w:p w:rsidR="0028521C" w:rsidRPr="00DA7980" w:rsidRDefault="00A83E1E" w:rsidP="005C0ADF">
            <w:pPr>
              <w:jc w:val="center"/>
              <w:rPr>
                <w:rFonts w:ascii="Times New Roman" w:eastAsia="Times New Roman" w:hAnsi="Times New Roman" w:cs="Times New Roman"/>
                <w:bCs/>
                <w:szCs w:val="20"/>
                <w:lang w:eastAsia="cs-CZ"/>
              </w:rPr>
            </w:pPr>
            <w:r w:rsidRPr="00DA7980">
              <w:rPr>
                <w:rFonts w:ascii="Times New Roman" w:eastAsia="Times New Roman" w:hAnsi="Times New Roman" w:cs="Times New Roman"/>
                <w:bCs/>
                <w:szCs w:val="20"/>
                <w:lang w:eastAsia="cs-CZ"/>
              </w:rPr>
              <w:t>SA</w:t>
            </w:r>
          </w:p>
        </w:tc>
        <w:tc>
          <w:tcPr>
            <w:tcW w:w="4027" w:type="dxa"/>
            <w:shd w:val="clear" w:color="000000" w:fill="DBEEF3"/>
            <w:hideMark/>
          </w:tcPr>
          <w:p w:rsidR="00C73B16" w:rsidRPr="00DA7980" w:rsidRDefault="00C73B16"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Na základě dosavadních zkušeností s implementací OPPI lze konstatovat, že reálný průběh tohoto programů prokázal vysokou absorpční schopnost žadatelů připravit a realizovat životaschopné projekty splňující kritéria operačního programu, výrazně přesahující jeho finanční možnosti. To vytváří předpoklady pro zajištění absorpční kapacity i v novém OP PIK</w:t>
            </w:r>
            <w:r w:rsidR="0057179B" w:rsidRPr="00DA7980">
              <w:rPr>
                <w:rFonts w:ascii="Times New Roman" w:eastAsia="Times New Roman" w:hAnsi="Times New Roman" w:cs="Times New Roman"/>
                <w:szCs w:val="20"/>
                <w:lang w:eastAsia="cs-CZ"/>
              </w:rPr>
              <w:t>, zejména pak u těch specifických cílů, které přímo navazují na stávající oblasti podpory OPPI.</w:t>
            </w:r>
          </w:p>
          <w:p w:rsidR="009B2086" w:rsidRPr="00DA7980" w:rsidRDefault="009B2086" w:rsidP="005C0ADF">
            <w:pPr>
              <w:rPr>
                <w:rFonts w:ascii="Times New Roman" w:eastAsia="Times New Roman" w:hAnsi="Times New Roman" w:cs="Times New Roman"/>
                <w:szCs w:val="20"/>
                <w:lang w:eastAsia="cs-CZ"/>
              </w:rPr>
            </w:pPr>
          </w:p>
          <w:p w:rsidR="009B2086" w:rsidRPr="00DA7980" w:rsidRDefault="009B2086"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Hlavní rizika pro plnění finančního plánu programu lze identifikovat na základě dosavadních zkušeností s implementací OPPI i OPPP a spatřovat především v:</w:t>
            </w:r>
          </w:p>
          <w:p w:rsidR="009B2086" w:rsidRPr="00DA7980" w:rsidRDefault="00C73B16" w:rsidP="00C6279B">
            <w:pPr>
              <w:pStyle w:val="Odstavecseseznamem"/>
              <w:numPr>
                <w:ilvl w:val="0"/>
                <w:numId w:val="10"/>
              </w:numPr>
              <w:ind w:left="356" w:hanging="284"/>
              <w:jc w:val="both"/>
              <w:rPr>
                <w:sz w:val="20"/>
                <w:szCs w:val="20"/>
              </w:rPr>
            </w:pPr>
            <w:r w:rsidRPr="00DA7980">
              <w:rPr>
                <w:sz w:val="20"/>
                <w:szCs w:val="20"/>
              </w:rPr>
              <w:t>zpoždění</w:t>
            </w:r>
            <w:r w:rsidR="009B2086" w:rsidRPr="00DA7980">
              <w:rPr>
                <w:sz w:val="20"/>
                <w:szCs w:val="20"/>
              </w:rPr>
              <w:t xml:space="preserve"> zahájení realizace programu,</w:t>
            </w:r>
          </w:p>
          <w:p w:rsidR="009B2086" w:rsidRPr="00DA7980" w:rsidRDefault="009B2086" w:rsidP="00C6279B">
            <w:pPr>
              <w:pStyle w:val="Odstavecseseznamem"/>
              <w:numPr>
                <w:ilvl w:val="0"/>
                <w:numId w:val="10"/>
              </w:numPr>
              <w:ind w:left="356" w:hanging="284"/>
              <w:jc w:val="both"/>
              <w:rPr>
                <w:sz w:val="20"/>
                <w:szCs w:val="20"/>
              </w:rPr>
            </w:pPr>
            <w:r w:rsidRPr="00DA7980">
              <w:rPr>
                <w:sz w:val="20"/>
                <w:szCs w:val="20"/>
              </w:rPr>
              <w:t>pozastavení plateb v důsledku nejasností</w:t>
            </w:r>
            <w:r w:rsidR="007D4922" w:rsidRPr="00DA7980">
              <w:rPr>
                <w:sz w:val="20"/>
                <w:szCs w:val="20"/>
              </w:rPr>
              <w:t xml:space="preserve"> o</w:t>
            </w:r>
            <w:r w:rsidRPr="00DA7980">
              <w:rPr>
                <w:sz w:val="20"/>
                <w:szCs w:val="20"/>
              </w:rPr>
              <w:t> systému implementace programu,</w:t>
            </w:r>
            <w:r w:rsidR="007D4922" w:rsidRPr="00DA7980">
              <w:rPr>
                <w:sz w:val="20"/>
                <w:szCs w:val="20"/>
              </w:rPr>
              <w:t xml:space="preserve"> příp. při zjištění nesrovnalostí,</w:t>
            </w:r>
            <w:r w:rsidRPr="00DA7980">
              <w:rPr>
                <w:sz w:val="20"/>
                <w:szCs w:val="20"/>
              </w:rPr>
              <w:t xml:space="preserve"> </w:t>
            </w:r>
          </w:p>
          <w:p w:rsidR="00314A07" w:rsidRPr="00DA7980" w:rsidRDefault="009B2086" w:rsidP="00C6279B">
            <w:pPr>
              <w:pStyle w:val="Odstavecseseznamem"/>
              <w:numPr>
                <w:ilvl w:val="0"/>
                <w:numId w:val="10"/>
              </w:numPr>
              <w:ind w:left="356" w:hanging="284"/>
              <w:jc w:val="both"/>
              <w:rPr>
                <w:sz w:val="20"/>
                <w:szCs w:val="20"/>
              </w:rPr>
            </w:pPr>
            <w:r w:rsidRPr="00DA7980">
              <w:rPr>
                <w:sz w:val="20"/>
                <w:szCs w:val="20"/>
              </w:rPr>
              <w:t xml:space="preserve">častých revizích programu v důsledku nepřesně nastavené strategie a/nebo působení nepředvídatelných faktorů ovlivňující celkovou socioekonomickou situaci (např. finanční </w:t>
            </w:r>
            <w:r w:rsidR="00F275BC" w:rsidRPr="00DA7980">
              <w:rPr>
                <w:sz w:val="20"/>
                <w:szCs w:val="20"/>
              </w:rPr>
              <w:t xml:space="preserve">a hospodářská </w:t>
            </w:r>
            <w:r w:rsidRPr="00DA7980">
              <w:rPr>
                <w:sz w:val="20"/>
                <w:szCs w:val="20"/>
              </w:rPr>
              <w:t>krize)</w:t>
            </w:r>
            <w:r w:rsidR="00314A07" w:rsidRPr="00DA7980">
              <w:rPr>
                <w:sz w:val="20"/>
                <w:szCs w:val="20"/>
              </w:rPr>
              <w:t>,</w:t>
            </w:r>
          </w:p>
          <w:p w:rsidR="00314A07" w:rsidRPr="00DA7980" w:rsidRDefault="00314A07" w:rsidP="00C6279B">
            <w:pPr>
              <w:pStyle w:val="Odstavecseseznamem"/>
              <w:numPr>
                <w:ilvl w:val="0"/>
                <w:numId w:val="10"/>
              </w:numPr>
              <w:ind w:left="356" w:hanging="284"/>
              <w:jc w:val="both"/>
              <w:rPr>
                <w:sz w:val="20"/>
                <w:szCs w:val="20"/>
              </w:rPr>
            </w:pPr>
            <w:r w:rsidRPr="00DA7980">
              <w:rPr>
                <w:sz w:val="20"/>
                <w:szCs w:val="20"/>
              </w:rPr>
              <w:t>komplikovaném systému zadávání zakázek, což bývá obecně hlavní příčinou vnikajících zpoždění při realizaci podpořených projektů a tím zpoždění při čerpání finančních prostředků,</w:t>
            </w:r>
          </w:p>
          <w:p w:rsidR="009B2086" w:rsidRPr="00DA7980" w:rsidRDefault="00314A07" w:rsidP="009D7676">
            <w:pPr>
              <w:pStyle w:val="Odstavecseseznamem"/>
              <w:numPr>
                <w:ilvl w:val="0"/>
                <w:numId w:val="10"/>
              </w:numPr>
              <w:ind w:left="356" w:hanging="284"/>
              <w:jc w:val="both"/>
              <w:rPr>
                <w:sz w:val="20"/>
                <w:szCs w:val="20"/>
              </w:rPr>
            </w:pPr>
            <w:r w:rsidRPr="00DA7980">
              <w:rPr>
                <w:sz w:val="20"/>
                <w:szCs w:val="20"/>
              </w:rPr>
              <w:t xml:space="preserve">nedostatečné administrativní kapacitě operačního programu a jejím nárazovém </w:t>
            </w:r>
            <w:r w:rsidR="005801E1" w:rsidRPr="00DA7980">
              <w:rPr>
                <w:sz w:val="20"/>
                <w:szCs w:val="20"/>
              </w:rPr>
              <w:t>„</w:t>
            </w:r>
            <w:r w:rsidRPr="00DA7980">
              <w:rPr>
                <w:sz w:val="20"/>
                <w:szCs w:val="20"/>
              </w:rPr>
              <w:t>přetížení</w:t>
            </w:r>
            <w:r w:rsidR="005801E1" w:rsidRPr="00DA7980">
              <w:rPr>
                <w:sz w:val="20"/>
                <w:szCs w:val="20"/>
              </w:rPr>
              <w:t>“</w:t>
            </w:r>
            <w:r w:rsidRPr="00DA7980">
              <w:rPr>
                <w:sz w:val="20"/>
                <w:szCs w:val="20"/>
              </w:rPr>
              <w:t xml:space="preserve"> projevující se průtahy při administraci projektů i žádostí o platbu</w:t>
            </w:r>
            <w:r w:rsidR="00F275BC" w:rsidRPr="00DA7980">
              <w:rPr>
                <w:sz w:val="20"/>
                <w:szCs w:val="20"/>
              </w:rPr>
              <w:t>.</w:t>
            </w:r>
            <w:r w:rsidR="009B2086" w:rsidRPr="00DA7980">
              <w:rPr>
                <w:sz w:val="20"/>
                <w:szCs w:val="20"/>
              </w:rPr>
              <w:t xml:space="preserve"> </w:t>
            </w:r>
          </w:p>
        </w:tc>
      </w:tr>
      <w:tr w:rsidR="0028521C" w:rsidRPr="00DA7980" w:rsidTr="000707AF">
        <w:trPr>
          <w:trHeight w:val="540"/>
        </w:trPr>
        <w:tc>
          <w:tcPr>
            <w:tcW w:w="853" w:type="dxa"/>
            <w:shd w:val="clear" w:color="000000" w:fill="DBEEF3"/>
            <w:hideMark/>
          </w:tcPr>
          <w:p w:rsidR="0028521C" w:rsidRPr="00DA7980" w:rsidRDefault="0028521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03.3</w:t>
            </w:r>
          </w:p>
        </w:tc>
        <w:tc>
          <w:tcPr>
            <w:tcW w:w="2848" w:type="dxa"/>
            <w:shd w:val="clear" w:color="000000" w:fill="DBEEF3"/>
            <w:hideMark/>
          </w:tcPr>
          <w:p w:rsidR="0028521C" w:rsidRPr="00DA7980" w:rsidRDefault="0028521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Jaké mohou být důvody nedostatečného čerpání prostředků v prioritních osách a jak by bylo možné takový tento stav zvrátit?</w:t>
            </w:r>
          </w:p>
        </w:tc>
        <w:tc>
          <w:tcPr>
            <w:tcW w:w="1501" w:type="dxa"/>
            <w:shd w:val="clear" w:color="000000" w:fill="DBEEF3"/>
            <w:vAlign w:val="center"/>
            <w:hideMark/>
          </w:tcPr>
          <w:p w:rsidR="0028521C" w:rsidRPr="00DA7980" w:rsidRDefault="0028521C" w:rsidP="005C0ADF">
            <w:pPr>
              <w:jc w:val="center"/>
              <w:rPr>
                <w:rFonts w:ascii="Times New Roman" w:eastAsia="Times New Roman" w:hAnsi="Times New Roman" w:cs="Times New Roman"/>
                <w:b/>
                <w:bCs/>
                <w:szCs w:val="20"/>
                <w:lang w:eastAsia="cs-CZ"/>
              </w:rPr>
            </w:pPr>
          </w:p>
        </w:tc>
        <w:tc>
          <w:tcPr>
            <w:tcW w:w="4027" w:type="dxa"/>
            <w:shd w:val="clear" w:color="000000" w:fill="DBEEF3"/>
            <w:hideMark/>
          </w:tcPr>
          <w:p w:rsidR="00E03EAC" w:rsidRPr="00DA7980" w:rsidRDefault="00E03EA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Na základě dosavadních zkušeností s implementací fondů EU v ČR, ale i s ohledem na nová pravidla kohezní politiky pro období 2014-2020 je zřejmé, že d</w:t>
            </w:r>
            <w:r w:rsidR="00F64C70" w:rsidRPr="00DA7980">
              <w:rPr>
                <w:rFonts w:ascii="Times New Roman" w:eastAsia="Times New Roman" w:hAnsi="Times New Roman" w:cs="Times New Roman"/>
                <w:szCs w:val="20"/>
                <w:lang w:eastAsia="cs-CZ"/>
              </w:rPr>
              <w:t xml:space="preserve">ůvodem nedostatečného čerpání prostředků v prioritních osách může být </w:t>
            </w:r>
            <w:r w:rsidR="00892D2E" w:rsidRPr="00DA7980">
              <w:rPr>
                <w:rFonts w:ascii="Times New Roman" w:eastAsia="Times New Roman" w:hAnsi="Times New Roman" w:cs="Times New Roman"/>
                <w:szCs w:val="20"/>
                <w:lang w:eastAsia="cs-CZ"/>
              </w:rPr>
              <w:t>například</w:t>
            </w:r>
            <w:r w:rsidRPr="00DA7980">
              <w:rPr>
                <w:rFonts w:ascii="Times New Roman" w:eastAsia="Times New Roman" w:hAnsi="Times New Roman" w:cs="Times New Roman"/>
                <w:szCs w:val="20"/>
                <w:lang w:eastAsia="cs-CZ"/>
              </w:rPr>
              <w:t>:</w:t>
            </w:r>
          </w:p>
          <w:p w:rsidR="00E03EAC" w:rsidRPr="00DA7980" w:rsidRDefault="00F64C70" w:rsidP="00C6279B">
            <w:pPr>
              <w:pStyle w:val="Odstavecseseznamem"/>
              <w:numPr>
                <w:ilvl w:val="0"/>
                <w:numId w:val="10"/>
              </w:numPr>
              <w:ind w:left="356" w:hanging="284"/>
              <w:jc w:val="both"/>
              <w:rPr>
                <w:sz w:val="20"/>
                <w:szCs w:val="20"/>
              </w:rPr>
            </w:pPr>
            <w:r w:rsidRPr="00DA7980">
              <w:rPr>
                <w:sz w:val="20"/>
                <w:szCs w:val="20"/>
              </w:rPr>
              <w:t>působení nepředvídatelných</w:t>
            </w:r>
            <w:r w:rsidR="00EF11F2" w:rsidRPr="00DA7980">
              <w:rPr>
                <w:sz w:val="20"/>
                <w:szCs w:val="20"/>
              </w:rPr>
              <w:t xml:space="preserve"> externích</w:t>
            </w:r>
            <w:r w:rsidRPr="00DA7980">
              <w:rPr>
                <w:sz w:val="20"/>
                <w:szCs w:val="20"/>
              </w:rPr>
              <w:t xml:space="preserve"> faktorů</w:t>
            </w:r>
            <w:r w:rsidR="00EF11F2" w:rsidRPr="00DA7980">
              <w:rPr>
                <w:sz w:val="20"/>
                <w:szCs w:val="20"/>
              </w:rPr>
              <w:t xml:space="preserve"> (např.</w:t>
            </w:r>
            <w:r w:rsidR="00892D2E" w:rsidRPr="00DA7980">
              <w:rPr>
                <w:sz w:val="20"/>
                <w:szCs w:val="20"/>
              </w:rPr>
              <w:t xml:space="preserve"> celosvětová hospodářská krize), </w:t>
            </w:r>
          </w:p>
          <w:p w:rsidR="00E03EAC" w:rsidRPr="00DA7980" w:rsidRDefault="001F7397" w:rsidP="00C6279B">
            <w:pPr>
              <w:pStyle w:val="Odstavecseseznamem"/>
              <w:numPr>
                <w:ilvl w:val="0"/>
                <w:numId w:val="10"/>
              </w:numPr>
              <w:ind w:left="356" w:hanging="284"/>
              <w:jc w:val="both"/>
              <w:rPr>
                <w:sz w:val="20"/>
                <w:szCs w:val="20"/>
              </w:rPr>
            </w:pPr>
            <w:r w:rsidRPr="00DA7980">
              <w:rPr>
                <w:sz w:val="20"/>
                <w:szCs w:val="20"/>
              </w:rPr>
              <w:t>nezájem ze strany potencionálních příjemců</w:t>
            </w:r>
            <w:r w:rsidR="005801E1" w:rsidRPr="00DA7980">
              <w:rPr>
                <w:sz w:val="20"/>
                <w:szCs w:val="20"/>
              </w:rPr>
              <w:t xml:space="preserve">, zejména </w:t>
            </w:r>
            <w:r w:rsidR="00892D2E" w:rsidRPr="00DA7980">
              <w:rPr>
                <w:sz w:val="20"/>
                <w:szCs w:val="20"/>
              </w:rPr>
              <w:t>kvůli</w:t>
            </w:r>
            <w:r w:rsidR="00747B07" w:rsidRPr="00DA7980">
              <w:rPr>
                <w:sz w:val="20"/>
                <w:szCs w:val="20"/>
              </w:rPr>
              <w:t xml:space="preserve"> </w:t>
            </w:r>
            <w:r w:rsidR="00AA7A96" w:rsidRPr="00DA7980">
              <w:rPr>
                <w:sz w:val="20"/>
                <w:szCs w:val="20"/>
              </w:rPr>
              <w:t xml:space="preserve">příliš </w:t>
            </w:r>
            <w:r w:rsidR="00747B07" w:rsidRPr="00DA7980">
              <w:rPr>
                <w:sz w:val="20"/>
                <w:szCs w:val="20"/>
              </w:rPr>
              <w:t>nízké mí</w:t>
            </w:r>
            <w:r w:rsidR="00892D2E" w:rsidRPr="00DA7980">
              <w:rPr>
                <w:sz w:val="20"/>
                <w:szCs w:val="20"/>
              </w:rPr>
              <w:t>ře</w:t>
            </w:r>
            <w:r w:rsidR="00747B07" w:rsidRPr="00DA7980">
              <w:rPr>
                <w:sz w:val="20"/>
                <w:szCs w:val="20"/>
              </w:rPr>
              <w:t xml:space="preserve"> intenzity veřejné podpory</w:t>
            </w:r>
            <w:r w:rsidR="005801E1" w:rsidRPr="00DA7980">
              <w:rPr>
                <w:sz w:val="20"/>
                <w:szCs w:val="20"/>
              </w:rPr>
              <w:t xml:space="preserve"> nebo nevhodně nastaveným podmínkám výzev,</w:t>
            </w:r>
            <w:r w:rsidRPr="00DA7980">
              <w:rPr>
                <w:sz w:val="20"/>
                <w:szCs w:val="20"/>
              </w:rPr>
              <w:t xml:space="preserve"> </w:t>
            </w:r>
          </w:p>
          <w:p w:rsidR="00E03EAC" w:rsidRPr="00DA7980" w:rsidRDefault="00892D2E" w:rsidP="00C6279B">
            <w:pPr>
              <w:pStyle w:val="Odstavecseseznamem"/>
              <w:numPr>
                <w:ilvl w:val="0"/>
                <w:numId w:val="10"/>
              </w:numPr>
              <w:ind w:left="356" w:hanging="284"/>
              <w:jc w:val="both"/>
              <w:rPr>
                <w:sz w:val="20"/>
                <w:szCs w:val="20"/>
              </w:rPr>
            </w:pPr>
            <w:r w:rsidRPr="00DA7980">
              <w:rPr>
                <w:sz w:val="20"/>
                <w:szCs w:val="20"/>
              </w:rPr>
              <w:t>časté změny pravidel programu v průběhu jeho realizace</w:t>
            </w:r>
            <w:r w:rsidR="00227A79" w:rsidRPr="00DA7980">
              <w:rPr>
                <w:sz w:val="20"/>
                <w:szCs w:val="20"/>
              </w:rPr>
              <w:t xml:space="preserve">, </w:t>
            </w:r>
          </w:p>
          <w:p w:rsidR="00E03EAC" w:rsidRPr="00DA7980" w:rsidRDefault="00227A79" w:rsidP="00C6279B">
            <w:pPr>
              <w:pStyle w:val="Odstavecseseznamem"/>
              <w:numPr>
                <w:ilvl w:val="0"/>
                <w:numId w:val="10"/>
              </w:numPr>
              <w:ind w:left="356" w:hanging="284"/>
              <w:jc w:val="both"/>
              <w:rPr>
                <w:sz w:val="20"/>
                <w:szCs w:val="20"/>
              </w:rPr>
            </w:pPr>
            <w:r w:rsidRPr="00DA7980">
              <w:rPr>
                <w:sz w:val="20"/>
                <w:szCs w:val="20"/>
              </w:rPr>
              <w:t>vysoká administrativní náročnost a složité podmínky a pravidla</w:t>
            </w:r>
            <w:r w:rsidR="005801E1" w:rsidRPr="00DA7980">
              <w:rPr>
                <w:sz w:val="20"/>
                <w:szCs w:val="20"/>
              </w:rPr>
              <w:t xml:space="preserve"> pro žadatele/příjemce</w:t>
            </w:r>
            <w:r w:rsidR="00AA7A96" w:rsidRPr="00DA7980">
              <w:rPr>
                <w:sz w:val="20"/>
                <w:szCs w:val="20"/>
              </w:rPr>
              <w:t>,</w:t>
            </w:r>
            <w:r w:rsidR="001F7397" w:rsidRPr="00DA7980">
              <w:rPr>
                <w:sz w:val="20"/>
                <w:szCs w:val="20"/>
              </w:rPr>
              <w:t xml:space="preserve"> </w:t>
            </w:r>
          </w:p>
          <w:p w:rsidR="00AA7A96" w:rsidRPr="00DA7980" w:rsidRDefault="001F7397" w:rsidP="00C6279B">
            <w:pPr>
              <w:pStyle w:val="Odstavecseseznamem"/>
              <w:numPr>
                <w:ilvl w:val="0"/>
                <w:numId w:val="10"/>
              </w:numPr>
              <w:ind w:left="356" w:hanging="284"/>
              <w:jc w:val="both"/>
              <w:rPr>
                <w:sz w:val="20"/>
                <w:szCs w:val="20"/>
              </w:rPr>
            </w:pPr>
            <w:r w:rsidRPr="00DA7980">
              <w:rPr>
                <w:sz w:val="20"/>
                <w:szCs w:val="20"/>
              </w:rPr>
              <w:t>nevhodně nastavené synergie specifických cílů</w:t>
            </w:r>
            <w:r w:rsidR="00AA7A96" w:rsidRPr="00DA7980">
              <w:rPr>
                <w:sz w:val="20"/>
                <w:szCs w:val="20"/>
              </w:rPr>
              <w:t>,</w:t>
            </w:r>
          </w:p>
          <w:p w:rsidR="00AA7A96" w:rsidRPr="00DA7980" w:rsidRDefault="00AA7A96" w:rsidP="00C6279B">
            <w:pPr>
              <w:pStyle w:val="Odstavecseseznamem"/>
              <w:numPr>
                <w:ilvl w:val="0"/>
                <w:numId w:val="10"/>
              </w:numPr>
              <w:ind w:left="356" w:hanging="284"/>
              <w:jc w:val="both"/>
              <w:rPr>
                <w:sz w:val="20"/>
                <w:szCs w:val="20"/>
              </w:rPr>
            </w:pPr>
            <w:r w:rsidRPr="00DA7980">
              <w:rPr>
                <w:sz w:val="20"/>
                <w:szCs w:val="20"/>
              </w:rPr>
              <w:t>nedostatečná informovanost o programu</w:t>
            </w:r>
            <w:r w:rsidR="004E4E23" w:rsidRPr="00DA7980">
              <w:rPr>
                <w:sz w:val="20"/>
                <w:szCs w:val="20"/>
              </w:rPr>
              <w:t>,</w:t>
            </w:r>
          </w:p>
          <w:p w:rsidR="00FA3526" w:rsidRPr="00DA7980" w:rsidRDefault="004E4E23" w:rsidP="00C6279B">
            <w:pPr>
              <w:pStyle w:val="Odstavecseseznamem"/>
              <w:numPr>
                <w:ilvl w:val="0"/>
                <w:numId w:val="10"/>
              </w:numPr>
              <w:ind w:left="356" w:hanging="284"/>
              <w:jc w:val="both"/>
              <w:rPr>
                <w:sz w:val="20"/>
                <w:szCs w:val="20"/>
              </w:rPr>
            </w:pPr>
            <w:r w:rsidRPr="00DA7980">
              <w:rPr>
                <w:sz w:val="20"/>
                <w:szCs w:val="20"/>
              </w:rPr>
              <w:lastRenderedPageBreak/>
              <w:t xml:space="preserve">nevhodně nastavený systém kontrol projektů a </w:t>
            </w:r>
            <w:r w:rsidR="00FA3526" w:rsidRPr="00DA7980">
              <w:rPr>
                <w:sz w:val="20"/>
                <w:szCs w:val="20"/>
              </w:rPr>
              <w:t>sankc</w:t>
            </w:r>
            <w:r w:rsidRPr="00DA7980">
              <w:rPr>
                <w:sz w:val="20"/>
                <w:szCs w:val="20"/>
              </w:rPr>
              <w:t>í za případná porušení povinností příjemce podpory.</w:t>
            </w:r>
          </w:p>
          <w:p w:rsidR="00892D2E" w:rsidRPr="00DA7980" w:rsidRDefault="00892D2E"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Možné nástroje a opatření jsou uvedeny v následujícím komentáři.</w:t>
            </w:r>
          </w:p>
        </w:tc>
      </w:tr>
      <w:tr w:rsidR="0028521C" w:rsidRPr="00DA7980" w:rsidTr="000707AF">
        <w:trPr>
          <w:trHeight w:val="540"/>
        </w:trPr>
        <w:tc>
          <w:tcPr>
            <w:tcW w:w="853" w:type="dxa"/>
            <w:shd w:val="clear" w:color="000000" w:fill="DBEEF3"/>
            <w:hideMark/>
          </w:tcPr>
          <w:p w:rsidR="0028521C" w:rsidRPr="00DA7980" w:rsidRDefault="0028521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lastRenderedPageBreak/>
              <w:t>03.4</w:t>
            </w:r>
          </w:p>
        </w:tc>
        <w:tc>
          <w:tcPr>
            <w:tcW w:w="2848" w:type="dxa"/>
            <w:shd w:val="clear" w:color="000000" w:fill="DBEEF3"/>
            <w:hideMark/>
          </w:tcPr>
          <w:p w:rsidR="0028521C" w:rsidRPr="00DA7980" w:rsidRDefault="0028521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Které nástroje a stimuly mohou být použity pro řešení případné nedostatečné absorpční kapacity?</w:t>
            </w:r>
          </w:p>
        </w:tc>
        <w:tc>
          <w:tcPr>
            <w:tcW w:w="1501" w:type="dxa"/>
            <w:shd w:val="clear" w:color="000000" w:fill="DBEEF3"/>
            <w:vAlign w:val="center"/>
            <w:hideMark/>
          </w:tcPr>
          <w:p w:rsidR="0028521C" w:rsidRPr="00DA7980" w:rsidRDefault="0028521C" w:rsidP="005C0ADF">
            <w:pPr>
              <w:jc w:val="center"/>
              <w:rPr>
                <w:rFonts w:ascii="Times New Roman" w:eastAsia="Times New Roman" w:hAnsi="Times New Roman" w:cs="Times New Roman"/>
                <w:b/>
                <w:bCs/>
                <w:szCs w:val="20"/>
                <w:lang w:eastAsia="cs-CZ"/>
              </w:rPr>
            </w:pPr>
          </w:p>
        </w:tc>
        <w:tc>
          <w:tcPr>
            <w:tcW w:w="4027" w:type="dxa"/>
            <w:shd w:val="clear" w:color="000000" w:fill="DBEEF3"/>
            <w:hideMark/>
          </w:tcPr>
          <w:p w:rsidR="00747B07" w:rsidRPr="00DA7980" w:rsidRDefault="00E03EA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Jak vyplývá z dříve zpracovaných analýz ve vztahu k absorpční kapacitě i z praktických zkušeností s implementací OPPI, p</w:t>
            </w:r>
            <w:r w:rsidR="00747B07" w:rsidRPr="00DA7980">
              <w:rPr>
                <w:rFonts w:ascii="Times New Roman" w:eastAsia="Times New Roman" w:hAnsi="Times New Roman" w:cs="Times New Roman"/>
                <w:szCs w:val="20"/>
                <w:lang w:eastAsia="cs-CZ"/>
              </w:rPr>
              <w:t xml:space="preserve">ro řešení případné nedostatečné absorpční kapacity lze </w:t>
            </w:r>
            <w:r w:rsidR="009242F8" w:rsidRPr="00DA7980">
              <w:rPr>
                <w:rFonts w:ascii="Times New Roman" w:eastAsia="Times New Roman" w:hAnsi="Times New Roman" w:cs="Times New Roman"/>
                <w:szCs w:val="20"/>
                <w:lang w:eastAsia="cs-CZ"/>
              </w:rPr>
              <w:t xml:space="preserve">obecně </w:t>
            </w:r>
            <w:r w:rsidR="00747B07" w:rsidRPr="00DA7980">
              <w:rPr>
                <w:rFonts w:ascii="Times New Roman" w:eastAsia="Times New Roman" w:hAnsi="Times New Roman" w:cs="Times New Roman"/>
                <w:szCs w:val="20"/>
                <w:lang w:eastAsia="cs-CZ"/>
              </w:rPr>
              <w:t>použít zejména následující nástroje a stimuly:</w:t>
            </w:r>
          </w:p>
          <w:p w:rsidR="00747B07" w:rsidRPr="00DA7980" w:rsidRDefault="009242F8" w:rsidP="00C6279B">
            <w:pPr>
              <w:pStyle w:val="Odstavecseseznamem"/>
              <w:numPr>
                <w:ilvl w:val="0"/>
                <w:numId w:val="10"/>
              </w:numPr>
              <w:ind w:left="356" w:hanging="284"/>
              <w:jc w:val="both"/>
              <w:rPr>
                <w:sz w:val="20"/>
                <w:szCs w:val="20"/>
              </w:rPr>
            </w:pPr>
            <w:r w:rsidRPr="00DA7980">
              <w:rPr>
                <w:sz w:val="20"/>
                <w:szCs w:val="20"/>
              </w:rPr>
              <w:t xml:space="preserve">pravidelně </w:t>
            </w:r>
            <w:r w:rsidR="00747B07" w:rsidRPr="00DA7980">
              <w:rPr>
                <w:sz w:val="20"/>
                <w:szCs w:val="20"/>
              </w:rPr>
              <w:t>průběžn</w:t>
            </w:r>
            <w:r w:rsidRPr="00DA7980">
              <w:rPr>
                <w:sz w:val="20"/>
                <w:szCs w:val="20"/>
              </w:rPr>
              <w:t>ě</w:t>
            </w:r>
            <w:r w:rsidR="00747B07" w:rsidRPr="00DA7980">
              <w:rPr>
                <w:sz w:val="20"/>
                <w:szCs w:val="20"/>
              </w:rPr>
              <w:t xml:space="preserve"> sledov</w:t>
            </w:r>
            <w:r w:rsidRPr="00DA7980">
              <w:rPr>
                <w:sz w:val="20"/>
                <w:szCs w:val="20"/>
              </w:rPr>
              <w:t>at</w:t>
            </w:r>
            <w:r w:rsidR="00747B07" w:rsidRPr="00DA7980">
              <w:rPr>
                <w:sz w:val="20"/>
                <w:szCs w:val="20"/>
              </w:rPr>
              <w:t xml:space="preserve"> a vyhodnocov</w:t>
            </w:r>
            <w:r w:rsidRPr="00DA7980">
              <w:rPr>
                <w:sz w:val="20"/>
                <w:szCs w:val="20"/>
              </w:rPr>
              <w:t>at</w:t>
            </w:r>
            <w:r w:rsidR="00747B07" w:rsidRPr="00DA7980">
              <w:rPr>
                <w:sz w:val="20"/>
                <w:szCs w:val="20"/>
              </w:rPr>
              <w:t xml:space="preserve"> absorpční kapacit</w:t>
            </w:r>
            <w:r w:rsidRPr="00DA7980">
              <w:rPr>
                <w:sz w:val="20"/>
                <w:szCs w:val="20"/>
              </w:rPr>
              <w:t>u</w:t>
            </w:r>
            <w:r w:rsidR="00747B07" w:rsidRPr="00DA7980">
              <w:rPr>
                <w:sz w:val="20"/>
                <w:szCs w:val="20"/>
              </w:rPr>
              <w:t xml:space="preserve"> programu</w:t>
            </w:r>
            <w:r w:rsidRPr="00DA7980">
              <w:rPr>
                <w:sz w:val="20"/>
                <w:szCs w:val="20"/>
              </w:rPr>
              <w:t>, přičemž je zapotřebí sledovat nejen výši, ale i kvalitativní strukturu poptávky;</w:t>
            </w:r>
          </w:p>
          <w:p w:rsidR="00892D2E" w:rsidRPr="00DA7980" w:rsidRDefault="00E03EAC" w:rsidP="00C6279B">
            <w:pPr>
              <w:pStyle w:val="Odstavecseseznamem"/>
              <w:numPr>
                <w:ilvl w:val="0"/>
                <w:numId w:val="10"/>
              </w:numPr>
              <w:ind w:left="356" w:hanging="284"/>
              <w:jc w:val="both"/>
              <w:rPr>
                <w:sz w:val="20"/>
                <w:szCs w:val="20"/>
              </w:rPr>
            </w:pPr>
            <w:r w:rsidRPr="00DA7980">
              <w:rPr>
                <w:sz w:val="20"/>
                <w:szCs w:val="20"/>
              </w:rPr>
              <w:t xml:space="preserve">zajistit optimální synergické vazby mezi specifickými cíli programu i mezi OP PIK a ostatními </w:t>
            </w:r>
            <w:r w:rsidR="008A65B9">
              <w:rPr>
                <w:sz w:val="20"/>
                <w:szCs w:val="20"/>
              </w:rPr>
              <w:t xml:space="preserve">programy </w:t>
            </w:r>
            <w:r w:rsidRPr="00DA7980">
              <w:rPr>
                <w:sz w:val="20"/>
                <w:szCs w:val="20"/>
              </w:rPr>
              <w:t>ESIF a dalšími nástroji</w:t>
            </w:r>
            <w:r w:rsidR="0057179B" w:rsidRPr="00DA7980">
              <w:rPr>
                <w:sz w:val="20"/>
                <w:szCs w:val="20"/>
              </w:rPr>
              <w:t>;</w:t>
            </w:r>
            <w:r w:rsidRPr="00DA7980">
              <w:rPr>
                <w:sz w:val="20"/>
                <w:szCs w:val="20"/>
              </w:rPr>
              <w:t xml:space="preserve"> </w:t>
            </w:r>
            <w:r w:rsidR="0057179B" w:rsidRPr="00DA7980">
              <w:rPr>
                <w:sz w:val="20"/>
                <w:szCs w:val="20"/>
              </w:rPr>
              <w:t xml:space="preserve">zejména se to týká </w:t>
            </w:r>
            <w:r w:rsidR="00892D2E" w:rsidRPr="00DA7980">
              <w:rPr>
                <w:sz w:val="20"/>
                <w:szCs w:val="20"/>
              </w:rPr>
              <w:t>plánov</w:t>
            </w:r>
            <w:r w:rsidRPr="00DA7980">
              <w:rPr>
                <w:sz w:val="20"/>
                <w:szCs w:val="20"/>
              </w:rPr>
              <w:t xml:space="preserve">ání výzev, </w:t>
            </w:r>
            <w:r w:rsidR="0057179B" w:rsidRPr="00DA7980">
              <w:rPr>
                <w:sz w:val="20"/>
                <w:szCs w:val="20"/>
              </w:rPr>
              <w:t>kdy by měly být s dostatečným předstihem a pokud možno na jednom centrálním informačním místě</w:t>
            </w:r>
            <w:r w:rsidRPr="00DA7980">
              <w:rPr>
                <w:sz w:val="20"/>
                <w:szCs w:val="20"/>
              </w:rPr>
              <w:t xml:space="preserve"> </w:t>
            </w:r>
            <w:r w:rsidR="0057179B" w:rsidRPr="00DA7980">
              <w:rPr>
                <w:sz w:val="20"/>
                <w:szCs w:val="20"/>
              </w:rPr>
              <w:t xml:space="preserve">zveřejňovány informace o </w:t>
            </w:r>
            <w:r w:rsidR="00892D2E" w:rsidRPr="00DA7980">
              <w:rPr>
                <w:sz w:val="20"/>
                <w:szCs w:val="20"/>
              </w:rPr>
              <w:t>harmonogram</w:t>
            </w:r>
            <w:r w:rsidR="0057179B" w:rsidRPr="00DA7980">
              <w:rPr>
                <w:sz w:val="20"/>
                <w:szCs w:val="20"/>
              </w:rPr>
              <w:t>ech</w:t>
            </w:r>
            <w:r w:rsidR="00892D2E" w:rsidRPr="00DA7980">
              <w:rPr>
                <w:sz w:val="20"/>
                <w:szCs w:val="20"/>
              </w:rPr>
              <w:t xml:space="preserve"> výzev </w:t>
            </w:r>
            <w:r w:rsidR="0057179B" w:rsidRPr="00DA7980">
              <w:rPr>
                <w:sz w:val="20"/>
                <w:szCs w:val="20"/>
              </w:rPr>
              <w:t>i o jejich synergických vazbách</w:t>
            </w:r>
            <w:r w:rsidR="00892D2E" w:rsidRPr="00DA7980">
              <w:rPr>
                <w:sz w:val="20"/>
                <w:szCs w:val="20"/>
              </w:rPr>
              <w:t>;</w:t>
            </w:r>
          </w:p>
          <w:p w:rsidR="009242F8" w:rsidRPr="00DA7980" w:rsidRDefault="009242F8" w:rsidP="00C6279B">
            <w:pPr>
              <w:pStyle w:val="Odstavecseseznamem"/>
              <w:numPr>
                <w:ilvl w:val="0"/>
                <w:numId w:val="10"/>
              </w:numPr>
              <w:ind w:left="356" w:hanging="284"/>
              <w:jc w:val="both"/>
              <w:rPr>
                <w:sz w:val="20"/>
                <w:szCs w:val="20"/>
              </w:rPr>
            </w:pPr>
            <w:r w:rsidRPr="00DA7980">
              <w:rPr>
                <w:sz w:val="20"/>
                <w:szCs w:val="20"/>
              </w:rPr>
              <w:t xml:space="preserve">vhodným způsobem nastavovat podmínky </w:t>
            </w:r>
            <w:r w:rsidR="00227A79" w:rsidRPr="00DA7980">
              <w:rPr>
                <w:sz w:val="20"/>
                <w:szCs w:val="20"/>
              </w:rPr>
              <w:t xml:space="preserve">výzev </w:t>
            </w:r>
            <w:r w:rsidR="00892D2E" w:rsidRPr="00DA7980">
              <w:rPr>
                <w:sz w:val="20"/>
                <w:szCs w:val="20"/>
              </w:rPr>
              <w:t xml:space="preserve">a </w:t>
            </w:r>
            <w:r w:rsidRPr="00DA7980">
              <w:rPr>
                <w:sz w:val="20"/>
                <w:szCs w:val="20"/>
              </w:rPr>
              <w:t>zároveň jejich systém co nejvíce stabilizovat;</w:t>
            </w:r>
          </w:p>
          <w:p w:rsidR="009242F8" w:rsidRPr="00DA7980" w:rsidRDefault="009242F8" w:rsidP="00C6279B">
            <w:pPr>
              <w:pStyle w:val="Odstavecseseznamem"/>
              <w:numPr>
                <w:ilvl w:val="0"/>
                <w:numId w:val="10"/>
              </w:numPr>
              <w:ind w:left="356" w:hanging="284"/>
              <w:jc w:val="both"/>
              <w:rPr>
                <w:sz w:val="20"/>
                <w:szCs w:val="20"/>
              </w:rPr>
            </w:pPr>
            <w:r w:rsidRPr="00DA7980">
              <w:rPr>
                <w:sz w:val="20"/>
                <w:szCs w:val="20"/>
              </w:rPr>
              <w:t>zajišťovat průběžně dostatečnou publicitu programu a efektivním způsobem poskytovat informace;</w:t>
            </w:r>
          </w:p>
          <w:p w:rsidR="0028521C" w:rsidRPr="00DA7980" w:rsidRDefault="009242F8" w:rsidP="00C6279B">
            <w:pPr>
              <w:pStyle w:val="Odstavecseseznamem"/>
              <w:numPr>
                <w:ilvl w:val="0"/>
                <w:numId w:val="10"/>
              </w:numPr>
              <w:ind w:left="356" w:hanging="284"/>
              <w:jc w:val="both"/>
              <w:rPr>
                <w:sz w:val="20"/>
                <w:szCs w:val="20"/>
              </w:rPr>
            </w:pPr>
            <w:r w:rsidRPr="00DA7980">
              <w:rPr>
                <w:sz w:val="20"/>
                <w:szCs w:val="20"/>
              </w:rPr>
              <w:t>zjednodušovat administrativní náročnost jak přípravy, tak i samotné realizace projektů,</w:t>
            </w:r>
            <w:r w:rsidR="005801E1" w:rsidRPr="00DA7980">
              <w:rPr>
                <w:sz w:val="20"/>
                <w:szCs w:val="20"/>
              </w:rPr>
              <w:t xml:space="preserve"> zejména pak systé</w:t>
            </w:r>
            <w:r w:rsidR="008A65B9">
              <w:rPr>
                <w:sz w:val="20"/>
                <w:szCs w:val="20"/>
              </w:rPr>
              <w:t>m zadávání zakázek v projektech;</w:t>
            </w:r>
          </w:p>
          <w:p w:rsidR="00227A79" w:rsidRPr="00DA7980" w:rsidRDefault="008A65B9" w:rsidP="00C6279B">
            <w:pPr>
              <w:pStyle w:val="Odstavecseseznamem"/>
              <w:numPr>
                <w:ilvl w:val="0"/>
                <w:numId w:val="10"/>
              </w:numPr>
              <w:ind w:left="356" w:hanging="284"/>
              <w:jc w:val="both"/>
              <w:rPr>
                <w:sz w:val="20"/>
                <w:szCs w:val="20"/>
              </w:rPr>
            </w:pPr>
            <w:r>
              <w:rPr>
                <w:sz w:val="20"/>
                <w:szCs w:val="20"/>
              </w:rPr>
              <w:t>zjednodušovat proces hodnocení;</w:t>
            </w:r>
          </w:p>
          <w:p w:rsidR="00227A79" w:rsidRPr="00DA7980" w:rsidRDefault="0057179B" w:rsidP="00C6279B">
            <w:pPr>
              <w:pStyle w:val="Odstavecseseznamem"/>
              <w:numPr>
                <w:ilvl w:val="0"/>
                <w:numId w:val="10"/>
              </w:numPr>
              <w:ind w:left="356" w:hanging="284"/>
              <w:jc w:val="both"/>
              <w:rPr>
                <w:sz w:val="20"/>
                <w:szCs w:val="20"/>
              </w:rPr>
            </w:pPr>
            <w:r w:rsidRPr="00DA7980">
              <w:rPr>
                <w:sz w:val="20"/>
                <w:szCs w:val="20"/>
              </w:rPr>
              <w:t xml:space="preserve">v nezbytném případě provést </w:t>
            </w:r>
            <w:r w:rsidR="00227A79" w:rsidRPr="00DA7980">
              <w:rPr>
                <w:sz w:val="20"/>
                <w:szCs w:val="20"/>
              </w:rPr>
              <w:t>realok</w:t>
            </w:r>
            <w:r w:rsidRPr="00DA7980">
              <w:rPr>
                <w:sz w:val="20"/>
                <w:szCs w:val="20"/>
              </w:rPr>
              <w:t>ace</w:t>
            </w:r>
            <w:r w:rsidR="00227A79" w:rsidRPr="00DA7980">
              <w:rPr>
                <w:sz w:val="20"/>
                <w:szCs w:val="20"/>
              </w:rPr>
              <w:t xml:space="preserve"> finanční</w:t>
            </w:r>
            <w:r w:rsidRPr="00DA7980">
              <w:rPr>
                <w:sz w:val="20"/>
                <w:szCs w:val="20"/>
              </w:rPr>
              <w:t>ch</w:t>
            </w:r>
            <w:r w:rsidR="00227A79" w:rsidRPr="00DA7980">
              <w:rPr>
                <w:sz w:val="20"/>
                <w:szCs w:val="20"/>
              </w:rPr>
              <w:t xml:space="preserve"> prostředk</w:t>
            </w:r>
            <w:r w:rsidRPr="00DA7980">
              <w:rPr>
                <w:sz w:val="20"/>
                <w:szCs w:val="20"/>
              </w:rPr>
              <w:t>ů mezi prioritními osami</w:t>
            </w:r>
            <w:r w:rsidR="00227A79" w:rsidRPr="00DA7980">
              <w:rPr>
                <w:sz w:val="20"/>
                <w:szCs w:val="20"/>
              </w:rPr>
              <w:t>.</w:t>
            </w:r>
          </w:p>
        </w:tc>
      </w:tr>
      <w:tr w:rsidR="0028521C" w:rsidRPr="00DA7980" w:rsidTr="000707AF">
        <w:trPr>
          <w:trHeight w:val="540"/>
        </w:trPr>
        <w:tc>
          <w:tcPr>
            <w:tcW w:w="853" w:type="dxa"/>
            <w:shd w:val="clear" w:color="000000" w:fill="DBEEF3"/>
            <w:hideMark/>
          </w:tcPr>
          <w:p w:rsidR="0028521C" w:rsidRPr="00DA7980" w:rsidRDefault="0028521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03.5</w:t>
            </w:r>
          </w:p>
        </w:tc>
        <w:tc>
          <w:tcPr>
            <w:tcW w:w="2848" w:type="dxa"/>
            <w:shd w:val="clear" w:color="000000" w:fill="DBEEF3"/>
            <w:hideMark/>
          </w:tcPr>
          <w:p w:rsidR="0028521C" w:rsidRPr="00DA7980" w:rsidRDefault="0028521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Odpovídá systém finančního řízení, resp. financování projektů potřebám potencionálních příjemců?</w:t>
            </w:r>
          </w:p>
        </w:tc>
        <w:tc>
          <w:tcPr>
            <w:tcW w:w="1501" w:type="dxa"/>
            <w:shd w:val="clear" w:color="000000" w:fill="DBEEF3"/>
            <w:vAlign w:val="center"/>
            <w:hideMark/>
          </w:tcPr>
          <w:p w:rsidR="0028521C" w:rsidRPr="00DA7980" w:rsidRDefault="0028521C" w:rsidP="005C0ADF">
            <w:pPr>
              <w:jc w:val="center"/>
              <w:rPr>
                <w:rFonts w:ascii="Times New Roman" w:eastAsia="Times New Roman" w:hAnsi="Times New Roman" w:cs="Times New Roman"/>
                <w:bCs/>
                <w:szCs w:val="20"/>
                <w:lang w:eastAsia="cs-CZ"/>
              </w:rPr>
            </w:pPr>
          </w:p>
        </w:tc>
        <w:tc>
          <w:tcPr>
            <w:tcW w:w="4027" w:type="dxa"/>
            <w:shd w:val="clear" w:color="000000" w:fill="DBEEF3"/>
            <w:hideMark/>
          </w:tcPr>
          <w:p w:rsidR="00831804" w:rsidRPr="00DA7980" w:rsidRDefault="00831804"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 xml:space="preserve">Z dosavadních analýz a evaluací </w:t>
            </w:r>
            <w:r w:rsidR="003E7A55" w:rsidRPr="00DA7980">
              <w:rPr>
                <w:rFonts w:ascii="Times New Roman" w:eastAsia="Times New Roman" w:hAnsi="Times New Roman" w:cs="Times New Roman"/>
                <w:szCs w:val="20"/>
                <w:lang w:eastAsia="cs-CZ"/>
              </w:rPr>
              <w:t>ve vztahu k</w:t>
            </w:r>
            <w:r w:rsidR="00294380" w:rsidRPr="00DA7980">
              <w:rPr>
                <w:rFonts w:ascii="Times New Roman" w:eastAsia="Times New Roman" w:hAnsi="Times New Roman" w:cs="Times New Roman"/>
                <w:szCs w:val="20"/>
                <w:lang w:eastAsia="cs-CZ"/>
              </w:rPr>
              <w:t> </w:t>
            </w:r>
            <w:r w:rsidR="003E7A55" w:rsidRPr="00DA7980">
              <w:rPr>
                <w:rFonts w:ascii="Times New Roman" w:eastAsia="Times New Roman" w:hAnsi="Times New Roman" w:cs="Times New Roman"/>
                <w:szCs w:val="20"/>
                <w:lang w:eastAsia="cs-CZ"/>
              </w:rPr>
              <w:t>OPPI</w:t>
            </w:r>
            <w:r w:rsidR="00294380" w:rsidRPr="00DA7980">
              <w:rPr>
                <w:rFonts w:ascii="Times New Roman" w:eastAsia="Times New Roman" w:hAnsi="Times New Roman" w:cs="Times New Roman"/>
                <w:szCs w:val="20"/>
                <w:lang w:eastAsia="cs-CZ"/>
              </w:rPr>
              <w:t xml:space="preserve"> 2007-2013</w:t>
            </w:r>
            <w:r w:rsidR="003E7A55" w:rsidRPr="00DA7980">
              <w:rPr>
                <w:rFonts w:ascii="Times New Roman" w:eastAsia="Times New Roman" w:hAnsi="Times New Roman" w:cs="Times New Roman"/>
                <w:szCs w:val="20"/>
                <w:lang w:eastAsia="cs-CZ"/>
              </w:rPr>
              <w:t xml:space="preserve"> </w:t>
            </w:r>
            <w:r w:rsidRPr="00DA7980">
              <w:rPr>
                <w:rFonts w:ascii="Times New Roman" w:eastAsia="Times New Roman" w:hAnsi="Times New Roman" w:cs="Times New Roman"/>
                <w:szCs w:val="20"/>
                <w:lang w:eastAsia="cs-CZ"/>
              </w:rPr>
              <w:t xml:space="preserve">vyplývají připomínky ze strany příjemců zejména ke </w:t>
            </w:r>
            <w:r w:rsidR="00C73B16" w:rsidRPr="00DA7980">
              <w:rPr>
                <w:rFonts w:ascii="Times New Roman" w:eastAsia="Times New Roman" w:hAnsi="Times New Roman" w:cs="Times New Roman"/>
                <w:szCs w:val="20"/>
                <w:lang w:eastAsia="cs-CZ"/>
              </w:rPr>
              <w:t>zdlouhavosti procesů</w:t>
            </w:r>
            <w:r w:rsidRPr="00DA7980">
              <w:rPr>
                <w:rFonts w:ascii="Times New Roman" w:eastAsia="Times New Roman" w:hAnsi="Times New Roman" w:cs="Times New Roman"/>
                <w:szCs w:val="20"/>
                <w:lang w:eastAsia="cs-CZ"/>
              </w:rPr>
              <w:t xml:space="preserve">, a to jak celkové administrace projektů, tak </w:t>
            </w:r>
            <w:r w:rsidR="00C73B16" w:rsidRPr="00DA7980">
              <w:rPr>
                <w:rFonts w:ascii="Times New Roman" w:eastAsia="Times New Roman" w:hAnsi="Times New Roman" w:cs="Times New Roman"/>
                <w:szCs w:val="20"/>
                <w:lang w:eastAsia="cs-CZ"/>
              </w:rPr>
              <w:t>p</w:t>
            </w:r>
            <w:r w:rsidRPr="00DA7980">
              <w:rPr>
                <w:rFonts w:ascii="Times New Roman" w:eastAsia="Times New Roman" w:hAnsi="Times New Roman" w:cs="Times New Roman"/>
                <w:szCs w:val="20"/>
                <w:lang w:eastAsia="cs-CZ"/>
              </w:rPr>
              <w:t>roplácení způsobilých výdajů.</w:t>
            </w:r>
          </w:p>
          <w:p w:rsidR="00E03EAC" w:rsidRPr="00DA7980" w:rsidRDefault="00E03EAC" w:rsidP="005C0ADF">
            <w:pPr>
              <w:rPr>
                <w:rFonts w:ascii="Times New Roman" w:eastAsia="Times New Roman" w:hAnsi="Times New Roman" w:cs="Times New Roman"/>
                <w:szCs w:val="20"/>
                <w:lang w:eastAsia="cs-CZ"/>
              </w:rPr>
            </w:pPr>
          </w:p>
          <w:p w:rsidR="0028521C" w:rsidRPr="00DA7980" w:rsidRDefault="00831804"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 xml:space="preserve">Systém finančního řízení je proto potřeba co nejvíce zjednodušit a zrychlit, ovšem při </w:t>
            </w:r>
            <w:r w:rsidR="007D4922" w:rsidRPr="00DA7980">
              <w:rPr>
                <w:rFonts w:ascii="Times New Roman" w:eastAsia="Times New Roman" w:hAnsi="Times New Roman" w:cs="Times New Roman"/>
                <w:szCs w:val="20"/>
                <w:lang w:eastAsia="cs-CZ"/>
              </w:rPr>
              <w:t>respektování veškerých prvků kontroly tak, aby podpora z veřejných zdrojů byla dostatečně transparentní.</w:t>
            </w:r>
          </w:p>
          <w:p w:rsidR="00E03EAC" w:rsidRPr="00DA7980" w:rsidRDefault="00E03EAC" w:rsidP="005C0ADF">
            <w:pPr>
              <w:rPr>
                <w:rFonts w:ascii="Times New Roman" w:eastAsia="Times New Roman" w:hAnsi="Times New Roman" w:cs="Times New Roman"/>
                <w:szCs w:val="20"/>
                <w:lang w:eastAsia="cs-CZ"/>
              </w:rPr>
            </w:pPr>
          </w:p>
          <w:p w:rsidR="007D4922" w:rsidRPr="00DA7980" w:rsidRDefault="007D4922"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 xml:space="preserve">V oblasti zefektivňování finančního řízení ve stávajícím OPPI realizoval řídící orgán již celou řadu opatření; další plánovaná jsou nastíněna </w:t>
            </w:r>
            <w:r w:rsidRPr="00DA7980">
              <w:rPr>
                <w:rFonts w:ascii="Times New Roman" w:eastAsia="Times New Roman" w:hAnsi="Times New Roman" w:cs="Times New Roman"/>
                <w:szCs w:val="20"/>
                <w:lang w:eastAsia="cs-CZ"/>
              </w:rPr>
              <w:lastRenderedPageBreak/>
              <w:t xml:space="preserve">v textu OP PIK. </w:t>
            </w:r>
            <w:r w:rsidR="00C73B16" w:rsidRPr="00DA7980">
              <w:rPr>
                <w:rFonts w:ascii="Times New Roman" w:eastAsia="Times New Roman" w:hAnsi="Times New Roman" w:cs="Times New Roman"/>
                <w:szCs w:val="20"/>
                <w:lang w:eastAsia="cs-CZ"/>
              </w:rPr>
              <w:t>Tím</w:t>
            </w:r>
            <w:r w:rsidRPr="00DA7980">
              <w:rPr>
                <w:rFonts w:ascii="Times New Roman" w:eastAsia="Times New Roman" w:hAnsi="Times New Roman" w:cs="Times New Roman"/>
                <w:szCs w:val="20"/>
                <w:lang w:eastAsia="cs-CZ"/>
              </w:rPr>
              <w:t xml:space="preserve"> by mělo být dosaženo vyváženého systému finančního řízení OP PIK. </w:t>
            </w:r>
          </w:p>
        </w:tc>
      </w:tr>
    </w:tbl>
    <w:p w:rsidR="00325049" w:rsidRDefault="00325049" w:rsidP="00325049">
      <w:pPr>
        <w:spacing w:after="120"/>
        <w:rPr>
          <w:rFonts w:cs="Tahoma"/>
          <w:szCs w:val="20"/>
        </w:rPr>
      </w:pPr>
    </w:p>
    <w:p w:rsidR="008459AE" w:rsidRPr="008459AE" w:rsidRDefault="008459AE" w:rsidP="006A5D58">
      <w:pPr>
        <w:spacing w:after="120"/>
        <w:rPr>
          <w:rFonts w:cs="Tahoma"/>
          <w:szCs w:val="20"/>
          <w:highlight w:val="yellow"/>
        </w:rPr>
      </w:pPr>
    </w:p>
    <w:p w:rsidR="008459AE" w:rsidRDefault="008459AE" w:rsidP="008459AE">
      <w:pPr>
        <w:spacing w:after="120"/>
        <w:rPr>
          <w:rFonts w:cs="Tahoma"/>
          <w:szCs w:val="20"/>
        </w:rPr>
      </w:pPr>
    </w:p>
    <w:p w:rsidR="006A5D58" w:rsidRPr="006A5D58" w:rsidRDefault="006A5D58" w:rsidP="006A5D58">
      <w:pPr>
        <w:spacing w:after="120"/>
      </w:pPr>
    </w:p>
    <w:p w:rsidR="00AD13CF" w:rsidRPr="00606823" w:rsidRDefault="001E7FBB" w:rsidP="009C5AC9">
      <w:pPr>
        <w:pStyle w:val="Nadpis1"/>
      </w:pPr>
      <w:bookmarkStart w:id="33" w:name="_Toc392583678"/>
      <w:r w:rsidRPr="00606823">
        <w:lastRenderedPageBreak/>
        <w:t xml:space="preserve">Příspěvek k naplňování cílů Strategie Evropa </w:t>
      </w:r>
      <w:smartTag w:uri="urn:schemas-microsoft-com:office:smarttags" w:element="metricconverter">
        <w:smartTagPr>
          <w:attr w:name="ProductID" w:val="2020 a"/>
        </w:smartTagPr>
        <w:r w:rsidRPr="00606823">
          <w:t>2020 a</w:t>
        </w:r>
      </w:smartTag>
      <w:r w:rsidRPr="00606823">
        <w:t xml:space="preserve"> Dohody o partnerství a soulad operačního programu s dalšími strategiemi ČR</w:t>
      </w:r>
      <w:bookmarkEnd w:id="33"/>
    </w:p>
    <w:p w:rsidR="008459AE" w:rsidRPr="008459AE" w:rsidRDefault="008459AE" w:rsidP="00606823">
      <w:pPr>
        <w:spacing w:after="120"/>
        <w:rPr>
          <w:u w:val="single"/>
        </w:rPr>
      </w:pPr>
      <w:r w:rsidRPr="008459AE">
        <w:rPr>
          <w:u w:val="single"/>
        </w:rPr>
        <w:t>Úkol:</w:t>
      </w:r>
    </w:p>
    <w:p w:rsidR="00606823" w:rsidRPr="00606823" w:rsidRDefault="008459AE" w:rsidP="00606823">
      <w:pPr>
        <w:spacing w:after="120"/>
      </w:pPr>
      <w:r>
        <w:t>Zhodnotit</w:t>
      </w:r>
      <w:r w:rsidR="00606823" w:rsidRPr="00606823">
        <w:t xml:space="preserve">, jak a do jaké míry přispívá program k naplňování strategie Evropa 2020, s ohledem na vybrané tematické cíle a priority a při zohlednění národních a regionálních potřeb, jak a do jaké míry přispívá program k naplňování cílů stanovených v Dohodě o partnerství a posouzení a zhodnocení </w:t>
      </w:r>
      <w:r>
        <w:t xml:space="preserve">souladu </w:t>
      </w:r>
      <w:r w:rsidR="00606823" w:rsidRPr="00606823">
        <w:t>operačního programu s relevantními strategiemi ČR</w:t>
      </w:r>
      <w:r w:rsidR="00606823">
        <w:t>.</w:t>
      </w:r>
    </w:p>
    <w:p w:rsidR="00FE3F36" w:rsidRPr="00022E68" w:rsidRDefault="00FE3F36" w:rsidP="00FE3F36">
      <w:pPr>
        <w:tabs>
          <w:tab w:val="num" w:pos="720"/>
        </w:tabs>
        <w:spacing w:after="120"/>
        <w:rPr>
          <w:u w:val="single"/>
        </w:rPr>
      </w:pPr>
      <w:r w:rsidRPr="00022E68">
        <w:rPr>
          <w:u w:val="single"/>
        </w:rPr>
        <w:t>Východiska:</w:t>
      </w:r>
    </w:p>
    <w:p w:rsidR="00FE3F36" w:rsidRPr="001466C1" w:rsidRDefault="00FE3F36" w:rsidP="00FE3F36">
      <w:pPr>
        <w:tabs>
          <w:tab w:val="num" w:pos="720"/>
        </w:tabs>
        <w:spacing w:after="120"/>
      </w:pPr>
      <w:r w:rsidRPr="001466C1">
        <w:t xml:space="preserve">Východiskem pro hodnocení je především </w:t>
      </w:r>
      <w:r w:rsidR="00A2310F">
        <w:t>oddíl</w:t>
      </w:r>
      <w:r w:rsidRPr="001466C1">
        <w:t xml:space="preserve"> 1</w:t>
      </w:r>
      <w:r w:rsidR="001466C1" w:rsidRPr="001466C1">
        <w:t xml:space="preserve"> </w:t>
      </w:r>
      <w:r w:rsidRPr="001466C1">
        <w:t xml:space="preserve">a průřezově také ostatní </w:t>
      </w:r>
      <w:r w:rsidR="00A2310F">
        <w:t>oddíly</w:t>
      </w:r>
      <w:r w:rsidRPr="001466C1">
        <w:t xml:space="preserve"> textu programu.</w:t>
      </w:r>
    </w:p>
    <w:p w:rsidR="00FE3F36" w:rsidRDefault="00FE3F36" w:rsidP="00FE3F36">
      <w:pPr>
        <w:tabs>
          <w:tab w:val="num" w:pos="720"/>
        </w:tabs>
        <w:spacing w:after="120"/>
        <w:rPr>
          <w:u w:val="single"/>
        </w:rPr>
      </w:pPr>
      <w:r w:rsidRPr="00022E68">
        <w:rPr>
          <w:u w:val="single"/>
        </w:rPr>
        <w:t>Zjištění v návaznosti na evaluační otázky a úkoly:</w:t>
      </w:r>
    </w:p>
    <w:tbl>
      <w:tblPr>
        <w:tblW w:w="922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06"/>
        <w:gridCol w:w="2653"/>
        <w:gridCol w:w="1698"/>
        <w:gridCol w:w="3972"/>
      </w:tblGrid>
      <w:tr w:rsidR="005239CC" w:rsidRPr="00DA7980" w:rsidTr="005C0ADF">
        <w:trPr>
          <w:trHeight w:val="1350"/>
          <w:tblHeader/>
        </w:trPr>
        <w:tc>
          <w:tcPr>
            <w:tcW w:w="906" w:type="dxa"/>
            <w:shd w:val="clear" w:color="000000" w:fill="BFBFBF"/>
            <w:vAlign w:val="center"/>
            <w:hideMark/>
          </w:tcPr>
          <w:p w:rsidR="005239CC" w:rsidRPr="00DA7980" w:rsidRDefault="005239CC" w:rsidP="005239CC">
            <w:pPr>
              <w:jc w:val="center"/>
              <w:rPr>
                <w:rFonts w:ascii="Times New Roman" w:eastAsia="Times New Roman" w:hAnsi="Times New Roman" w:cs="Times New Roman"/>
                <w:b/>
                <w:bCs/>
                <w:szCs w:val="20"/>
                <w:lang w:eastAsia="cs-CZ"/>
              </w:rPr>
            </w:pPr>
            <w:proofErr w:type="spellStart"/>
            <w:r w:rsidRPr="00DA7980">
              <w:rPr>
                <w:rFonts w:ascii="Times New Roman" w:eastAsia="Times New Roman" w:hAnsi="Times New Roman" w:cs="Times New Roman"/>
                <w:b/>
                <w:bCs/>
                <w:szCs w:val="20"/>
                <w:lang w:eastAsia="cs-CZ"/>
              </w:rPr>
              <w:t>Poř</w:t>
            </w:r>
            <w:proofErr w:type="spellEnd"/>
            <w:r w:rsidRPr="00DA7980">
              <w:rPr>
                <w:rFonts w:ascii="Times New Roman" w:eastAsia="Times New Roman" w:hAnsi="Times New Roman" w:cs="Times New Roman"/>
                <w:b/>
                <w:bCs/>
                <w:szCs w:val="20"/>
                <w:lang w:eastAsia="cs-CZ"/>
              </w:rPr>
              <w:t>. č.</w:t>
            </w:r>
          </w:p>
        </w:tc>
        <w:tc>
          <w:tcPr>
            <w:tcW w:w="2653" w:type="dxa"/>
            <w:shd w:val="clear" w:color="000000" w:fill="BFBFBF"/>
            <w:vAlign w:val="center"/>
            <w:hideMark/>
          </w:tcPr>
          <w:p w:rsidR="005239CC" w:rsidRPr="00DA7980" w:rsidRDefault="005239CC" w:rsidP="005239CC">
            <w:pPr>
              <w:jc w:val="center"/>
              <w:rPr>
                <w:rFonts w:ascii="Times New Roman" w:eastAsia="Times New Roman" w:hAnsi="Times New Roman" w:cs="Times New Roman"/>
                <w:b/>
                <w:bCs/>
                <w:szCs w:val="20"/>
                <w:lang w:eastAsia="cs-CZ"/>
              </w:rPr>
            </w:pPr>
            <w:r w:rsidRPr="00DA7980">
              <w:rPr>
                <w:rFonts w:ascii="Times New Roman" w:eastAsia="Times New Roman" w:hAnsi="Times New Roman" w:cs="Times New Roman"/>
                <w:b/>
                <w:bCs/>
                <w:szCs w:val="20"/>
                <w:lang w:eastAsia="cs-CZ"/>
              </w:rPr>
              <w:t>Evaluační otázka / úkol</w:t>
            </w:r>
          </w:p>
        </w:tc>
        <w:tc>
          <w:tcPr>
            <w:tcW w:w="1698" w:type="dxa"/>
            <w:shd w:val="clear" w:color="000000" w:fill="BFBFBF"/>
            <w:vAlign w:val="center"/>
            <w:hideMark/>
          </w:tcPr>
          <w:p w:rsidR="005239CC" w:rsidRPr="00DA7980" w:rsidRDefault="005239CC" w:rsidP="005C0ADF">
            <w:pPr>
              <w:jc w:val="center"/>
              <w:rPr>
                <w:rFonts w:ascii="Times New Roman" w:eastAsia="Times New Roman" w:hAnsi="Times New Roman" w:cs="Times New Roman"/>
                <w:b/>
                <w:bCs/>
                <w:szCs w:val="20"/>
                <w:lang w:eastAsia="cs-CZ"/>
              </w:rPr>
            </w:pPr>
            <w:r w:rsidRPr="00DA7980">
              <w:rPr>
                <w:rFonts w:ascii="Times New Roman" w:eastAsia="Times New Roman" w:hAnsi="Times New Roman" w:cs="Times New Roman"/>
                <w:b/>
                <w:bCs/>
                <w:szCs w:val="20"/>
                <w:lang w:eastAsia="cs-CZ"/>
              </w:rPr>
              <w:t>Zhodnocení</w:t>
            </w:r>
            <w:r w:rsidRPr="00DA7980">
              <w:rPr>
                <w:rFonts w:ascii="Times New Roman" w:eastAsia="Times New Roman" w:hAnsi="Times New Roman" w:cs="Times New Roman"/>
                <w:b/>
                <w:bCs/>
                <w:szCs w:val="20"/>
                <w:lang w:eastAsia="cs-CZ"/>
              </w:rPr>
              <w:br/>
            </w:r>
            <w:r w:rsidRPr="00DA7980">
              <w:rPr>
                <w:rFonts w:ascii="Times New Roman" w:eastAsia="Times New Roman" w:hAnsi="Times New Roman" w:cs="Times New Roman"/>
                <w:szCs w:val="20"/>
                <w:lang w:eastAsia="cs-CZ"/>
              </w:rPr>
              <w:t>(A - Ano, SA - Spíše ano, SN - Spíše ne, N - Ne, NR - Není relevantní)</w:t>
            </w:r>
          </w:p>
        </w:tc>
        <w:tc>
          <w:tcPr>
            <w:tcW w:w="3972" w:type="dxa"/>
            <w:shd w:val="clear" w:color="000000" w:fill="BFBFBF"/>
            <w:vAlign w:val="center"/>
            <w:hideMark/>
          </w:tcPr>
          <w:p w:rsidR="005239CC" w:rsidRPr="00DA7980" w:rsidRDefault="005239CC" w:rsidP="005239CC">
            <w:pPr>
              <w:jc w:val="center"/>
              <w:rPr>
                <w:rFonts w:ascii="Times New Roman" w:eastAsia="Times New Roman" w:hAnsi="Times New Roman" w:cs="Times New Roman"/>
                <w:b/>
                <w:bCs/>
                <w:szCs w:val="20"/>
                <w:lang w:eastAsia="cs-CZ"/>
              </w:rPr>
            </w:pPr>
            <w:r w:rsidRPr="00DA7980">
              <w:rPr>
                <w:rFonts w:ascii="Times New Roman" w:eastAsia="Times New Roman" w:hAnsi="Times New Roman" w:cs="Times New Roman"/>
                <w:b/>
                <w:bCs/>
                <w:szCs w:val="20"/>
                <w:lang w:eastAsia="cs-CZ"/>
              </w:rPr>
              <w:t>Komentář, doporučení</w:t>
            </w:r>
          </w:p>
        </w:tc>
      </w:tr>
      <w:tr w:rsidR="005239CC" w:rsidRPr="00DA7980" w:rsidTr="005C0ADF">
        <w:trPr>
          <w:trHeight w:val="810"/>
        </w:trPr>
        <w:tc>
          <w:tcPr>
            <w:tcW w:w="906" w:type="dxa"/>
            <w:shd w:val="clear" w:color="000000" w:fill="FDE9D9"/>
            <w:hideMark/>
          </w:tcPr>
          <w:p w:rsidR="005239CC" w:rsidRPr="00DA7980" w:rsidRDefault="005239C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04.1</w:t>
            </w:r>
          </w:p>
        </w:tc>
        <w:tc>
          <w:tcPr>
            <w:tcW w:w="2653" w:type="dxa"/>
            <w:shd w:val="clear" w:color="000000" w:fill="FDE9D9"/>
            <w:hideMark/>
          </w:tcPr>
          <w:p w:rsidR="005239CC" w:rsidRPr="00DA7980" w:rsidRDefault="005239C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Přispívá program k naplňování cílů strategie Evropa 2020, s ohledem na vybrané tematické cíle a investiční priority a při zohlednění národních a regionálních potřeb?</w:t>
            </w:r>
          </w:p>
        </w:tc>
        <w:tc>
          <w:tcPr>
            <w:tcW w:w="1698" w:type="dxa"/>
            <w:shd w:val="clear" w:color="000000" w:fill="FDE9D9"/>
            <w:vAlign w:val="center"/>
            <w:hideMark/>
          </w:tcPr>
          <w:p w:rsidR="005239CC" w:rsidRPr="00DA7980" w:rsidRDefault="00E92A93" w:rsidP="005C0ADF">
            <w:pPr>
              <w:jc w:val="center"/>
              <w:rPr>
                <w:rFonts w:ascii="Times New Roman" w:eastAsia="Times New Roman" w:hAnsi="Times New Roman" w:cs="Times New Roman"/>
                <w:b/>
                <w:bCs/>
                <w:szCs w:val="20"/>
                <w:lang w:eastAsia="cs-CZ"/>
              </w:rPr>
            </w:pPr>
            <w:r w:rsidRPr="00DA7980">
              <w:rPr>
                <w:rFonts w:ascii="Times New Roman" w:eastAsia="Times New Roman" w:hAnsi="Times New Roman" w:cs="Times New Roman"/>
                <w:szCs w:val="20"/>
                <w:lang w:eastAsia="cs-CZ"/>
              </w:rPr>
              <w:t>A</w:t>
            </w:r>
          </w:p>
        </w:tc>
        <w:tc>
          <w:tcPr>
            <w:tcW w:w="3972" w:type="dxa"/>
            <w:shd w:val="clear" w:color="000000" w:fill="FDE9D9"/>
            <w:hideMark/>
          </w:tcPr>
          <w:p w:rsidR="005F36D0" w:rsidRPr="00DA7980" w:rsidRDefault="000B1279" w:rsidP="00D523C2">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 xml:space="preserve">OP PIK přispívá </w:t>
            </w:r>
            <w:r w:rsidR="005F36D0" w:rsidRPr="00DA7980">
              <w:rPr>
                <w:rFonts w:ascii="Times New Roman" w:eastAsia="Times New Roman" w:hAnsi="Times New Roman" w:cs="Times New Roman"/>
                <w:szCs w:val="20"/>
                <w:lang w:eastAsia="cs-CZ"/>
              </w:rPr>
              <w:t xml:space="preserve">především k naplňování </w:t>
            </w:r>
            <w:r w:rsidR="00C27274" w:rsidRPr="00DA7980">
              <w:rPr>
                <w:rFonts w:ascii="Times New Roman" w:eastAsia="Times New Roman" w:hAnsi="Times New Roman" w:cs="Times New Roman"/>
                <w:szCs w:val="20"/>
                <w:lang w:eastAsia="cs-CZ"/>
              </w:rPr>
              <w:t xml:space="preserve">následujících </w:t>
            </w:r>
            <w:r w:rsidR="00E92A93" w:rsidRPr="00DA7980">
              <w:rPr>
                <w:rFonts w:ascii="Times New Roman" w:eastAsia="Times New Roman" w:hAnsi="Times New Roman" w:cs="Times New Roman"/>
                <w:szCs w:val="20"/>
                <w:lang w:eastAsia="cs-CZ"/>
              </w:rPr>
              <w:t>hlavních cílů strategie Evropa 2020</w:t>
            </w:r>
            <w:r w:rsidR="005F36D0" w:rsidRPr="00DA7980">
              <w:rPr>
                <w:rFonts w:ascii="Times New Roman" w:eastAsia="Times New Roman" w:hAnsi="Times New Roman" w:cs="Times New Roman"/>
                <w:szCs w:val="20"/>
                <w:lang w:eastAsia="cs-CZ"/>
              </w:rPr>
              <w:t xml:space="preserve"> a potažmo Národního programu reforem</w:t>
            </w:r>
            <w:r w:rsidRPr="00DA7980">
              <w:rPr>
                <w:rFonts w:ascii="Times New Roman" w:eastAsia="Times New Roman" w:hAnsi="Times New Roman" w:cs="Times New Roman"/>
                <w:szCs w:val="20"/>
                <w:lang w:eastAsia="cs-CZ"/>
              </w:rPr>
              <w:t xml:space="preserve"> ČR</w:t>
            </w:r>
            <w:r w:rsidR="005F36D0" w:rsidRPr="00DA7980">
              <w:rPr>
                <w:rFonts w:ascii="Times New Roman" w:eastAsia="Times New Roman" w:hAnsi="Times New Roman" w:cs="Times New Roman"/>
                <w:szCs w:val="20"/>
                <w:lang w:eastAsia="cs-CZ"/>
              </w:rPr>
              <w:t xml:space="preserve">: </w:t>
            </w:r>
          </w:p>
          <w:p w:rsidR="00C27274" w:rsidRPr="00DA7980" w:rsidRDefault="005F36D0" w:rsidP="00C6279B">
            <w:pPr>
              <w:pStyle w:val="Odstavecseseznamem"/>
              <w:numPr>
                <w:ilvl w:val="0"/>
                <w:numId w:val="13"/>
              </w:numPr>
              <w:ind w:left="358" w:hanging="283"/>
              <w:jc w:val="both"/>
              <w:rPr>
                <w:sz w:val="20"/>
                <w:szCs w:val="20"/>
              </w:rPr>
            </w:pPr>
            <w:r w:rsidRPr="00DA7980">
              <w:rPr>
                <w:sz w:val="20"/>
                <w:szCs w:val="20"/>
              </w:rPr>
              <w:t xml:space="preserve">posílení investic do </w:t>
            </w:r>
            <w:proofErr w:type="spellStart"/>
            <w:r w:rsidRPr="00DA7980">
              <w:rPr>
                <w:sz w:val="20"/>
                <w:szCs w:val="20"/>
              </w:rPr>
              <w:t>VVaI</w:t>
            </w:r>
            <w:proofErr w:type="spellEnd"/>
            <w:r w:rsidRPr="00DA7980">
              <w:rPr>
                <w:sz w:val="20"/>
                <w:szCs w:val="20"/>
              </w:rPr>
              <w:t>,</w:t>
            </w:r>
          </w:p>
          <w:p w:rsidR="005F36D0" w:rsidRPr="00DA7980" w:rsidRDefault="00C27274" w:rsidP="00C6279B">
            <w:pPr>
              <w:pStyle w:val="Odstavecseseznamem"/>
              <w:numPr>
                <w:ilvl w:val="0"/>
                <w:numId w:val="13"/>
              </w:numPr>
              <w:ind w:left="358" w:hanging="283"/>
              <w:jc w:val="both"/>
              <w:rPr>
                <w:sz w:val="20"/>
                <w:szCs w:val="20"/>
              </w:rPr>
            </w:pPr>
            <w:r w:rsidRPr="00DA7980">
              <w:rPr>
                <w:sz w:val="20"/>
                <w:szCs w:val="20"/>
              </w:rPr>
              <w:t>nárůst produkce energie z OZE,</w:t>
            </w:r>
            <w:r w:rsidR="005F36D0" w:rsidRPr="00DA7980">
              <w:rPr>
                <w:sz w:val="20"/>
                <w:szCs w:val="20"/>
              </w:rPr>
              <w:t xml:space="preserve"> </w:t>
            </w:r>
          </w:p>
          <w:p w:rsidR="005F36D0" w:rsidRPr="00DA7980" w:rsidRDefault="005F36D0" w:rsidP="00C6279B">
            <w:pPr>
              <w:pStyle w:val="Odstavecseseznamem"/>
              <w:numPr>
                <w:ilvl w:val="0"/>
                <w:numId w:val="13"/>
              </w:numPr>
              <w:ind w:left="358" w:hanging="283"/>
              <w:jc w:val="both"/>
              <w:rPr>
                <w:sz w:val="20"/>
                <w:szCs w:val="20"/>
              </w:rPr>
            </w:pPr>
            <w:r w:rsidRPr="00DA7980">
              <w:rPr>
                <w:sz w:val="20"/>
                <w:szCs w:val="20"/>
              </w:rPr>
              <w:t>další zvyšování energetické účinnosti v průmyslu,</w:t>
            </w:r>
          </w:p>
          <w:p w:rsidR="005F36D0" w:rsidRPr="00DA7980" w:rsidRDefault="005F36D0" w:rsidP="00C6279B">
            <w:pPr>
              <w:pStyle w:val="Odstavecseseznamem"/>
              <w:numPr>
                <w:ilvl w:val="0"/>
                <w:numId w:val="13"/>
              </w:numPr>
              <w:ind w:left="358" w:hanging="283"/>
              <w:jc w:val="both"/>
              <w:rPr>
                <w:sz w:val="20"/>
                <w:szCs w:val="20"/>
              </w:rPr>
            </w:pPr>
            <w:r w:rsidRPr="00DA7980">
              <w:rPr>
                <w:sz w:val="20"/>
                <w:szCs w:val="20"/>
              </w:rPr>
              <w:t>rozvoj digitální společnosti a také</w:t>
            </w:r>
          </w:p>
          <w:p w:rsidR="00733F60" w:rsidRPr="00DA7980" w:rsidRDefault="005F36D0" w:rsidP="00C6279B">
            <w:pPr>
              <w:pStyle w:val="Odstavecseseznamem"/>
              <w:numPr>
                <w:ilvl w:val="0"/>
                <w:numId w:val="13"/>
              </w:numPr>
              <w:ind w:left="358" w:hanging="283"/>
              <w:jc w:val="both"/>
              <w:rPr>
                <w:sz w:val="20"/>
                <w:szCs w:val="20"/>
              </w:rPr>
            </w:pPr>
            <w:r w:rsidRPr="00DA7980">
              <w:rPr>
                <w:sz w:val="20"/>
                <w:szCs w:val="20"/>
              </w:rPr>
              <w:t>tvorb</w:t>
            </w:r>
            <w:r w:rsidR="008A65B9">
              <w:rPr>
                <w:sz w:val="20"/>
                <w:szCs w:val="20"/>
              </w:rPr>
              <w:t>a</w:t>
            </w:r>
            <w:r w:rsidRPr="00DA7980">
              <w:rPr>
                <w:sz w:val="20"/>
                <w:szCs w:val="20"/>
              </w:rPr>
              <w:t xml:space="preserve"> pracovních míst (průřezový cíl).  </w:t>
            </w:r>
          </w:p>
          <w:p w:rsidR="00D523C2" w:rsidRPr="00DA7980" w:rsidRDefault="00D523C2" w:rsidP="00D523C2">
            <w:pPr>
              <w:ind w:left="75"/>
              <w:rPr>
                <w:rFonts w:ascii="Times New Roman" w:hAnsi="Times New Roman" w:cs="Times New Roman"/>
                <w:szCs w:val="20"/>
              </w:rPr>
            </w:pPr>
          </w:p>
          <w:p w:rsidR="00E54ADA" w:rsidRPr="00DA7980" w:rsidRDefault="000B1279" w:rsidP="005801E1">
            <w:pPr>
              <w:rPr>
                <w:rFonts w:ascii="Times New Roman" w:hAnsi="Times New Roman" w:cs="Times New Roman"/>
                <w:szCs w:val="20"/>
              </w:rPr>
            </w:pPr>
            <w:r w:rsidRPr="00DA7980">
              <w:rPr>
                <w:rFonts w:ascii="Times New Roman" w:eastAsia="Times New Roman" w:hAnsi="Times New Roman" w:cs="Times New Roman"/>
                <w:szCs w:val="20"/>
                <w:lang w:eastAsia="cs-CZ"/>
              </w:rPr>
              <w:t xml:space="preserve">Zároveň </w:t>
            </w:r>
            <w:r w:rsidR="00D86DB1" w:rsidRPr="00DA7980">
              <w:rPr>
                <w:rFonts w:ascii="Times New Roman" w:eastAsia="Times New Roman" w:hAnsi="Times New Roman" w:cs="Times New Roman"/>
                <w:szCs w:val="20"/>
                <w:lang w:eastAsia="cs-CZ"/>
              </w:rPr>
              <w:t>se však lze domnívat</w:t>
            </w:r>
            <w:r w:rsidRPr="00DA7980">
              <w:rPr>
                <w:rFonts w:ascii="Times New Roman" w:eastAsia="Times New Roman" w:hAnsi="Times New Roman" w:cs="Times New Roman"/>
                <w:szCs w:val="20"/>
                <w:lang w:eastAsia="cs-CZ"/>
              </w:rPr>
              <w:t xml:space="preserve">, že pouze prostřednictvím intervencí OP PIK nedojde </w:t>
            </w:r>
            <w:r w:rsidR="00E54ADA" w:rsidRPr="00DA7980">
              <w:rPr>
                <w:rFonts w:ascii="Times New Roman" w:eastAsia="Times New Roman" w:hAnsi="Times New Roman" w:cs="Times New Roman"/>
                <w:szCs w:val="20"/>
                <w:lang w:eastAsia="cs-CZ"/>
              </w:rPr>
              <w:t xml:space="preserve">pravděpodobně </w:t>
            </w:r>
            <w:r w:rsidRPr="00DA7980">
              <w:rPr>
                <w:rFonts w:ascii="Times New Roman" w:eastAsia="Times New Roman" w:hAnsi="Times New Roman" w:cs="Times New Roman"/>
                <w:szCs w:val="20"/>
                <w:lang w:eastAsia="cs-CZ"/>
              </w:rPr>
              <w:t xml:space="preserve">k plnému dosažení </w:t>
            </w:r>
            <w:r w:rsidR="00D523C2" w:rsidRPr="00DA7980">
              <w:rPr>
                <w:rFonts w:ascii="Times New Roman" w:eastAsia="Times New Roman" w:hAnsi="Times New Roman" w:cs="Times New Roman"/>
                <w:szCs w:val="20"/>
                <w:lang w:eastAsia="cs-CZ"/>
              </w:rPr>
              <w:t xml:space="preserve">relevantních </w:t>
            </w:r>
            <w:r w:rsidRPr="00DA7980">
              <w:rPr>
                <w:rFonts w:ascii="Times New Roman" w:eastAsia="Times New Roman" w:hAnsi="Times New Roman" w:cs="Times New Roman"/>
                <w:szCs w:val="20"/>
                <w:lang w:eastAsia="cs-CZ"/>
              </w:rPr>
              <w:t>kvantifikovaných cílů ČR</w:t>
            </w:r>
            <w:r w:rsidR="00E54ADA" w:rsidRPr="00DA7980">
              <w:rPr>
                <w:rFonts w:ascii="Times New Roman" w:eastAsia="Times New Roman" w:hAnsi="Times New Roman" w:cs="Times New Roman"/>
                <w:szCs w:val="20"/>
                <w:lang w:eastAsia="cs-CZ"/>
              </w:rPr>
              <w:t xml:space="preserve"> do roku 2020 </w:t>
            </w:r>
            <w:r w:rsidRPr="00DA7980">
              <w:rPr>
                <w:rFonts w:ascii="Times New Roman" w:eastAsia="Times New Roman" w:hAnsi="Times New Roman" w:cs="Times New Roman"/>
                <w:szCs w:val="20"/>
                <w:lang w:eastAsia="cs-CZ"/>
              </w:rPr>
              <w:t>ve vazbě na strategické cíle EU</w:t>
            </w:r>
            <w:r w:rsidR="00D523C2" w:rsidRPr="00DA7980">
              <w:rPr>
                <w:rFonts w:ascii="Times New Roman" w:hAnsi="Times New Roman" w:cs="Times New Roman"/>
                <w:szCs w:val="20"/>
              </w:rPr>
              <w:t>.</w:t>
            </w:r>
          </w:p>
          <w:p w:rsidR="00D523C2" w:rsidRPr="00DA7980" w:rsidRDefault="00477F5A" w:rsidP="00477F5A">
            <w:pPr>
              <w:rPr>
                <w:rFonts w:ascii="Times New Roman" w:hAnsi="Times New Roman" w:cs="Times New Roman"/>
                <w:szCs w:val="20"/>
              </w:rPr>
            </w:pPr>
            <w:r>
              <w:rPr>
                <w:rFonts w:ascii="Times New Roman" w:eastAsia="Times New Roman" w:hAnsi="Times New Roman" w:cs="Times New Roman"/>
                <w:szCs w:val="20"/>
                <w:lang w:eastAsia="cs-CZ"/>
              </w:rPr>
              <w:t>Operační program</w:t>
            </w:r>
            <w:r w:rsidR="00D523C2" w:rsidRPr="00DA7980">
              <w:rPr>
                <w:rFonts w:ascii="Times New Roman" w:eastAsia="Times New Roman" w:hAnsi="Times New Roman" w:cs="Times New Roman"/>
                <w:szCs w:val="20"/>
                <w:lang w:eastAsia="cs-CZ"/>
              </w:rPr>
              <w:t xml:space="preserve"> by proto měl </w:t>
            </w:r>
            <w:r>
              <w:rPr>
                <w:rFonts w:ascii="Times New Roman" w:eastAsia="Times New Roman" w:hAnsi="Times New Roman" w:cs="Times New Roman"/>
                <w:szCs w:val="20"/>
                <w:lang w:eastAsia="cs-CZ"/>
              </w:rPr>
              <w:t>identifikovat</w:t>
            </w:r>
            <w:r w:rsidR="00D523C2" w:rsidRPr="00DA7980">
              <w:rPr>
                <w:rFonts w:ascii="Times New Roman" w:eastAsia="Times New Roman" w:hAnsi="Times New Roman" w:cs="Times New Roman"/>
                <w:szCs w:val="20"/>
                <w:lang w:eastAsia="cs-CZ"/>
              </w:rPr>
              <w:t xml:space="preserve"> další</w:t>
            </w:r>
            <w:r w:rsidR="00D467A5">
              <w:rPr>
                <w:rFonts w:ascii="Times New Roman" w:eastAsia="Times New Roman" w:hAnsi="Times New Roman" w:cs="Times New Roman"/>
                <w:szCs w:val="20"/>
                <w:lang w:eastAsia="cs-CZ"/>
              </w:rPr>
              <w:t xml:space="preserve"> faktor</w:t>
            </w:r>
            <w:r>
              <w:rPr>
                <w:rFonts w:ascii="Times New Roman" w:eastAsia="Times New Roman" w:hAnsi="Times New Roman" w:cs="Times New Roman"/>
                <w:szCs w:val="20"/>
                <w:lang w:eastAsia="cs-CZ"/>
              </w:rPr>
              <w:t>y</w:t>
            </w:r>
            <w:r w:rsidR="00D467A5">
              <w:rPr>
                <w:rFonts w:ascii="Times New Roman" w:eastAsia="Times New Roman" w:hAnsi="Times New Roman" w:cs="Times New Roman"/>
                <w:szCs w:val="20"/>
                <w:lang w:eastAsia="cs-CZ"/>
              </w:rPr>
              <w:t xml:space="preserve"> a opatření mimo OP PIK, pomocí kterých budou naplňovány cíle strategie Evropa 2020 na národní úrovni.</w:t>
            </w:r>
          </w:p>
        </w:tc>
      </w:tr>
      <w:tr w:rsidR="005239CC" w:rsidRPr="00DA7980" w:rsidTr="005C0ADF">
        <w:trPr>
          <w:trHeight w:val="270"/>
        </w:trPr>
        <w:tc>
          <w:tcPr>
            <w:tcW w:w="906" w:type="dxa"/>
            <w:shd w:val="clear" w:color="000000" w:fill="FDE9D9"/>
            <w:hideMark/>
          </w:tcPr>
          <w:p w:rsidR="005239CC" w:rsidRPr="00DA7980" w:rsidRDefault="005239C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04.2</w:t>
            </w:r>
          </w:p>
        </w:tc>
        <w:tc>
          <w:tcPr>
            <w:tcW w:w="2653" w:type="dxa"/>
            <w:shd w:val="clear" w:color="000000" w:fill="FDE9D9"/>
            <w:hideMark/>
          </w:tcPr>
          <w:p w:rsidR="005239CC" w:rsidRPr="00DA7980" w:rsidRDefault="005239CC"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Přispívá program k naplňování cílů Dohody o partnerství?</w:t>
            </w:r>
          </w:p>
        </w:tc>
        <w:tc>
          <w:tcPr>
            <w:tcW w:w="1698" w:type="dxa"/>
            <w:shd w:val="clear" w:color="000000" w:fill="FDE9D9"/>
            <w:vAlign w:val="center"/>
            <w:hideMark/>
          </w:tcPr>
          <w:p w:rsidR="005239CC" w:rsidRPr="00DA7980" w:rsidRDefault="005C0ADF" w:rsidP="005C0ADF">
            <w:pPr>
              <w:jc w:val="center"/>
              <w:rPr>
                <w:rFonts w:ascii="Times New Roman" w:eastAsia="Times New Roman" w:hAnsi="Times New Roman" w:cs="Times New Roman"/>
                <w:bCs/>
                <w:szCs w:val="20"/>
                <w:lang w:eastAsia="cs-CZ"/>
              </w:rPr>
            </w:pPr>
            <w:r w:rsidRPr="00DA7980">
              <w:rPr>
                <w:rFonts w:ascii="Times New Roman" w:eastAsia="Times New Roman" w:hAnsi="Times New Roman" w:cs="Times New Roman"/>
                <w:bCs/>
                <w:szCs w:val="20"/>
                <w:lang w:eastAsia="cs-CZ"/>
              </w:rPr>
              <w:t>A</w:t>
            </w:r>
          </w:p>
        </w:tc>
        <w:tc>
          <w:tcPr>
            <w:tcW w:w="3972" w:type="dxa"/>
            <w:shd w:val="clear" w:color="000000" w:fill="FDE9D9"/>
            <w:hideMark/>
          </w:tcPr>
          <w:p w:rsidR="00733F60" w:rsidRPr="00407584" w:rsidRDefault="008A65B9" w:rsidP="00733F60">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Konečná verze </w:t>
            </w:r>
            <w:proofErr w:type="spellStart"/>
            <w:r w:rsidR="00733F60" w:rsidRPr="00407584">
              <w:rPr>
                <w:rFonts w:ascii="Times New Roman" w:eastAsia="Times New Roman" w:hAnsi="Times New Roman" w:cs="Times New Roman"/>
                <w:szCs w:val="20"/>
                <w:lang w:eastAsia="cs-CZ"/>
              </w:rPr>
              <w:t>DoP</w:t>
            </w:r>
            <w:proofErr w:type="spellEnd"/>
            <w:r>
              <w:rPr>
                <w:rFonts w:ascii="Times New Roman" w:eastAsia="Times New Roman" w:hAnsi="Times New Roman" w:cs="Times New Roman"/>
                <w:szCs w:val="20"/>
                <w:lang w:eastAsia="cs-CZ"/>
              </w:rPr>
              <w:t xml:space="preserve"> pro formální vyjednávání</w:t>
            </w:r>
            <w:r w:rsidR="00477F5A">
              <w:rPr>
                <w:rFonts w:ascii="Times New Roman" w:eastAsia="Times New Roman" w:hAnsi="Times New Roman" w:cs="Times New Roman"/>
                <w:szCs w:val="20"/>
                <w:lang w:eastAsia="cs-CZ"/>
              </w:rPr>
              <w:t>, která byla</w:t>
            </w:r>
            <w:r>
              <w:rPr>
                <w:rFonts w:ascii="Times New Roman" w:eastAsia="Times New Roman" w:hAnsi="Times New Roman" w:cs="Times New Roman"/>
                <w:szCs w:val="20"/>
                <w:lang w:eastAsia="cs-CZ"/>
              </w:rPr>
              <w:t xml:space="preserve"> schválen</w:t>
            </w:r>
            <w:r w:rsidR="00477F5A">
              <w:rPr>
                <w:rFonts w:ascii="Times New Roman" w:eastAsia="Times New Roman" w:hAnsi="Times New Roman" w:cs="Times New Roman"/>
                <w:szCs w:val="20"/>
                <w:lang w:eastAsia="cs-CZ"/>
              </w:rPr>
              <w:t>a</w:t>
            </w:r>
            <w:r>
              <w:rPr>
                <w:rFonts w:ascii="Times New Roman" w:eastAsia="Times New Roman" w:hAnsi="Times New Roman" w:cs="Times New Roman"/>
                <w:szCs w:val="20"/>
                <w:lang w:eastAsia="cs-CZ"/>
              </w:rPr>
              <w:t xml:space="preserve"> v dubnu 2014</w:t>
            </w:r>
            <w:r w:rsidR="00477F5A">
              <w:rPr>
                <w:rFonts w:ascii="Times New Roman" w:eastAsia="Times New Roman" w:hAnsi="Times New Roman" w:cs="Times New Roman"/>
                <w:szCs w:val="20"/>
                <w:lang w:eastAsia="cs-CZ"/>
              </w:rPr>
              <w:t>,</w:t>
            </w:r>
            <w:r w:rsidR="00D467A5" w:rsidRPr="00407584">
              <w:rPr>
                <w:rFonts w:ascii="Times New Roman" w:eastAsia="Times New Roman" w:hAnsi="Times New Roman" w:cs="Times New Roman"/>
                <w:szCs w:val="20"/>
                <w:lang w:eastAsia="cs-CZ"/>
              </w:rPr>
              <w:t xml:space="preserve"> </w:t>
            </w:r>
            <w:r w:rsidR="00733F60" w:rsidRPr="00407584">
              <w:rPr>
                <w:rFonts w:ascii="Times New Roman" w:eastAsia="Times New Roman" w:hAnsi="Times New Roman" w:cs="Times New Roman"/>
                <w:szCs w:val="20"/>
                <w:lang w:eastAsia="cs-CZ"/>
              </w:rPr>
              <w:t>neobsahuje kvantifik</w:t>
            </w:r>
            <w:r w:rsidR="00D467A5" w:rsidRPr="00407584">
              <w:rPr>
                <w:rFonts w:ascii="Times New Roman" w:eastAsia="Times New Roman" w:hAnsi="Times New Roman" w:cs="Times New Roman"/>
                <w:szCs w:val="20"/>
                <w:lang w:eastAsia="cs-CZ"/>
              </w:rPr>
              <w:t xml:space="preserve">ované </w:t>
            </w:r>
            <w:r w:rsidR="00733F60" w:rsidRPr="00407584">
              <w:rPr>
                <w:rFonts w:ascii="Times New Roman" w:eastAsia="Times New Roman" w:hAnsi="Times New Roman" w:cs="Times New Roman"/>
                <w:szCs w:val="20"/>
                <w:lang w:eastAsia="cs-CZ"/>
              </w:rPr>
              <w:t>cíl</w:t>
            </w:r>
            <w:r w:rsidR="00D467A5" w:rsidRPr="00407584">
              <w:rPr>
                <w:rFonts w:ascii="Times New Roman" w:eastAsia="Times New Roman" w:hAnsi="Times New Roman" w:cs="Times New Roman"/>
                <w:szCs w:val="20"/>
                <w:lang w:eastAsia="cs-CZ"/>
              </w:rPr>
              <w:t>e</w:t>
            </w:r>
            <w:r w:rsidR="00733F60" w:rsidRPr="00407584">
              <w:rPr>
                <w:rFonts w:ascii="Times New Roman" w:eastAsia="Times New Roman" w:hAnsi="Times New Roman" w:cs="Times New Roman"/>
                <w:szCs w:val="20"/>
                <w:lang w:eastAsia="cs-CZ"/>
              </w:rPr>
              <w:t xml:space="preserve">, proto i posouzení souladu cílů programu s cíli </w:t>
            </w:r>
            <w:proofErr w:type="spellStart"/>
            <w:r w:rsidR="00733F60" w:rsidRPr="00407584">
              <w:rPr>
                <w:rFonts w:ascii="Times New Roman" w:eastAsia="Times New Roman" w:hAnsi="Times New Roman" w:cs="Times New Roman"/>
                <w:szCs w:val="20"/>
                <w:lang w:eastAsia="cs-CZ"/>
              </w:rPr>
              <w:t>DoP</w:t>
            </w:r>
            <w:proofErr w:type="spellEnd"/>
            <w:r w:rsidR="00733F60" w:rsidRPr="00407584">
              <w:rPr>
                <w:rFonts w:ascii="Times New Roman" w:eastAsia="Times New Roman" w:hAnsi="Times New Roman" w:cs="Times New Roman"/>
                <w:szCs w:val="20"/>
                <w:lang w:eastAsia="cs-CZ"/>
              </w:rPr>
              <w:t xml:space="preserve"> může být prováděno spíše v popisné, kvalitativní rovině.</w:t>
            </w:r>
          </w:p>
          <w:p w:rsidR="00D86DB1" w:rsidRDefault="00D523C2" w:rsidP="00E77489">
            <w:pPr>
              <w:rPr>
                <w:rFonts w:ascii="Times New Roman" w:eastAsia="Times New Roman" w:hAnsi="Times New Roman" w:cs="Times New Roman"/>
                <w:szCs w:val="20"/>
                <w:lang w:eastAsia="cs-CZ"/>
              </w:rPr>
            </w:pPr>
            <w:r w:rsidRPr="00407584">
              <w:rPr>
                <w:rFonts w:ascii="Times New Roman" w:eastAsia="Times New Roman" w:hAnsi="Times New Roman" w:cs="Times New Roman"/>
                <w:szCs w:val="20"/>
                <w:lang w:eastAsia="cs-CZ"/>
              </w:rPr>
              <w:t>Obecně lze konstatovat, že</w:t>
            </w:r>
            <w:r w:rsidR="00D467A5" w:rsidRPr="00407584">
              <w:rPr>
                <w:rFonts w:ascii="Times New Roman" w:eastAsia="Times New Roman" w:hAnsi="Times New Roman" w:cs="Times New Roman"/>
                <w:szCs w:val="20"/>
                <w:lang w:eastAsia="cs-CZ"/>
              </w:rPr>
              <w:t xml:space="preserve"> operační</w:t>
            </w:r>
            <w:r w:rsidRPr="00407584">
              <w:rPr>
                <w:rFonts w:ascii="Times New Roman" w:eastAsia="Times New Roman" w:hAnsi="Times New Roman" w:cs="Times New Roman"/>
                <w:szCs w:val="20"/>
                <w:lang w:eastAsia="cs-CZ"/>
              </w:rPr>
              <w:t xml:space="preserve"> program přispívá k cílům </w:t>
            </w:r>
            <w:proofErr w:type="spellStart"/>
            <w:r w:rsidRPr="00407584">
              <w:rPr>
                <w:rFonts w:ascii="Times New Roman" w:eastAsia="Times New Roman" w:hAnsi="Times New Roman" w:cs="Times New Roman"/>
                <w:szCs w:val="20"/>
                <w:lang w:eastAsia="cs-CZ"/>
              </w:rPr>
              <w:t>DoP.</w:t>
            </w:r>
            <w:proofErr w:type="spellEnd"/>
            <w:r w:rsidRPr="00407584">
              <w:rPr>
                <w:rFonts w:ascii="Times New Roman" w:eastAsia="Times New Roman" w:hAnsi="Times New Roman" w:cs="Times New Roman"/>
                <w:szCs w:val="20"/>
                <w:lang w:eastAsia="cs-CZ"/>
              </w:rPr>
              <w:t xml:space="preserve"> </w:t>
            </w:r>
          </w:p>
          <w:p w:rsidR="00632A6B" w:rsidRDefault="00477F5A" w:rsidP="003E430E">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Prostřednictvím</w:t>
            </w:r>
            <w:r w:rsidR="00D523C2" w:rsidRPr="00407584">
              <w:rPr>
                <w:rFonts w:ascii="Times New Roman" w:eastAsia="Times New Roman" w:hAnsi="Times New Roman" w:cs="Times New Roman"/>
                <w:szCs w:val="20"/>
                <w:lang w:eastAsia="cs-CZ"/>
              </w:rPr>
              <w:t xml:space="preserve"> srovnávací analýzy obou dokumentů </w:t>
            </w:r>
            <w:r w:rsidR="00407584">
              <w:rPr>
                <w:rFonts w:ascii="Times New Roman" w:eastAsia="Times New Roman" w:hAnsi="Times New Roman" w:cs="Times New Roman"/>
                <w:szCs w:val="20"/>
                <w:lang w:eastAsia="cs-CZ"/>
              </w:rPr>
              <w:t>nicméně</w:t>
            </w:r>
            <w:r w:rsidR="00D523C2" w:rsidRPr="00407584">
              <w:rPr>
                <w:rFonts w:ascii="Times New Roman" w:eastAsia="Times New Roman" w:hAnsi="Times New Roman" w:cs="Times New Roman"/>
                <w:szCs w:val="20"/>
                <w:lang w:eastAsia="cs-CZ"/>
              </w:rPr>
              <w:t xml:space="preserve"> hodnotitel zároveň identifikoval některé nejasnosti ve vazbách mezi specifickými cíl</w:t>
            </w:r>
            <w:r w:rsidR="00D07A7C" w:rsidRPr="00407584">
              <w:rPr>
                <w:rFonts w:ascii="Times New Roman" w:eastAsia="Times New Roman" w:hAnsi="Times New Roman" w:cs="Times New Roman"/>
                <w:szCs w:val="20"/>
                <w:lang w:eastAsia="cs-CZ"/>
              </w:rPr>
              <w:t>i</w:t>
            </w:r>
            <w:r w:rsidR="00D86DB1" w:rsidRPr="00407584">
              <w:rPr>
                <w:rFonts w:ascii="Times New Roman" w:eastAsia="Times New Roman" w:hAnsi="Times New Roman" w:cs="Times New Roman"/>
                <w:szCs w:val="20"/>
                <w:lang w:eastAsia="cs-CZ"/>
              </w:rPr>
              <w:t xml:space="preserve"> a</w:t>
            </w:r>
            <w:r w:rsidR="00D523C2" w:rsidRPr="00407584">
              <w:rPr>
                <w:rFonts w:ascii="Times New Roman" w:eastAsia="Times New Roman" w:hAnsi="Times New Roman" w:cs="Times New Roman"/>
                <w:szCs w:val="20"/>
                <w:lang w:eastAsia="cs-CZ"/>
              </w:rPr>
              <w:t xml:space="preserve"> výsledky OP PIK na straně jedné a hlavními </w:t>
            </w:r>
            <w:r w:rsidR="00C50BDC" w:rsidRPr="00407584">
              <w:rPr>
                <w:rFonts w:ascii="Times New Roman" w:eastAsia="Times New Roman" w:hAnsi="Times New Roman" w:cs="Times New Roman"/>
                <w:szCs w:val="20"/>
                <w:lang w:eastAsia="cs-CZ"/>
              </w:rPr>
              <w:t>výsledky</w:t>
            </w:r>
            <w:r w:rsidR="00D523C2" w:rsidRPr="00407584">
              <w:rPr>
                <w:rFonts w:ascii="Times New Roman" w:eastAsia="Times New Roman" w:hAnsi="Times New Roman" w:cs="Times New Roman"/>
                <w:szCs w:val="20"/>
                <w:lang w:eastAsia="cs-CZ"/>
              </w:rPr>
              <w:t xml:space="preserve"> </w:t>
            </w:r>
            <w:proofErr w:type="spellStart"/>
            <w:r w:rsidR="00D523C2" w:rsidRPr="00407584">
              <w:rPr>
                <w:rFonts w:ascii="Times New Roman" w:eastAsia="Times New Roman" w:hAnsi="Times New Roman" w:cs="Times New Roman"/>
                <w:szCs w:val="20"/>
                <w:lang w:eastAsia="cs-CZ"/>
              </w:rPr>
              <w:t>DoP</w:t>
            </w:r>
            <w:proofErr w:type="spellEnd"/>
            <w:r w:rsidR="00214A8A" w:rsidRPr="00407584">
              <w:rPr>
                <w:rFonts w:ascii="Times New Roman" w:eastAsia="Times New Roman" w:hAnsi="Times New Roman" w:cs="Times New Roman"/>
                <w:szCs w:val="20"/>
                <w:lang w:eastAsia="cs-CZ"/>
              </w:rPr>
              <w:t xml:space="preserve"> na straně druhé</w:t>
            </w:r>
            <w:r w:rsidR="00D523C2" w:rsidRPr="00407584">
              <w:rPr>
                <w:rFonts w:ascii="Times New Roman" w:eastAsia="Times New Roman" w:hAnsi="Times New Roman" w:cs="Times New Roman"/>
                <w:szCs w:val="20"/>
                <w:lang w:eastAsia="cs-CZ"/>
              </w:rPr>
              <w:t xml:space="preserve"> (viz </w:t>
            </w:r>
            <w:r w:rsidR="00E05D31" w:rsidRPr="00407584">
              <w:rPr>
                <w:rFonts w:ascii="Times New Roman" w:eastAsia="Times New Roman" w:hAnsi="Times New Roman" w:cs="Times New Roman"/>
                <w:szCs w:val="20"/>
                <w:lang w:eastAsia="cs-CZ"/>
              </w:rPr>
              <w:t xml:space="preserve">také </w:t>
            </w:r>
            <w:r w:rsidR="00E05D31" w:rsidRPr="008A65B9">
              <w:rPr>
                <w:rFonts w:ascii="Times New Roman" w:eastAsia="Times New Roman" w:hAnsi="Times New Roman" w:cs="Times New Roman"/>
                <w:i/>
                <w:szCs w:val="20"/>
                <w:lang w:eastAsia="cs-CZ"/>
              </w:rPr>
              <w:t>Příloha č. 1</w:t>
            </w:r>
            <w:r w:rsidR="00526CAF" w:rsidRPr="00407584">
              <w:rPr>
                <w:rFonts w:ascii="Times New Roman" w:eastAsia="Times New Roman" w:hAnsi="Times New Roman" w:cs="Times New Roman"/>
                <w:szCs w:val="20"/>
                <w:lang w:eastAsia="cs-CZ"/>
              </w:rPr>
              <w:t xml:space="preserve"> </w:t>
            </w:r>
            <w:r w:rsidR="00407584">
              <w:rPr>
                <w:rFonts w:ascii="Times New Roman" w:eastAsia="Times New Roman" w:hAnsi="Times New Roman" w:cs="Times New Roman"/>
                <w:szCs w:val="20"/>
                <w:lang w:eastAsia="cs-CZ"/>
              </w:rPr>
              <w:t xml:space="preserve">této </w:t>
            </w:r>
            <w:r w:rsidR="00526CAF" w:rsidRPr="00407584">
              <w:rPr>
                <w:rFonts w:ascii="Times New Roman" w:eastAsia="Times New Roman" w:hAnsi="Times New Roman" w:cs="Times New Roman"/>
                <w:szCs w:val="20"/>
                <w:lang w:eastAsia="cs-CZ"/>
              </w:rPr>
              <w:t>zprávy</w:t>
            </w:r>
            <w:r w:rsidR="00D523C2" w:rsidRPr="00407584">
              <w:rPr>
                <w:rFonts w:ascii="Times New Roman" w:eastAsia="Times New Roman" w:hAnsi="Times New Roman" w:cs="Times New Roman"/>
                <w:szCs w:val="20"/>
                <w:lang w:eastAsia="cs-CZ"/>
              </w:rPr>
              <w:t>)</w:t>
            </w:r>
            <w:r w:rsidR="00407584" w:rsidRPr="00407584">
              <w:rPr>
                <w:rFonts w:ascii="Times New Roman" w:eastAsia="Times New Roman" w:hAnsi="Times New Roman" w:cs="Times New Roman"/>
                <w:szCs w:val="20"/>
                <w:lang w:eastAsia="cs-CZ"/>
              </w:rPr>
              <w:t xml:space="preserve">, </w:t>
            </w:r>
            <w:r w:rsidR="00407584" w:rsidRPr="002208A9">
              <w:rPr>
                <w:rFonts w:ascii="Times New Roman" w:eastAsia="Times New Roman" w:hAnsi="Times New Roman" w:cs="Times New Roman"/>
                <w:szCs w:val="20"/>
                <w:lang w:eastAsia="cs-CZ"/>
              </w:rPr>
              <w:t xml:space="preserve">a </w:t>
            </w:r>
            <w:r w:rsidR="00407584" w:rsidRPr="00407584">
              <w:rPr>
                <w:rFonts w:ascii="Times New Roman" w:eastAsia="Times New Roman" w:hAnsi="Times New Roman" w:cs="Times New Roman"/>
                <w:szCs w:val="20"/>
                <w:lang w:eastAsia="cs-CZ"/>
              </w:rPr>
              <w:t>doporučuje proto</w:t>
            </w:r>
            <w:r w:rsidR="002208A9">
              <w:rPr>
                <w:rFonts w:ascii="Times New Roman" w:eastAsia="Times New Roman" w:hAnsi="Times New Roman" w:cs="Times New Roman"/>
                <w:szCs w:val="20"/>
                <w:lang w:eastAsia="cs-CZ"/>
              </w:rPr>
              <w:t xml:space="preserve"> </w:t>
            </w:r>
            <w:r w:rsidR="00407584" w:rsidRPr="002208A9">
              <w:rPr>
                <w:rFonts w:ascii="Times New Roman" w:eastAsia="Times New Roman" w:hAnsi="Times New Roman" w:cs="Times New Roman"/>
                <w:szCs w:val="20"/>
                <w:lang w:eastAsia="cs-CZ"/>
              </w:rPr>
              <w:t xml:space="preserve">upravit a zpřesnit popisy </w:t>
            </w:r>
            <w:r w:rsidR="002208A9" w:rsidRPr="002208A9">
              <w:rPr>
                <w:rFonts w:ascii="Times New Roman" w:eastAsia="Times New Roman" w:hAnsi="Times New Roman" w:cs="Times New Roman"/>
                <w:szCs w:val="20"/>
                <w:lang w:eastAsia="cs-CZ"/>
              </w:rPr>
              <w:t>„V</w:t>
            </w:r>
            <w:r w:rsidR="00407584" w:rsidRPr="002208A9">
              <w:rPr>
                <w:rFonts w:ascii="Times New Roman" w:eastAsia="Times New Roman" w:hAnsi="Times New Roman" w:cs="Times New Roman"/>
                <w:szCs w:val="20"/>
                <w:lang w:eastAsia="cs-CZ"/>
              </w:rPr>
              <w:t>ýsledků, kterých chce ČR dosáhnout s podporou Unie</w:t>
            </w:r>
            <w:r w:rsidR="002208A9" w:rsidRPr="002208A9">
              <w:rPr>
                <w:rFonts w:ascii="Times New Roman" w:eastAsia="Times New Roman" w:hAnsi="Times New Roman" w:cs="Times New Roman"/>
                <w:szCs w:val="20"/>
                <w:lang w:eastAsia="cs-CZ"/>
              </w:rPr>
              <w:t>“</w:t>
            </w:r>
            <w:r w:rsidR="00407584" w:rsidRPr="002208A9">
              <w:rPr>
                <w:rFonts w:ascii="Times New Roman" w:eastAsia="Times New Roman" w:hAnsi="Times New Roman" w:cs="Times New Roman"/>
                <w:szCs w:val="20"/>
                <w:lang w:eastAsia="cs-CZ"/>
              </w:rPr>
              <w:t xml:space="preserve"> (kap. 2.A.5) a „</w:t>
            </w:r>
            <w:proofErr w:type="spellStart"/>
            <w:r w:rsidR="002208A9" w:rsidRPr="002208A9">
              <w:rPr>
                <w:rFonts w:ascii="Times New Roman" w:eastAsia="Times New Roman" w:hAnsi="Times New Roman" w:cs="Times New Roman"/>
                <w:szCs w:val="20"/>
                <w:lang w:eastAsia="cs-CZ"/>
              </w:rPr>
              <w:t>z</w:t>
            </w:r>
            <w:r w:rsidR="00407584" w:rsidRPr="002208A9">
              <w:rPr>
                <w:rFonts w:ascii="Times New Roman" w:eastAsia="Times New Roman" w:hAnsi="Times New Roman" w:cs="Times New Roman"/>
                <w:szCs w:val="20"/>
                <w:lang w:eastAsia="cs-CZ"/>
              </w:rPr>
              <w:t>esouladit</w:t>
            </w:r>
            <w:proofErr w:type="spellEnd"/>
            <w:r w:rsidR="00407584" w:rsidRPr="002208A9">
              <w:rPr>
                <w:rFonts w:ascii="Times New Roman" w:eastAsia="Times New Roman" w:hAnsi="Times New Roman" w:cs="Times New Roman"/>
                <w:szCs w:val="20"/>
                <w:lang w:eastAsia="cs-CZ"/>
              </w:rPr>
              <w:t>“ je s hlavní</w:t>
            </w:r>
            <w:r w:rsidR="002208A9" w:rsidRPr="002208A9">
              <w:rPr>
                <w:rFonts w:ascii="Times New Roman" w:eastAsia="Times New Roman" w:hAnsi="Times New Roman" w:cs="Times New Roman"/>
                <w:szCs w:val="20"/>
                <w:lang w:eastAsia="cs-CZ"/>
              </w:rPr>
              <w:t>mi</w:t>
            </w:r>
            <w:r w:rsidR="00407584" w:rsidRPr="002208A9">
              <w:rPr>
                <w:rFonts w:ascii="Times New Roman" w:eastAsia="Times New Roman" w:hAnsi="Times New Roman" w:cs="Times New Roman"/>
                <w:szCs w:val="20"/>
                <w:lang w:eastAsia="cs-CZ"/>
              </w:rPr>
              <w:t xml:space="preserve"> výsledk</w:t>
            </w:r>
            <w:r w:rsidR="002208A9" w:rsidRPr="002208A9">
              <w:rPr>
                <w:rFonts w:ascii="Times New Roman" w:eastAsia="Times New Roman" w:hAnsi="Times New Roman" w:cs="Times New Roman"/>
                <w:szCs w:val="20"/>
                <w:lang w:eastAsia="cs-CZ"/>
              </w:rPr>
              <w:t>y</w:t>
            </w:r>
            <w:r w:rsidR="00407584" w:rsidRPr="002208A9">
              <w:rPr>
                <w:rFonts w:ascii="Times New Roman" w:eastAsia="Times New Roman" w:hAnsi="Times New Roman" w:cs="Times New Roman"/>
                <w:szCs w:val="20"/>
                <w:lang w:eastAsia="cs-CZ"/>
              </w:rPr>
              <w:t xml:space="preserve"> tematických cílů v </w:t>
            </w:r>
            <w:proofErr w:type="spellStart"/>
            <w:r w:rsidR="00407584" w:rsidRPr="002208A9">
              <w:rPr>
                <w:rFonts w:ascii="Times New Roman" w:eastAsia="Times New Roman" w:hAnsi="Times New Roman" w:cs="Times New Roman"/>
                <w:szCs w:val="20"/>
                <w:lang w:eastAsia="cs-CZ"/>
              </w:rPr>
              <w:t>DoP</w:t>
            </w:r>
            <w:proofErr w:type="spellEnd"/>
            <w:r w:rsidR="00407584" w:rsidRPr="002208A9">
              <w:rPr>
                <w:rFonts w:ascii="Times New Roman" w:eastAsia="Times New Roman" w:hAnsi="Times New Roman" w:cs="Times New Roman"/>
                <w:szCs w:val="20"/>
                <w:lang w:eastAsia="cs-CZ"/>
              </w:rPr>
              <w:t xml:space="preserve"> tak, aby </w:t>
            </w:r>
            <w:r w:rsidR="002208A9">
              <w:rPr>
                <w:rFonts w:ascii="Times New Roman" w:eastAsia="Times New Roman" w:hAnsi="Times New Roman" w:cs="Times New Roman"/>
                <w:szCs w:val="20"/>
                <w:lang w:eastAsia="cs-CZ"/>
              </w:rPr>
              <w:t xml:space="preserve">mezi nimi </w:t>
            </w:r>
            <w:r w:rsidR="00407584" w:rsidRPr="002208A9">
              <w:rPr>
                <w:rFonts w:ascii="Times New Roman" w:eastAsia="Times New Roman" w:hAnsi="Times New Roman" w:cs="Times New Roman"/>
                <w:szCs w:val="20"/>
                <w:lang w:eastAsia="cs-CZ"/>
              </w:rPr>
              <w:t>byla zcela zřejmá a</w:t>
            </w:r>
            <w:r w:rsidR="002208A9">
              <w:rPr>
                <w:rFonts w:ascii="Times New Roman" w:eastAsia="Times New Roman" w:hAnsi="Times New Roman" w:cs="Times New Roman"/>
                <w:szCs w:val="20"/>
                <w:lang w:eastAsia="cs-CZ"/>
              </w:rPr>
              <w:t xml:space="preserve"> jednoznačná </w:t>
            </w:r>
            <w:proofErr w:type="spellStart"/>
            <w:r w:rsidR="002208A9">
              <w:rPr>
                <w:rFonts w:ascii="Times New Roman" w:eastAsia="Times New Roman" w:hAnsi="Times New Roman" w:cs="Times New Roman"/>
                <w:szCs w:val="20"/>
                <w:lang w:eastAsia="cs-CZ"/>
              </w:rPr>
              <w:t>provazba</w:t>
            </w:r>
            <w:proofErr w:type="spellEnd"/>
            <w:r w:rsidR="002208A9">
              <w:rPr>
                <w:rFonts w:ascii="Times New Roman" w:eastAsia="Times New Roman" w:hAnsi="Times New Roman" w:cs="Times New Roman"/>
                <w:szCs w:val="20"/>
                <w:lang w:eastAsia="cs-CZ"/>
              </w:rPr>
              <w:t>.</w:t>
            </w:r>
          </w:p>
          <w:p w:rsidR="003E430E" w:rsidRPr="003E430E" w:rsidRDefault="00407584" w:rsidP="003E430E">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lastRenderedPageBreak/>
              <w:t>Hodnotitel se v této souvislosti domnívá, že není</w:t>
            </w:r>
            <w:r w:rsidRPr="00407584">
              <w:rPr>
                <w:rFonts w:ascii="Times New Roman" w:eastAsia="Times New Roman" w:hAnsi="Times New Roman" w:cs="Times New Roman"/>
                <w:szCs w:val="20"/>
                <w:lang w:eastAsia="cs-CZ"/>
              </w:rPr>
              <w:t xml:space="preserve"> zajištěna dostatečná vazba </w:t>
            </w:r>
            <w:r>
              <w:rPr>
                <w:rFonts w:ascii="Times New Roman" w:eastAsia="Times New Roman" w:hAnsi="Times New Roman" w:cs="Times New Roman"/>
                <w:szCs w:val="20"/>
                <w:lang w:eastAsia="cs-CZ"/>
              </w:rPr>
              <w:t xml:space="preserve">zejména </w:t>
            </w:r>
            <w:r w:rsidRPr="00407584">
              <w:rPr>
                <w:rFonts w:ascii="Times New Roman" w:eastAsia="Times New Roman" w:hAnsi="Times New Roman" w:cs="Times New Roman"/>
                <w:szCs w:val="20"/>
                <w:lang w:eastAsia="cs-CZ"/>
              </w:rPr>
              <w:t xml:space="preserve">specifických cílů 2.4 a 3.4 OP PIK a jejich očekávaných výsledků na hlavní výsledky </w:t>
            </w:r>
            <w:proofErr w:type="spellStart"/>
            <w:r w:rsidRPr="00407584">
              <w:rPr>
                <w:rFonts w:ascii="Times New Roman" w:eastAsia="Times New Roman" w:hAnsi="Times New Roman" w:cs="Times New Roman"/>
                <w:szCs w:val="20"/>
                <w:lang w:eastAsia="cs-CZ"/>
              </w:rPr>
              <w:t>DoP.</w:t>
            </w:r>
            <w:proofErr w:type="spellEnd"/>
          </w:p>
        </w:tc>
      </w:tr>
      <w:tr w:rsidR="00E92A93" w:rsidRPr="00DA7980" w:rsidTr="005C0ADF">
        <w:trPr>
          <w:trHeight w:val="270"/>
        </w:trPr>
        <w:tc>
          <w:tcPr>
            <w:tcW w:w="906" w:type="dxa"/>
            <w:shd w:val="clear" w:color="000000" w:fill="FDE9D9"/>
            <w:hideMark/>
          </w:tcPr>
          <w:p w:rsidR="00E92A93" w:rsidRPr="00DA7980" w:rsidRDefault="00E92A93"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lastRenderedPageBreak/>
              <w:t>04.3</w:t>
            </w:r>
          </w:p>
        </w:tc>
        <w:tc>
          <w:tcPr>
            <w:tcW w:w="2653" w:type="dxa"/>
            <w:shd w:val="clear" w:color="000000" w:fill="FDE9D9"/>
            <w:hideMark/>
          </w:tcPr>
          <w:p w:rsidR="00E92A93" w:rsidRPr="00DA7980" w:rsidRDefault="00E92A93" w:rsidP="005C0ADF">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 xml:space="preserve">Je program v souladu s relevantními strategiemi ČR? </w:t>
            </w:r>
          </w:p>
        </w:tc>
        <w:tc>
          <w:tcPr>
            <w:tcW w:w="1698" w:type="dxa"/>
            <w:shd w:val="clear" w:color="000000" w:fill="FDE9D9"/>
            <w:vAlign w:val="center"/>
            <w:hideMark/>
          </w:tcPr>
          <w:p w:rsidR="00E92A93" w:rsidRPr="00DA7980" w:rsidRDefault="00E92A93" w:rsidP="005C0ADF">
            <w:pPr>
              <w:jc w:val="center"/>
              <w:rPr>
                <w:rFonts w:ascii="Times New Roman" w:eastAsia="Times New Roman" w:hAnsi="Times New Roman" w:cs="Times New Roman"/>
                <w:bCs/>
                <w:szCs w:val="20"/>
                <w:lang w:eastAsia="cs-CZ"/>
              </w:rPr>
            </w:pPr>
            <w:r w:rsidRPr="00DA7980">
              <w:rPr>
                <w:rFonts w:ascii="Times New Roman" w:eastAsia="Times New Roman" w:hAnsi="Times New Roman" w:cs="Times New Roman"/>
                <w:bCs/>
                <w:szCs w:val="20"/>
                <w:lang w:eastAsia="cs-CZ"/>
              </w:rPr>
              <w:t>A</w:t>
            </w:r>
          </w:p>
        </w:tc>
        <w:tc>
          <w:tcPr>
            <w:tcW w:w="3972" w:type="dxa"/>
            <w:shd w:val="clear" w:color="000000" w:fill="FDE9D9"/>
            <w:hideMark/>
          </w:tcPr>
          <w:p w:rsidR="005801E1" w:rsidRPr="00DA7980" w:rsidRDefault="00C27274" w:rsidP="005801E1">
            <w:pPr>
              <w:rPr>
                <w:rFonts w:ascii="Times New Roman" w:eastAsia="Times New Roman" w:hAnsi="Times New Roman" w:cs="Times New Roman"/>
                <w:szCs w:val="20"/>
                <w:lang w:eastAsia="cs-CZ"/>
              </w:rPr>
            </w:pPr>
            <w:r w:rsidRPr="00DA7980">
              <w:rPr>
                <w:rFonts w:ascii="Times New Roman" w:eastAsia="Times New Roman" w:hAnsi="Times New Roman" w:cs="Times New Roman"/>
                <w:szCs w:val="20"/>
                <w:lang w:eastAsia="cs-CZ"/>
              </w:rPr>
              <w:t>Program je v souladu s relevantními strategiemi ČR.</w:t>
            </w:r>
          </w:p>
        </w:tc>
      </w:tr>
    </w:tbl>
    <w:p w:rsidR="005239CC" w:rsidRDefault="005239CC" w:rsidP="00FE3F36">
      <w:pPr>
        <w:tabs>
          <w:tab w:val="num" w:pos="720"/>
        </w:tabs>
        <w:spacing w:after="120"/>
        <w:rPr>
          <w:u w:val="single"/>
        </w:rPr>
      </w:pPr>
    </w:p>
    <w:p w:rsidR="00746584" w:rsidRDefault="00746584" w:rsidP="00FE3F36">
      <w:pPr>
        <w:tabs>
          <w:tab w:val="num" w:pos="720"/>
        </w:tabs>
        <w:spacing w:after="120"/>
        <w:rPr>
          <w:u w:val="single"/>
        </w:rPr>
      </w:pPr>
    </w:p>
    <w:p w:rsidR="005239CC" w:rsidRPr="00022E68" w:rsidRDefault="005239CC" w:rsidP="00FE3F36">
      <w:pPr>
        <w:tabs>
          <w:tab w:val="num" w:pos="720"/>
        </w:tabs>
        <w:spacing w:after="120"/>
        <w:rPr>
          <w:u w:val="single"/>
        </w:rPr>
      </w:pPr>
    </w:p>
    <w:p w:rsidR="00765253" w:rsidRPr="00765253" w:rsidRDefault="00765253" w:rsidP="00765253">
      <w:pPr>
        <w:tabs>
          <w:tab w:val="num" w:pos="720"/>
        </w:tabs>
        <w:spacing w:after="120"/>
      </w:pPr>
      <w:r w:rsidRPr="00765253">
        <w:t xml:space="preserve"> </w:t>
      </w:r>
    </w:p>
    <w:p w:rsidR="00765253" w:rsidRPr="00606823" w:rsidRDefault="00765253" w:rsidP="00B73E5A">
      <w:pPr>
        <w:spacing w:after="120"/>
      </w:pPr>
    </w:p>
    <w:p w:rsidR="00AD13CF" w:rsidRPr="006D4EB5" w:rsidRDefault="00AD13CF">
      <w:pPr>
        <w:rPr>
          <w:highlight w:val="yellow"/>
        </w:rPr>
      </w:pPr>
    </w:p>
    <w:p w:rsidR="00027F80" w:rsidRPr="001E7FBB" w:rsidRDefault="00004641" w:rsidP="00027F80">
      <w:pPr>
        <w:pStyle w:val="Nadpis1"/>
      </w:pPr>
      <w:bookmarkStart w:id="34" w:name="_Toc392583679"/>
      <w:r>
        <w:lastRenderedPageBreak/>
        <w:t xml:space="preserve">Shrnutí </w:t>
      </w:r>
      <w:bookmarkEnd w:id="34"/>
    </w:p>
    <w:p w:rsidR="00DB3D83" w:rsidRDefault="00DB3D83" w:rsidP="00DB3D83">
      <w:pPr>
        <w:pStyle w:val="Nadpis2"/>
      </w:pPr>
      <w:bookmarkStart w:id="35" w:name="_Toc392583680"/>
      <w:r>
        <w:t>Hlavní závěry a zjištění</w:t>
      </w:r>
      <w:bookmarkEnd w:id="35"/>
    </w:p>
    <w:p w:rsidR="00004641" w:rsidRDefault="00004641" w:rsidP="00004641">
      <w:pPr>
        <w:spacing w:after="120"/>
      </w:pPr>
      <w:r w:rsidRPr="00004641">
        <w:t xml:space="preserve">Cílem projektu </w:t>
      </w:r>
      <w:r>
        <w:t xml:space="preserve">ex-ante hodnocení Operačního programu Podnikání a inovace pro konkurenceschopnost </w:t>
      </w:r>
      <w:r w:rsidRPr="00004641">
        <w:t>20</w:t>
      </w:r>
      <w:r>
        <w:t xml:space="preserve">14 – 2020 je především </w:t>
      </w:r>
      <w:r w:rsidRPr="00004641">
        <w:t>optimalizovat alokace finančních prostředků</w:t>
      </w:r>
      <w:r>
        <w:t xml:space="preserve"> programů</w:t>
      </w:r>
      <w:r w:rsidRPr="00004641">
        <w:t>, zvýšit kvalitu programování a posoudit jeho účinnost a efekty.</w:t>
      </w:r>
    </w:p>
    <w:p w:rsidR="00004641" w:rsidRPr="00004641" w:rsidRDefault="00004641" w:rsidP="00004641">
      <w:pPr>
        <w:spacing w:after="120"/>
      </w:pPr>
      <w:r>
        <w:t xml:space="preserve">Hodnotitel </w:t>
      </w:r>
      <w:r w:rsidRPr="00004641">
        <w:t xml:space="preserve">průběžně </w:t>
      </w:r>
      <w:r>
        <w:t>posuz</w:t>
      </w:r>
      <w:r w:rsidR="00407584">
        <w:t>oval</w:t>
      </w:r>
      <w:r>
        <w:t xml:space="preserve"> </w:t>
      </w:r>
      <w:r w:rsidRPr="00004641">
        <w:t>výstupy prací řídícího orgánu na operačním programu</w:t>
      </w:r>
      <w:r>
        <w:t xml:space="preserve"> a v</w:t>
      </w:r>
      <w:r w:rsidRPr="00004641">
        <w:t>ytvář</w:t>
      </w:r>
      <w:r w:rsidR="00407584">
        <w:t>el</w:t>
      </w:r>
      <w:r>
        <w:t xml:space="preserve"> a formou průběžných zpráv a závěrečné zprávy </w:t>
      </w:r>
      <w:r w:rsidRPr="00004641">
        <w:t>prezent</w:t>
      </w:r>
      <w:r w:rsidR="00407584">
        <w:t>oval</w:t>
      </w:r>
      <w:r>
        <w:t xml:space="preserve"> </w:t>
      </w:r>
      <w:r w:rsidRPr="00004641">
        <w:t xml:space="preserve">doporučení na jejich úpravy, doplnění a změny. </w:t>
      </w:r>
    </w:p>
    <w:p w:rsidR="00DB3D83" w:rsidRDefault="00004641" w:rsidP="00004641">
      <w:pPr>
        <w:spacing w:after="120"/>
      </w:pPr>
      <w:r w:rsidRPr="00004641">
        <w:t xml:space="preserve">V rámci předběžného hodnocení </w:t>
      </w:r>
      <w:r w:rsidR="00407584">
        <w:t>byl</w:t>
      </w:r>
      <w:r w:rsidRPr="00004641">
        <w:t xml:space="preserve"> </w:t>
      </w:r>
      <w:r w:rsidR="00DB3D83">
        <w:t xml:space="preserve">hodnotitelem </w:t>
      </w:r>
      <w:r w:rsidR="00FA777F">
        <w:t>pos</w:t>
      </w:r>
      <w:r w:rsidRPr="00004641">
        <w:t>uz</w:t>
      </w:r>
      <w:r w:rsidR="00DB3D83">
        <w:t>ován zejména:</w:t>
      </w:r>
    </w:p>
    <w:p w:rsidR="00DB3D83" w:rsidRPr="00DB3D83" w:rsidRDefault="00004641" w:rsidP="00C6279B">
      <w:pPr>
        <w:pStyle w:val="Odstavecseseznamem"/>
        <w:numPr>
          <w:ilvl w:val="0"/>
          <w:numId w:val="18"/>
        </w:numPr>
        <w:spacing w:after="120"/>
        <w:rPr>
          <w:rFonts w:ascii="Tahoma" w:hAnsi="Tahoma" w:cs="Tahoma"/>
          <w:sz w:val="20"/>
          <w:szCs w:val="20"/>
        </w:rPr>
      </w:pPr>
      <w:r w:rsidRPr="00DB3D83">
        <w:rPr>
          <w:rFonts w:ascii="Tahoma" w:hAnsi="Tahoma" w:cs="Tahoma"/>
          <w:sz w:val="20"/>
          <w:szCs w:val="20"/>
        </w:rPr>
        <w:t>systém přidělování a využ</w:t>
      </w:r>
      <w:r w:rsidR="00DB3D83" w:rsidRPr="00DB3D83">
        <w:rPr>
          <w:rFonts w:ascii="Tahoma" w:hAnsi="Tahoma" w:cs="Tahoma"/>
          <w:sz w:val="20"/>
          <w:szCs w:val="20"/>
        </w:rPr>
        <w:t xml:space="preserve">ití rozpočtových zdrojů </w:t>
      </w:r>
      <w:r w:rsidRPr="00DB3D83">
        <w:rPr>
          <w:rFonts w:ascii="Tahoma" w:hAnsi="Tahoma" w:cs="Tahoma"/>
          <w:sz w:val="20"/>
          <w:szCs w:val="20"/>
        </w:rPr>
        <w:t>programu za účelem optimálního nastavení programu a</w:t>
      </w:r>
      <w:r w:rsidR="00DB3D83" w:rsidRPr="00DB3D83">
        <w:rPr>
          <w:rFonts w:ascii="Tahoma" w:hAnsi="Tahoma" w:cs="Tahoma"/>
          <w:sz w:val="20"/>
          <w:szCs w:val="20"/>
        </w:rPr>
        <w:t xml:space="preserve"> posouzení kvality programování,</w:t>
      </w:r>
    </w:p>
    <w:p w:rsidR="00DB3D83" w:rsidRPr="00DB3D83" w:rsidRDefault="00004641" w:rsidP="00C6279B">
      <w:pPr>
        <w:pStyle w:val="Odstavecseseznamem"/>
        <w:numPr>
          <w:ilvl w:val="0"/>
          <w:numId w:val="18"/>
        </w:numPr>
        <w:spacing w:after="120"/>
        <w:rPr>
          <w:rFonts w:ascii="Tahoma" w:hAnsi="Tahoma" w:cs="Tahoma"/>
          <w:sz w:val="20"/>
          <w:szCs w:val="20"/>
        </w:rPr>
      </w:pPr>
      <w:r w:rsidRPr="00DB3D83">
        <w:rPr>
          <w:rFonts w:ascii="Tahoma" w:hAnsi="Tahoma" w:cs="Tahoma"/>
          <w:sz w:val="20"/>
          <w:szCs w:val="20"/>
        </w:rPr>
        <w:t>navržen</w:t>
      </w:r>
      <w:r w:rsidR="00DB3D83" w:rsidRPr="00DB3D83">
        <w:rPr>
          <w:rFonts w:ascii="Tahoma" w:hAnsi="Tahoma" w:cs="Tahoma"/>
          <w:sz w:val="20"/>
          <w:szCs w:val="20"/>
        </w:rPr>
        <w:t>á</w:t>
      </w:r>
      <w:r w:rsidRPr="00DB3D83">
        <w:rPr>
          <w:rFonts w:ascii="Tahoma" w:hAnsi="Tahoma" w:cs="Tahoma"/>
          <w:sz w:val="20"/>
          <w:szCs w:val="20"/>
        </w:rPr>
        <w:t xml:space="preserve"> strategie</w:t>
      </w:r>
      <w:r w:rsidR="00DB3D83" w:rsidRPr="00DB3D83">
        <w:rPr>
          <w:rFonts w:ascii="Tahoma" w:hAnsi="Tahoma" w:cs="Tahoma"/>
          <w:sz w:val="20"/>
          <w:szCs w:val="20"/>
        </w:rPr>
        <w:t xml:space="preserve"> včetně </w:t>
      </w:r>
      <w:r w:rsidRPr="00DB3D83">
        <w:rPr>
          <w:rFonts w:ascii="Tahoma" w:hAnsi="Tahoma" w:cs="Tahoma"/>
          <w:sz w:val="20"/>
          <w:szCs w:val="20"/>
        </w:rPr>
        <w:t xml:space="preserve">zohlednění priorit Evropské unie, </w:t>
      </w:r>
    </w:p>
    <w:p w:rsidR="00DB3D83" w:rsidRPr="00DB3D83" w:rsidRDefault="00004641" w:rsidP="00C6279B">
      <w:pPr>
        <w:pStyle w:val="Odstavecseseznamem"/>
        <w:numPr>
          <w:ilvl w:val="0"/>
          <w:numId w:val="18"/>
        </w:numPr>
        <w:spacing w:after="120"/>
        <w:rPr>
          <w:rFonts w:ascii="Tahoma" w:hAnsi="Tahoma" w:cs="Tahoma"/>
          <w:sz w:val="20"/>
          <w:szCs w:val="20"/>
        </w:rPr>
      </w:pPr>
      <w:r w:rsidRPr="00DB3D83">
        <w:rPr>
          <w:rFonts w:ascii="Tahoma" w:hAnsi="Tahoma" w:cs="Tahoma"/>
          <w:sz w:val="20"/>
          <w:szCs w:val="20"/>
        </w:rPr>
        <w:t>kvalit</w:t>
      </w:r>
      <w:r w:rsidR="00DB3D83" w:rsidRPr="00DB3D83">
        <w:rPr>
          <w:rFonts w:ascii="Tahoma" w:hAnsi="Tahoma" w:cs="Tahoma"/>
          <w:sz w:val="20"/>
          <w:szCs w:val="20"/>
        </w:rPr>
        <w:t>a</w:t>
      </w:r>
      <w:r w:rsidRPr="00DB3D83">
        <w:rPr>
          <w:rFonts w:ascii="Tahoma" w:hAnsi="Tahoma" w:cs="Tahoma"/>
          <w:sz w:val="20"/>
          <w:szCs w:val="20"/>
        </w:rPr>
        <w:t xml:space="preserve"> navržených postupů pro implementaci, monitorování, hodnocení a řízení programu,</w:t>
      </w:r>
    </w:p>
    <w:p w:rsidR="00294380" w:rsidRDefault="00004641" w:rsidP="00C6279B">
      <w:pPr>
        <w:pStyle w:val="Odstavecseseznamem"/>
        <w:numPr>
          <w:ilvl w:val="0"/>
          <w:numId w:val="18"/>
        </w:numPr>
        <w:spacing w:after="120"/>
        <w:rPr>
          <w:rFonts w:ascii="Tahoma" w:hAnsi="Tahoma" w:cs="Tahoma"/>
          <w:sz w:val="20"/>
          <w:szCs w:val="20"/>
        </w:rPr>
      </w:pPr>
      <w:r w:rsidRPr="00294380">
        <w:rPr>
          <w:rFonts w:ascii="Tahoma" w:hAnsi="Tahoma" w:cs="Tahoma"/>
          <w:sz w:val="20"/>
          <w:szCs w:val="20"/>
        </w:rPr>
        <w:t>synergické efekty jednotlivých opatření v rámci daného operačního programu a synergické efekty s dalšími programy pro programovací období 2014 – 2020</w:t>
      </w:r>
      <w:r w:rsidR="00DB3D83" w:rsidRPr="00294380">
        <w:rPr>
          <w:rFonts w:ascii="Tahoma" w:hAnsi="Tahoma" w:cs="Tahoma"/>
          <w:sz w:val="20"/>
          <w:szCs w:val="20"/>
        </w:rPr>
        <w:t xml:space="preserve"> a </w:t>
      </w:r>
      <w:r w:rsidRPr="00294380">
        <w:rPr>
          <w:rFonts w:ascii="Tahoma" w:hAnsi="Tahoma" w:cs="Tahoma"/>
          <w:sz w:val="20"/>
          <w:szCs w:val="20"/>
        </w:rPr>
        <w:t>případné překryvy mezi těmito programy</w:t>
      </w:r>
      <w:r w:rsidR="00294380">
        <w:rPr>
          <w:rFonts w:ascii="Tahoma" w:hAnsi="Tahoma" w:cs="Tahoma"/>
          <w:sz w:val="20"/>
          <w:szCs w:val="20"/>
        </w:rPr>
        <w:t>,</w:t>
      </w:r>
      <w:r w:rsidR="00294380" w:rsidRPr="00294380">
        <w:rPr>
          <w:rFonts w:ascii="Tahoma" w:hAnsi="Tahoma" w:cs="Tahoma"/>
          <w:sz w:val="20"/>
          <w:szCs w:val="20"/>
        </w:rPr>
        <w:t xml:space="preserve"> </w:t>
      </w:r>
    </w:p>
    <w:p w:rsidR="00294380" w:rsidRDefault="00DB3D83" w:rsidP="00C6279B">
      <w:pPr>
        <w:pStyle w:val="Odstavecseseznamem"/>
        <w:numPr>
          <w:ilvl w:val="0"/>
          <w:numId w:val="18"/>
        </w:numPr>
        <w:spacing w:after="120"/>
        <w:rPr>
          <w:rFonts w:ascii="Tahoma" w:hAnsi="Tahoma" w:cs="Tahoma"/>
          <w:sz w:val="20"/>
          <w:szCs w:val="20"/>
        </w:rPr>
      </w:pPr>
      <w:r w:rsidRPr="00294380">
        <w:rPr>
          <w:rFonts w:ascii="Tahoma" w:hAnsi="Tahoma" w:cs="Tahoma"/>
          <w:sz w:val="20"/>
          <w:szCs w:val="20"/>
        </w:rPr>
        <w:t>návrh indikátorové soustavy</w:t>
      </w:r>
      <w:r w:rsidR="00294380">
        <w:rPr>
          <w:rFonts w:ascii="Tahoma" w:hAnsi="Tahoma" w:cs="Tahoma"/>
          <w:sz w:val="20"/>
          <w:szCs w:val="20"/>
        </w:rPr>
        <w:t xml:space="preserve"> a také</w:t>
      </w:r>
    </w:p>
    <w:p w:rsidR="00004641" w:rsidRPr="00294380" w:rsidRDefault="00DB3D83" w:rsidP="00C6279B">
      <w:pPr>
        <w:pStyle w:val="Odstavecseseznamem"/>
        <w:numPr>
          <w:ilvl w:val="0"/>
          <w:numId w:val="18"/>
        </w:numPr>
        <w:spacing w:after="120"/>
        <w:rPr>
          <w:rFonts w:ascii="Tahoma" w:hAnsi="Tahoma" w:cs="Tahoma"/>
          <w:sz w:val="20"/>
          <w:szCs w:val="20"/>
        </w:rPr>
      </w:pPr>
      <w:r w:rsidRPr="00294380">
        <w:rPr>
          <w:rFonts w:ascii="Tahoma" w:hAnsi="Tahoma" w:cs="Tahoma"/>
          <w:sz w:val="20"/>
          <w:szCs w:val="20"/>
        </w:rPr>
        <w:t>návrh</w:t>
      </w:r>
      <w:r w:rsidR="00294380">
        <w:rPr>
          <w:rFonts w:ascii="Tahoma" w:hAnsi="Tahoma" w:cs="Tahoma"/>
          <w:sz w:val="20"/>
          <w:szCs w:val="20"/>
        </w:rPr>
        <w:t>y</w:t>
      </w:r>
      <w:r w:rsidRPr="00294380">
        <w:rPr>
          <w:rFonts w:ascii="Tahoma" w:hAnsi="Tahoma" w:cs="Tahoma"/>
          <w:sz w:val="20"/>
          <w:szCs w:val="20"/>
        </w:rPr>
        <w:t xml:space="preserve"> </w:t>
      </w:r>
      <w:r w:rsidR="00004641" w:rsidRPr="00294380">
        <w:rPr>
          <w:rFonts w:ascii="Tahoma" w:hAnsi="Tahoma" w:cs="Tahoma"/>
          <w:sz w:val="20"/>
          <w:szCs w:val="20"/>
        </w:rPr>
        <w:t>očekávaných výsledků a milníků včetně jejich věcného nastavení a hodnot.</w:t>
      </w:r>
    </w:p>
    <w:p w:rsidR="00DB3D83" w:rsidRDefault="00DB3D83" w:rsidP="00004641">
      <w:pPr>
        <w:spacing w:after="120"/>
      </w:pPr>
    </w:p>
    <w:p w:rsidR="001F0E81" w:rsidRDefault="001F0E81" w:rsidP="001F0E81">
      <w:pPr>
        <w:spacing w:after="120"/>
      </w:pPr>
      <w:r w:rsidRPr="00004641">
        <w:t xml:space="preserve">Na základě </w:t>
      </w:r>
      <w:r>
        <w:t>provedeného rozboru textu</w:t>
      </w:r>
      <w:r w:rsidRPr="00056A5F">
        <w:t xml:space="preserve"> </w:t>
      </w:r>
      <w:r w:rsidR="00407584">
        <w:t>předmětné pracovní</w:t>
      </w:r>
      <w:r w:rsidRPr="00056A5F">
        <w:t xml:space="preserve"> verze OP PIK</w:t>
      </w:r>
      <w:r w:rsidR="00407584">
        <w:t xml:space="preserve"> (</w:t>
      </w:r>
      <w:proofErr w:type="spellStart"/>
      <w:r w:rsidR="00407584">
        <w:t>ver</w:t>
      </w:r>
      <w:proofErr w:type="spellEnd"/>
      <w:r w:rsidR="00407584">
        <w:t>. 7-2)</w:t>
      </w:r>
      <w:r w:rsidRPr="00056A5F">
        <w:t xml:space="preserve"> a s ohledem na evaluační okruhy dospěl hodnotitel k </w:t>
      </w:r>
      <w:r w:rsidRPr="00056A5F">
        <w:rPr>
          <w:b/>
        </w:rPr>
        <w:t>následujícím zjištěním a závěrům</w:t>
      </w:r>
      <w:r w:rsidRPr="00056A5F">
        <w:t xml:space="preserve"> ve vazbě na hlavní prvky předběžného hodnocení programu dle čl. 55 Obecného nařízení</w:t>
      </w:r>
      <w:r w:rsidRPr="00694648">
        <w:t>:</w:t>
      </w:r>
    </w:p>
    <w:tbl>
      <w:tblPr>
        <w:tblStyle w:val="Mkatabulky"/>
        <w:tblW w:w="0" w:type="auto"/>
        <w:tblLook w:val="04A0"/>
      </w:tblPr>
      <w:tblGrid>
        <w:gridCol w:w="9210"/>
      </w:tblGrid>
      <w:tr w:rsidR="00AD213E" w:rsidTr="00E05225">
        <w:tc>
          <w:tcPr>
            <w:tcW w:w="9210" w:type="dxa"/>
          </w:tcPr>
          <w:p w:rsidR="00AD213E" w:rsidRPr="00CC69F2" w:rsidRDefault="00AD213E" w:rsidP="00C6279B">
            <w:pPr>
              <w:numPr>
                <w:ilvl w:val="0"/>
                <w:numId w:val="22"/>
              </w:numPr>
              <w:spacing w:after="120"/>
              <w:rPr>
                <w:rFonts w:eastAsia="Calibri" w:cs="Times New Roman"/>
                <w:i/>
              </w:rPr>
            </w:pPr>
            <w:r w:rsidRPr="00CC69F2">
              <w:rPr>
                <w:rFonts w:eastAsia="Calibri" w:cs="Times New Roman"/>
                <w:i/>
              </w:rPr>
              <w:t>Příspěvek programu ke strategii Evropské unie pro inteligentní a udržitelný růst podporující začlenění s ohledem na zvolené tematické cíle a priority a při zohlednění vnitrostátních a regionálních potřeb a potenciálu rozvoje a s přihlédnutím ke zkušenostem s implementací předchozích programovacích období</w:t>
            </w:r>
          </w:p>
          <w:p w:rsidR="00AD213E" w:rsidRPr="00CC69F2" w:rsidRDefault="00AD213E" w:rsidP="00E05225">
            <w:pPr>
              <w:spacing w:after="120"/>
              <w:ind w:left="360"/>
              <w:rPr>
                <w:rFonts w:eastAsia="Calibri" w:cs="Times New Roman"/>
              </w:rPr>
            </w:pPr>
            <w:r w:rsidRPr="00CC69F2">
              <w:rPr>
                <w:rFonts w:eastAsia="Calibri" w:cs="Times New Roman"/>
              </w:rPr>
              <w:t>Hodnotitel konstatuje, že strategie OP PIK je pojata tak, aby prostřednictvím specifických cílů reagovala na všechny relevantní problémy, potřeby rozvoje, priority financování a hlavní výsledky Dohody o partnerství, která je zastřešujícím dokumentem pro programy financované z ESIF v České republice v programov</w:t>
            </w:r>
            <w:r>
              <w:rPr>
                <w:rFonts w:eastAsia="Calibri" w:cs="Times New Roman"/>
              </w:rPr>
              <w:t>acím období 2014</w:t>
            </w:r>
            <w:r w:rsidRPr="00CC69F2">
              <w:rPr>
                <w:rFonts w:eastAsia="Calibri" w:cs="Times New Roman"/>
              </w:rPr>
              <w:t xml:space="preserve">-2020. Hodnotitel v této souvislosti zdůrazňuje potřebu zaměřit (koncentrovat) program na podporu klíčových aktivit, jejichž realizace bude nejvíce přispívat k naplňování relevantních evropských a národních cílů v rámci strategii Evropa 2020: </w:t>
            </w:r>
          </w:p>
          <w:p w:rsidR="00AD213E" w:rsidRPr="00CC69F2" w:rsidRDefault="00AD213E" w:rsidP="00C6279B">
            <w:pPr>
              <w:pStyle w:val="Odstavecseseznamem"/>
              <w:numPr>
                <w:ilvl w:val="0"/>
                <w:numId w:val="23"/>
              </w:numPr>
              <w:spacing w:after="120"/>
              <w:jc w:val="both"/>
              <w:rPr>
                <w:rFonts w:ascii="Tahoma" w:eastAsia="Calibri" w:hAnsi="Tahoma" w:cs="Tahoma"/>
                <w:sz w:val="20"/>
                <w:szCs w:val="20"/>
              </w:rPr>
            </w:pPr>
            <w:r w:rsidRPr="00CC69F2">
              <w:rPr>
                <w:rFonts w:ascii="Tahoma" w:eastAsia="Calibri" w:hAnsi="Tahoma" w:cs="Tahoma"/>
                <w:sz w:val="20"/>
                <w:szCs w:val="20"/>
              </w:rPr>
              <w:t xml:space="preserve">posílení investic do </w:t>
            </w:r>
            <w:proofErr w:type="spellStart"/>
            <w:r w:rsidRPr="00CC69F2">
              <w:rPr>
                <w:rFonts w:ascii="Tahoma" w:eastAsia="Calibri" w:hAnsi="Tahoma" w:cs="Tahoma"/>
                <w:sz w:val="20"/>
                <w:szCs w:val="20"/>
              </w:rPr>
              <w:t>VVaI</w:t>
            </w:r>
            <w:proofErr w:type="spellEnd"/>
            <w:r w:rsidRPr="00CC69F2">
              <w:rPr>
                <w:rFonts w:ascii="Tahoma" w:eastAsia="Calibri" w:hAnsi="Tahoma" w:cs="Tahoma"/>
                <w:sz w:val="20"/>
                <w:szCs w:val="20"/>
              </w:rPr>
              <w:t>,</w:t>
            </w:r>
          </w:p>
          <w:p w:rsidR="00AD213E" w:rsidRPr="00CC69F2" w:rsidRDefault="00AD213E" w:rsidP="00C6279B">
            <w:pPr>
              <w:pStyle w:val="Odstavecseseznamem"/>
              <w:numPr>
                <w:ilvl w:val="0"/>
                <w:numId w:val="23"/>
              </w:numPr>
              <w:spacing w:after="120"/>
              <w:jc w:val="both"/>
              <w:rPr>
                <w:rFonts w:ascii="Tahoma" w:eastAsia="Calibri" w:hAnsi="Tahoma" w:cs="Tahoma"/>
                <w:sz w:val="20"/>
                <w:szCs w:val="20"/>
              </w:rPr>
            </w:pPr>
            <w:r w:rsidRPr="00CC69F2">
              <w:rPr>
                <w:rFonts w:ascii="Tahoma" w:eastAsia="Calibri" w:hAnsi="Tahoma" w:cs="Tahoma"/>
                <w:sz w:val="20"/>
                <w:szCs w:val="20"/>
              </w:rPr>
              <w:t xml:space="preserve">další zvyšování energetické účinnosti v průmyslu a </w:t>
            </w:r>
            <w:r>
              <w:rPr>
                <w:rFonts w:ascii="Tahoma" w:eastAsia="Calibri" w:hAnsi="Tahoma" w:cs="Tahoma"/>
                <w:sz w:val="20"/>
                <w:szCs w:val="20"/>
              </w:rPr>
              <w:t>dosažení změn</w:t>
            </w:r>
            <w:r w:rsidRPr="00CC69F2">
              <w:rPr>
                <w:rFonts w:ascii="Tahoma" w:eastAsia="Calibri" w:hAnsi="Tahoma" w:cs="Tahoma"/>
                <w:sz w:val="20"/>
                <w:szCs w:val="20"/>
              </w:rPr>
              <w:t xml:space="preserve"> v energetickém mixu</w:t>
            </w:r>
            <w:r>
              <w:rPr>
                <w:rFonts w:ascii="Tahoma" w:eastAsia="Calibri" w:hAnsi="Tahoma" w:cs="Tahoma"/>
                <w:sz w:val="20"/>
                <w:szCs w:val="20"/>
              </w:rPr>
              <w:t xml:space="preserve"> ČR</w:t>
            </w:r>
            <w:r w:rsidRPr="00CC69F2">
              <w:rPr>
                <w:rFonts w:ascii="Tahoma" w:eastAsia="Calibri" w:hAnsi="Tahoma" w:cs="Tahoma"/>
                <w:sz w:val="20"/>
                <w:szCs w:val="20"/>
              </w:rPr>
              <w:t xml:space="preserve">, </w:t>
            </w:r>
          </w:p>
          <w:p w:rsidR="00AD213E" w:rsidRPr="00CC69F2" w:rsidRDefault="00AD213E" w:rsidP="00C6279B">
            <w:pPr>
              <w:pStyle w:val="Odstavecseseznamem"/>
              <w:numPr>
                <w:ilvl w:val="0"/>
                <w:numId w:val="23"/>
              </w:numPr>
              <w:spacing w:after="120"/>
              <w:jc w:val="both"/>
              <w:rPr>
                <w:rFonts w:ascii="Tahoma" w:eastAsia="Calibri" w:hAnsi="Tahoma" w:cs="Tahoma"/>
                <w:sz w:val="20"/>
                <w:szCs w:val="20"/>
              </w:rPr>
            </w:pPr>
            <w:r w:rsidRPr="00CC69F2">
              <w:rPr>
                <w:rFonts w:ascii="Tahoma" w:eastAsia="Calibri" w:hAnsi="Tahoma" w:cs="Tahoma"/>
                <w:sz w:val="20"/>
                <w:szCs w:val="20"/>
              </w:rPr>
              <w:t>rozvoj digitální společnosti a také</w:t>
            </w:r>
          </w:p>
          <w:p w:rsidR="00AD213E" w:rsidRPr="00CC69F2" w:rsidRDefault="00AD213E" w:rsidP="00C6279B">
            <w:pPr>
              <w:pStyle w:val="Odstavecseseznamem"/>
              <w:numPr>
                <w:ilvl w:val="0"/>
                <w:numId w:val="23"/>
              </w:numPr>
              <w:spacing w:after="120"/>
              <w:jc w:val="both"/>
              <w:rPr>
                <w:rFonts w:ascii="Tahoma" w:eastAsia="Calibri" w:hAnsi="Tahoma" w:cs="Tahoma"/>
                <w:sz w:val="20"/>
                <w:szCs w:val="20"/>
              </w:rPr>
            </w:pPr>
            <w:r w:rsidRPr="00CC69F2">
              <w:rPr>
                <w:rFonts w:ascii="Tahoma" w:eastAsia="Calibri" w:hAnsi="Tahoma" w:cs="Tahoma"/>
                <w:sz w:val="20"/>
                <w:szCs w:val="20"/>
              </w:rPr>
              <w:t xml:space="preserve">zvyšování zaměstnanosti prostřednictvím tvorby pracovních míst v podnikatelském sektoru.  </w:t>
            </w:r>
          </w:p>
          <w:p w:rsidR="00AD213E" w:rsidRPr="00CC69F2" w:rsidRDefault="00AD213E" w:rsidP="00407584">
            <w:pPr>
              <w:spacing w:after="120"/>
              <w:ind w:left="360"/>
              <w:rPr>
                <w:rFonts w:eastAsia="Calibri" w:cs="Times New Roman"/>
              </w:rPr>
            </w:pPr>
            <w:r w:rsidRPr="00CC69F2">
              <w:rPr>
                <w:rFonts w:eastAsia="Calibri" w:cs="Times New Roman"/>
              </w:rPr>
              <w:t xml:space="preserve">Hodnotitel konstatuje, že strategie programu vhodným způsobem zohledňuje potřeby identifikované v hlavních sektorových strategiích ČR. Ve vztahu k regionálním potřebám se OP PIK opírá především o Strategii regionálního rozvoje ČR a Strategii inteligentní specializace ČR („RIS3“). </w:t>
            </w:r>
            <w:r>
              <w:rPr>
                <w:rFonts w:eastAsia="Calibri" w:cs="Times New Roman"/>
              </w:rPr>
              <w:t>D</w:t>
            </w:r>
            <w:r w:rsidRPr="00CC69F2">
              <w:rPr>
                <w:rFonts w:eastAsia="Calibri" w:cs="Times New Roman"/>
              </w:rPr>
              <w:t>le názoru hodnotitele</w:t>
            </w:r>
            <w:r>
              <w:rPr>
                <w:rFonts w:eastAsia="Calibri" w:cs="Times New Roman"/>
              </w:rPr>
              <w:t xml:space="preserve"> by</w:t>
            </w:r>
            <w:r w:rsidRPr="00CC69F2">
              <w:rPr>
                <w:rFonts w:eastAsia="Calibri" w:cs="Times New Roman"/>
              </w:rPr>
              <w:t xml:space="preserve"> bylo vhodné</w:t>
            </w:r>
            <w:r>
              <w:rPr>
                <w:rFonts w:eastAsia="Calibri" w:cs="Times New Roman"/>
              </w:rPr>
              <w:t xml:space="preserve"> v této souvislosti</w:t>
            </w:r>
            <w:r w:rsidRPr="00CC69F2">
              <w:rPr>
                <w:rFonts w:eastAsia="Calibri" w:cs="Times New Roman"/>
              </w:rPr>
              <w:t xml:space="preserve"> více zdůraznit, </w:t>
            </w:r>
            <w:r>
              <w:rPr>
                <w:rFonts w:eastAsia="Calibri" w:cs="Times New Roman"/>
              </w:rPr>
              <w:t>jaké jsou priority</w:t>
            </w:r>
            <w:r w:rsidRPr="00CC69F2">
              <w:rPr>
                <w:rFonts w:eastAsia="Calibri" w:cs="Times New Roman"/>
              </w:rPr>
              <w:t xml:space="preserve"> v územní dimenzi z </w:t>
            </w:r>
            <w:r>
              <w:rPr>
                <w:rFonts w:eastAsia="Calibri" w:cs="Times New Roman"/>
              </w:rPr>
              <w:t>pohledu</w:t>
            </w:r>
            <w:r w:rsidRPr="00CC69F2">
              <w:rPr>
                <w:rFonts w:eastAsia="Calibri" w:cs="Times New Roman"/>
              </w:rPr>
              <w:t xml:space="preserve"> OP PIK</w:t>
            </w:r>
            <w:r w:rsidR="00407584">
              <w:rPr>
                <w:rFonts w:eastAsia="Calibri" w:cs="Times New Roman"/>
              </w:rPr>
              <w:t>.</w:t>
            </w:r>
          </w:p>
        </w:tc>
      </w:tr>
      <w:tr w:rsidR="00AD213E" w:rsidTr="00E05225">
        <w:tc>
          <w:tcPr>
            <w:tcW w:w="9210" w:type="dxa"/>
          </w:tcPr>
          <w:p w:rsidR="00AD213E" w:rsidRPr="00694648" w:rsidRDefault="00AD213E" w:rsidP="00C6279B">
            <w:pPr>
              <w:numPr>
                <w:ilvl w:val="0"/>
                <w:numId w:val="22"/>
              </w:numPr>
              <w:spacing w:after="120"/>
              <w:rPr>
                <w:rFonts w:eastAsia="Calibri" w:cs="Times New Roman"/>
                <w:i/>
              </w:rPr>
            </w:pPr>
            <w:r w:rsidRPr="00694648">
              <w:rPr>
                <w:rFonts w:eastAsia="Calibri" w:cs="Times New Roman"/>
                <w:i/>
              </w:rPr>
              <w:t>Vnitřní soudržnost navrhovaného programu a jeho vazba na další relevantní nástroje</w:t>
            </w:r>
          </w:p>
          <w:p w:rsidR="00AD213E" w:rsidRPr="00241405" w:rsidRDefault="00AD213E" w:rsidP="00E05225">
            <w:pPr>
              <w:spacing w:after="120"/>
              <w:ind w:left="360"/>
              <w:rPr>
                <w:rFonts w:eastAsia="Calibri" w:cs="Times New Roman"/>
              </w:rPr>
            </w:pPr>
            <w:r w:rsidRPr="0014709B">
              <w:rPr>
                <w:rFonts w:eastAsia="Calibri" w:cs="Times New Roman"/>
              </w:rPr>
              <w:t>OP PIK lze považovat za vnitřně koherentní. Má poměrně jasný nosný spojující společný prvek definovaných problémů, kterým je konkurenceschopnost a udržitelnost české ekonomiky. Prioritní osy se zaměřují na hlavní příčiny problémů, které je možné řešit intervencemi fondů ESIF</w:t>
            </w:r>
            <w:r>
              <w:rPr>
                <w:rFonts w:eastAsia="Calibri" w:cs="Times New Roman"/>
              </w:rPr>
              <w:t>,</w:t>
            </w:r>
            <w:r w:rsidRPr="0014709B">
              <w:rPr>
                <w:rFonts w:eastAsia="Calibri" w:cs="Times New Roman"/>
              </w:rPr>
              <w:t xml:space="preserve"> a </w:t>
            </w:r>
            <w:r>
              <w:rPr>
                <w:rFonts w:eastAsia="Calibri" w:cs="Times New Roman"/>
              </w:rPr>
              <w:t xml:space="preserve">lze </w:t>
            </w:r>
            <w:r>
              <w:rPr>
                <w:rFonts w:eastAsia="Calibri" w:cs="Times New Roman"/>
              </w:rPr>
              <w:lastRenderedPageBreak/>
              <w:t>předpokládat, že přispějí k</w:t>
            </w:r>
            <w:r w:rsidRPr="0014709B">
              <w:rPr>
                <w:rFonts w:eastAsia="Calibri" w:cs="Times New Roman"/>
              </w:rPr>
              <w:t xml:space="preserve"> naplnění </w:t>
            </w:r>
            <w:r>
              <w:rPr>
                <w:rFonts w:eastAsia="Calibri" w:cs="Times New Roman"/>
              </w:rPr>
              <w:t>relevantních hlavních strategických cílů ČR pro programovací období 2014-2020.</w:t>
            </w:r>
            <w:r w:rsidRPr="0014709B">
              <w:rPr>
                <w:rFonts w:eastAsia="Calibri" w:cs="Times New Roman"/>
              </w:rPr>
              <w:t xml:space="preserve"> </w:t>
            </w:r>
            <w:r>
              <w:rPr>
                <w:rFonts w:eastAsia="Calibri" w:cs="Times New Roman"/>
              </w:rPr>
              <w:t>V</w:t>
            </w:r>
            <w:r w:rsidRPr="00E5294D">
              <w:rPr>
                <w:rFonts w:eastAsia="Calibri" w:cs="Times New Roman"/>
              </w:rPr>
              <w:t xml:space="preserve"> obecné rovině lze </w:t>
            </w:r>
            <w:r>
              <w:rPr>
                <w:rFonts w:eastAsia="Calibri" w:cs="Times New Roman"/>
              </w:rPr>
              <w:t xml:space="preserve">zároveň </w:t>
            </w:r>
            <w:r w:rsidRPr="00E5294D">
              <w:rPr>
                <w:rFonts w:eastAsia="Calibri" w:cs="Times New Roman"/>
              </w:rPr>
              <w:t>konstatovat, že specifické cíle programu</w:t>
            </w:r>
            <w:r>
              <w:rPr>
                <w:rFonts w:eastAsia="Calibri" w:cs="Times New Roman"/>
              </w:rPr>
              <w:t xml:space="preserve">, resp. </w:t>
            </w:r>
            <w:r w:rsidRPr="00241405">
              <w:rPr>
                <w:rFonts w:eastAsia="Calibri" w:cs="Times New Roman"/>
              </w:rPr>
              <w:t>podporované aktivity jsou koncipovány tak, aby byl respektován princip podpory fungujícího trhu.</w:t>
            </w:r>
          </w:p>
          <w:p w:rsidR="00AD213E" w:rsidRPr="008A65B9" w:rsidRDefault="00AD213E" w:rsidP="00E05225">
            <w:pPr>
              <w:spacing w:after="120"/>
              <w:ind w:left="360"/>
              <w:rPr>
                <w:rFonts w:eastAsia="Calibri" w:cs="Times New Roman"/>
              </w:rPr>
            </w:pPr>
            <w:r w:rsidRPr="008A65B9">
              <w:rPr>
                <w:rFonts w:eastAsia="Calibri" w:cs="Times New Roman"/>
              </w:rPr>
              <w:t>Hodnotitel eviduje rozdíly mezi jednotlivými specifickými cíli OP PIK, co se týká jejich konkrétnosti a tím i měřitelnosti. Za velmi konkrétně formulované lze považovat specifické cíle 2.1 a 3.1, které již přímo ve svém názvu obsahují měřitelný parametr (počet, podíl).</w:t>
            </w:r>
          </w:p>
          <w:p w:rsidR="00AD213E" w:rsidRPr="008A65B9" w:rsidRDefault="00AD213E" w:rsidP="00E05225">
            <w:pPr>
              <w:spacing w:after="120"/>
              <w:ind w:left="360"/>
              <w:rPr>
                <w:rFonts w:eastAsia="Calibri" w:cs="Times New Roman"/>
              </w:rPr>
            </w:pPr>
            <w:r w:rsidRPr="008A65B9">
              <w:rPr>
                <w:rFonts w:eastAsia="Calibri" w:cs="Times New Roman"/>
              </w:rPr>
              <w:t xml:space="preserve">Přijatelným způsobem jsou z pohledu konkrétnosti formulovány specifické cíle 1.1, 1.2, 2.2, </w:t>
            </w:r>
            <w:r w:rsidR="008A65B9" w:rsidRPr="008A65B9">
              <w:rPr>
                <w:rFonts w:eastAsia="Calibri" w:cs="Times New Roman"/>
              </w:rPr>
              <w:t xml:space="preserve">2.3, </w:t>
            </w:r>
            <w:r w:rsidRPr="008A65B9">
              <w:rPr>
                <w:rFonts w:eastAsia="Calibri" w:cs="Times New Roman"/>
              </w:rPr>
              <w:t>3.2, 3.5, 3.6</w:t>
            </w:r>
            <w:r w:rsidR="006F78B5">
              <w:rPr>
                <w:rFonts w:eastAsia="Calibri" w:cs="Times New Roman"/>
              </w:rPr>
              <w:t xml:space="preserve">, </w:t>
            </w:r>
            <w:r w:rsidRPr="008A65B9">
              <w:rPr>
                <w:rFonts w:eastAsia="Calibri" w:cs="Times New Roman"/>
              </w:rPr>
              <w:t>4.1</w:t>
            </w:r>
            <w:r w:rsidR="006F78B5">
              <w:rPr>
                <w:rFonts w:eastAsia="Calibri" w:cs="Times New Roman"/>
              </w:rPr>
              <w:t>, 5,1 a 5.2</w:t>
            </w:r>
            <w:r w:rsidRPr="008A65B9">
              <w:rPr>
                <w:rFonts w:eastAsia="Calibri" w:cs="Times New Roman"/>
              </w:rPr>
              <w:t>. Za předpokladu použití vhodných ukazatelů lze tyto specifické cíle považovat za relativně dobře měřitelné.</w:t>
            </w:r>
          </w:p>
          <w:p w:rsidR="00AD213E" w:rsidRPr="00241405" w:rsidRDefault="00AD213E" w:rsidP="00E05225">
            <w:pPr>
              <w:spacing w:after="120"/>
              <w:ind w:left="360"/>
              <w:rPr>
                <w:rFonts w:eastAsia="Calibri" w:cs="Times New Roman"/>
              </w:rPr>
            </w:pPr>
            <w:r w:rsidRPr="008A65B9">
              <w:rPr>
                <w:rFonts w:eastAsia="Calibri" w:cs="Times New Roman"/>
              </w:rPr>
              <w:t>Za poněkud problematické z pohledu konkrétnosti považuje hodnotitel formulované specifické cíle 2.4, 3.3, 3.4</w:t>
            </w:r>
            <w:r w:rsidR="006F78B5">
              <w:rPr>
                <w:rFonts w:eastAsia="Calibri" w:cs="Times New Roman"/>
              </w:rPr>
              <w:t xml:space="preserve"> a</w:t>
            </w:r>
            <w:r w:rsidRPr="008A65B9">
              <w:rPr>
                <w:rFonts w:eastAsia="Calibri" w:cs="Times New Roman"/>
              </w:rPr>
              <w:t xml:space="preserve"> 4.2. U těchto specifických cílů doporučuje hodnotitel jejich zpřesnění.</w:t>
            </w:r>
            <w:r w:rsidRPr="00241405">
              <w:rPr>
                <w:rFonts w:eastAsia="Calibri" w:cs="Times New Roman"/>
              </w:rPr>
              <w:t xml:space="preserve"> </w:t>
            </w:r>
          </w:p>
          <w:p w:rsidR="00AD213E" w:rsidRPr="0014709B" w:rsidRDefault="00AD213E" w:rsidP="00E05225">
            <w:pPr>
              <w:spacing w:after="120"/>
              <w:ind w:left="360"/>
              <w:rPr>
                <w:rFonts w:eastAsia="Calibri" w:cs="Times New Roman"/>
              </w:rPr>
            </w:pPr>
            <w:r w:rsidRPr="00241405">
              <w:rPr>
                <w:rFonts w:eastAsia="Calibri" w:cs="Times New Roman"/>
              </w:rPr>
              <w:t xml:space="preserve">Co se týká dosažitelnosti specifických cílů OP PIK, je zřejmé, že nebude zajištěna výhradně prostřednictvím intervencí OP PIK. Nezbytným předpokladem je spolupůsobení dalších </w:t>
            </w:r>
            <w:r w:rsidR="00407584">
              <w:rPr>
                <w:rFonts w:eastAsia="Calibri" w:cs="Times New Roman"/>
              </w:rPr>
              <w:t>faktorů/</w:t>
            </w:r>
            <w:r w:rsidRPr="00241405">
              <w:rPr>
                <w:rFonts w:eastAsia="Calibri" w:cs="Times New Roman"/>
              </w:rPr>
              <w:t xml:space="preserve">opatření finanční i nefinanční povahy nad rámec OP PIK. </w:t>
            </w:r>
            <w:r w:rsidR="00E129F2">
              <w:rPr>
                <w:rFonts w:eastAsia="Calibri" w:cs="Times New Roman"/>
              </w:rPr>
              <w:t>Identifikace</w:t>
            </w:r>
            <w:r w:rsidRPr="00241405">
              <w:rPr>
                <w:rFonts w:eastAsia="Calibri" w:cs="Times New Roman"/>
              </w:rPr>
              <w:t xml:space="preserve"> těchto dalších </w:t>
            </w:r>
            <w:r w:rsidR="00407584">
              <w:rPr>
                <w:rFonts w:eastAsia="Calibri" w:cs="Times New Roman"/>
              </w:rPr>
              <w:t xml:space="preserve">faktorů </w:t>
            </w:r>
            <w:r w:rsidRPr="00241405">
              <w:rPr>
                <w:rFonts w:eastAsia="Calibri" w:cs="Times New Roman"/>
              </w:rPr>
              <w:t xml:space="preserve">ovlivňujících dosažitelnost specifických cílů OP PIK </w:t>
            </w:r>
            <w:r w:rsidR="009E5BE4" w:rsidRPr="009E5BE4">
              <w:rPr>
                <w:rFonts w:eastAsia="Calibri" w:cs="Times New Roman"/>
              </w:rPr>
              <w:t>by m</w:t>
            </w:r>
            <w:r w:rsidR="009E5BE4" w:rsidRPr="009E5BE4">
              <w:rPr>
                <w:rFonts w:eastAsia="Calibri" w:cs="Times New Roman" w:hint="eastAsia"/>
              </w:rPr>
              <w:t>ě</w:t>
            </w:r>
            <w:r w:rsidR="009E5BE4" w:rsidRPr="009E5BE4">
              <w:rPr>
                <w:rFonts w:eastAsia="Calibri" w:cs="Times New Roman"/>
              </w:rPr>
              <w:t>la být v programu d</w:t>
            </w:r>
            <w:r w:rsidR="00E129F2" w:rsidRPr="005F1E32">
              <w:rPr>
                <w:rFonts w:eastAsia="Calibri" w:cs="Times New Roman"/>
              </w:rPr>
              <w:t>opracována</w:t>
            </w:r>
            <w:r w:rsidRPr="00241405">
              <w:rPr>
                <w:rFonts w:eastAsia="Calibri" w:cs="Times New Roman"/>
              </w:rPr>
              <w:t>.</w:t>
            </w:r>
            <w:r w:rsidR="00E129F2">
              <w:rPr>
                <w:rFonts w:eastAsia="Calibri" w:cs="Times New Roman"/>
              </w:rPr>
              <w:t xml:space="preserve"> Tak bude zajištěna i úplnost intervenční logiky jednotlivých specifických cílů.</w:t>
            </w:r>
            <w:r w:rsidRPr="00E3482A">
              <w:rPr>
                <w:rFonts w:ascii="Arial Narrow" w:eastAsia="Times New Roman" w:hAnsi="Arial Narrow" w:cs="Times New Roman"/>
                <w:szCs w:val="20"/>
                <w:lang w:eastAsia="cs-CZ"/>
              </w:rPr>
              <w:t xml:space="preserve">      </w:t>
            </w:r>
          </w:p>
          <w:p w:rsidR="00AD213E" w:rsidRPr="0014709B" w:rsidRDefault="00AD213E" w:rsidP="00E05225">
            <w:pPr>
              <w:spacing w:after="120"/>
              <w:ind w:left="360"/>
              <w:rPr>
                <w:rFonts w:eastAsia="Calibri" w:cs="Tahoma"/>
                <w:szCs w:val="20"/>
              </w:rPr>
            </w:pPr>
            <w:r w:rsidRPr="0014709B">
              <w:rPr>
                <w:rFonts w:eastAsia="Calibri" w:cs="Times New Roman"/>
              </w:rPr>
              <w:t xml:space="preserve">Hodnotitel vnímá pozitivně, že oproti předchozí verzi programu byly v rámci jednotlivých specifických cílů </w:t>
            </w:r>
            <w:r w:rsidR="008A65B9">
              <w:rPr>
                <w:rFonts w:eastAsia="Calibri" w:cs="Times New Roman"/>
              </w:rPr>
              <w:t xml:space="preserve">dále </w:t>
            </w:r>
            <w:r w:rsidRPr="0014709B">
              <w:rPr>
                <w:rFonts w:eastAsia="Calibri" w:cs="Times New Roman"/>
              </w:rPr>
              <w:t xml:space="preserve">upřesněny </w:t>
            </w:r>
            <w:r w:rsidR="008A65B9">
              <w:rPr>
                <w:rFonts w:eastAsia="Calibri" w:cs="Times New Roman"/>
              </w:rPr>
              <w:t xml:space="preserve">indikativní výčty </w:t>
            </w:r>
            <w:r w:rsidRPr="0014709B">
              <w:rPr>
                <w:rFonts w:eastAsia="Calibri" w:cs="Times New Roman"/>
              </w:rPr>
              <w:t>podporovan</w:t>
            </w:r>
            <w:r w:rsidR="008A65B9">
              <w:rPr>
                <w:rFonts w:eastAsia="Calibri" w:cs="Times New Roman"/>
              </w:rPr>
              <w:t>ých</w:t>
            </w:r>
            <w:r w:rsidRPr="0014709B">
              <w:rPr>
                <w:rFonts w:eastAsia="Calibri" w:cs="Times New Roman"/>
              </w:rPr>
              <w:t xml:space="preserve"> aktivit, a to především popisem typových projektů. </w:t>
            </w:r>
            <w:r>
              <w:rPr>
                <w:rFonts w:eastAsia="Calibri" w:cs="Times New Roman"/>
              </w:rPr>
              <w:t>Jak již však bylo naznačeno výše, p</w:t>
            </w:r>
            <w:r w:rsidRPr="0014709B">
              <w:rPr>
                <w:rFonts w:eastAsia="Calibri" w:cs="Times New Roman"/>
              </w:rPr>
              <w:t xml:space="preserve">rogram stále obsahuje některé </w:t>
            </w:r>
            <w:r w:rsidR="00E129F2">
              <w:rPr>
                <w:rFonts w:eastAsia="Calibri" w:cs="Times New Roman"/>
              </w:rPr>
              <w:t xml:space="preserve">dílčí </w:t>
            </w:r>
            <w:r w:rsidRPr="0014709B">
              <w:rPr>
                <w:rFonts w:eastAsia="Calibri" w:cs="Times New Roman"/>
              </w:rPr>
              <w:t xml:space="preserve">nejasnosti v intervenční logice na úrovni specifických cílů, a </w:t>
            </w:r>
            <w:r w:rsidRPr="0014709B">
              <w:rPr>
                <w:rFonts w:eastAsia="Calibri" w:cs="Tahoma"/>
                <w:szCs w:val="20"/>
              </w:rPr>
              <w:t>hodnotitel proto doporučuje:</w:t>
            </w:r>
          </w:p>
          <w:p w:rsidR="00AD213E" w:rsidRPr="0014709B" w:rsidRDefault="00AD213E" w:rsidP="00C6279B">
            <w:pPr>
              <w:pStyle w:val="Odstavecseseznamem"/>
              <w:numPr>
                <w:ilvl w:val="0"/>
                <w:numId w:val="25"/>
              </w:numPr>
              <w:spacing w:after="120"/>
              <w:ind w:left="851" w:hanging="491"/>
              <w:jc w:val="both"/>
              <w:rPr>
                <w:rFonts w:ascii="Tahoma" w:eastAsia="Calibri" w:hAnsi="Tahoma" w:cs="Tahoma"/>
                <w:sz w:val="20"/>
                <w:szCs w:val="20"/>
              </w:rPr>
            </w:pPr>
            <w:r w:rsidRPr="0014709B">
              <w:rPr>
                <w:rFonts w:ascii="Tahoma" w:eastAsia="Calibri" w:hAnsi="Tahoma" w:cs="Tahoma"/>
                <w:sz w:val="20"/>
                <w:szCs w:val="20"/>
              </w:rPr>
              <w:t xml:space="preserve">provést v rámci jednotlivých specifických cílů revizi popsaných „Výsledků, kterých chce ČR dosáhnout s podporou Unie“ a odlišit skutečně dosažitelné (reálné) výsledky OP PIK od širších socioekonomických cílů a dalších potencionálních multiplikačních efektů; </w:t>
            </w:r>
          </w:p>
          <w:p w:rsidR="00AD213E" w:rsidRPr="0014709B" w:rsidRDefault="00AD213E" w:rsidP="00C6279B">
            <w:pPr>
              <w:pStyle w:val="Odstavecseseznamem"/>
              <w:numPr>
                <w:ilvl w:val="0"/>
                <w:numId w:val="25"/>
              </w:numPr>
              <w:spacing w:after="120"/>
              <w:ind w:left="851" w:hanging="491"/>
              <w:jc w:val="both"/>
              <w:rPr>
                <w:rFonts w:ascii="Tahoma" w:eastAsia="Calibri" w:hAnsi="Tahoma" w:cs="Tahoma"/>
                <w:sz w:val="20"/>
                <w:szCs w:val="20"/>
              </w:rPr>
            </w:pPr>
            <w:r w:rsidRPr="0014709B">
              <w:rPr>
                <w:rFonts w:ascii="Tahoma" w:eastAsia="Calibri" w:hAnsi="Tahoma" w:cs="Tahoma"/>
                <w:sz w:val="20"/>
                <w:szCs w:val="20"/>
              </w:rPr>
              <w:t xml:space="preserve">doplnit popis/vyjádření vazeb očekávaných výsledků specifických cílů OP PIK na hlavní výsledky </w:t>
            </w:r>
            <w:proofErr w:type="spellStart"/>
            <w:r w:rsidRPr="0014709B">
              <w:rPr>
                <w:rFonts w:ascii="Tahoma" w:eastAsia="Calibri" w:hAnsi="Tahoma" w:cs="Tahoma"/>
                <w:sz w:val="20"/>
                <w:szCs w:val="20"/>
              </w:rPr>
              <w:t>DoP</w:t>
            </w:r>
            <w:proofErr w:type="spellEnd"/>
            <w:r w:rsidRPr="0014709B">
              <w:rPr>
                <w:rFonts w:ascii="Tahoma" w:eastAsia="Calibri" w:hAnsi="Tahoma" w:cs="Tahoma"/>
                <w:sz w:val="20"/>
                <w:szCs w:val="20"/>
              </w:rPr>
              <w:t>;</w:t>
            </w:r>
          </w:p>
          <w:p w:rsidR="00AD213E" w:rsidRPr="0014709B" w:rsidRDefault="00AD213E" w:rsidP="00C6279B">
            <w:pPr>
              <w:pStyle w:val="Odstavecseseznamem"/>
              <w:numPr>
                <w:ilvl w:val="0"/>
                <w:numId w:val="25"/>
              </w:numPr>
              <w:spacing w:after="120"/>
              <w:ind w:left="851" w:hanging="491"/>
              <w:jc w:val="both"/>
              <w:rPr>
                <w:rFonts w:ascii="Tahoma" w:eastAsia="Calibri" w:hAnsi="Tahoma" w:cs="Tahoma"/>
                <w:sz w:val="20"/>
                <w:szCs w:val="20"/>
              </w:rPr>
            </w:pPr>
            <w:r w:rsidRPr="0014709B">
              <w:rPr>
                <w:rFonts w:ascii="Tahoma" w:eastAsia="Calibri" w:hAnsi="Tahoma" w:cs="Tahoma"/>
                <w:sz w:val="20"/>
                <w:szCs w:val="20"/>
              </w:rPr>
              <w:t xml:space="preserve">popsat, </w:t>
            </w:r>
            <w:r>
              <w:rPr>
                <w:rFonts w:ascii="Tahoma" w:eastAsia="Calibri" w:hAnsi="Tahoma" w:cs="Tahoma"/>
                <w:sz w:val="20"/>
                <w:szCs w:val="20"/>
              </w:rPr>
              <w:t>jak</w:t>
            </w:r>
            <w:r w:rsidR="006C70D3">
              <w:rPr>
                <w:rFonts w:ascii="Tahoma" w:eastAsia="Calibri" w:hAnsi="Tahoma" w:cs="Tahoma"/>
                <w:sz w:val="20"/>
                <w:szCs w:val="20"/>
              </w:rPr>
              <w:t xml:space="preserve">é </w:t>
            </w:r>
            <w:r>
              <w:rPr>
                <w:rFonts w:ascii="Tahoma" w:eastAsia="Calibri" w:hAnsi="Tahoma" w:cs="Tahoma"/>
                <w:sz w:val="20"/>
                <w:szCs w:val="20"/>
              </w:rPr>
              <w:t xml:space="preserve">další </w:t>
            </w:r>
            <w:r w:rsidR="006C70D3">
              <w:rPr>
                <w:rFonts w:ascii="Tahoma" w:eastAsia="Calibri" w:hAnsi="Tahoma" w:cs="Tahoma"/>
                <w:sz w:val="20"/>
                <w:szCs w:val="20"/>
              </w:rPr>
              <w:t>faktory/opatření</w:t>
            </w:r>
            <w:r w:rsidR="00E129F2">
              <w:rPr>
                <w:rFonts w:ascii="Tahoma" w:eastAsia="Calibri" w:hAnsi="Tahoma" w:cs="Tahoma"/>
                <w:sz w:val="20"/>
                <w:szCs w:val="20"/>
              </w:rPr>
              <w:t xml:space="preserve"> </w:t>
            </w:r>
            <w:r>
              <w:rPr>
                <w:rFonts w:ascii="Tahoma" w:eastAsia="Calibri" w:hAnsi="Tahoma" w:cs="Tahoma"/>
                <w:sz w:val="20"/>
                <w:szCs w:val="20"/>
              </w:rPr>
              <w:t xml:space="preserve">nad rámec OP PIK </w:t>
            </w:r>
            <w:r w:rsidR="006C70D3">
              <w:rPr>
                <w:rFonts w:ascii="Tahoma" w:eastAsia="Calibri" w:hAnsi="Tahoma" w:cs="Tahoma"/>
                <w:sz w:val="20"/>
                <w:szCs w:val="20"/>
              </w:rPr>
              <w:t xml:space="preserve">jsou nezbytné pro dosažení </w:t>
            </w:r>
            <w:r>
              <w:rPr>
                <w:rFonts w:ascii="Tahoma" w:eastAsia="Calibri" w:hAnsi="Tahoma" w:cs="Tahoma"/>
                <w:sz w:val="20"/>
                <w:szCs w:val="20"/>
              </w:rPr>
              <w:t>specifick</w:t>
            </w:r>
            <w:r w:rsidR="00E129F2">
              <w:rPr>
                <w:rFonts w:ascii="Tahoma" w:eastAsia="Calibri" w:hAnsi="Tahoma" w:cs="Tahoma"/>
                <w:sz w:val="20"/>
                <w:szCs w:val="20"/>
              </w:rPr>
              <w:t>ých cílů ve smyslu žádoucích změn.</w:t>
            </w:r>
            <w:r w:rsidRPr="0014709B">
              <w:rPr>
                <w:rFonts w:ascii="Tahoma" w:eastAsia="Calibri" w:hAnsi="Tahoma" w:cs="Tahoma"/>
                <w:sz w:val="20"/>
                <w:szCs w:val="20"/>
              </w:rPr>
              <w:t xml:space="preserve"> </w:t>
            </w:r>
          </w:p>
          <w:p w:rsidR="00AD213E" w:rsidRDefault="00AD213E" w:rsidP="00E05225">
            <w:pPr>
              <w:spacing w:after="120"/>
              <w:ind w:left="360"/>
              <w:rPr>
                <w:rFonts w:eastAsia="Calibri" w:cs="Times New Roman"/>
              </w:rPr>
            </w:pPr>
            <w:r w:rsidRPr="0014709B">
              <w:rPr>
                <w:rFonts w:eastAsia="Calibri" w:cs="Times New Roman"/>
              </w:rPr>
              <w:t xml:space="preserve">V platnosti zůstává </w:t>
            </w:r>
            <w:r>
              <w:rPr>
                <w:rFonts w:eastAsia="Calibri" w:cs="Times New Roman"/>
              </w:rPr>
              <w:t xml:space="preserve">rovněž </w:t>
            </w:r>
            <w:r w:rsidRPr="0014709B">
              <w:rPr>
                <w:rFonts w:eastAsia="Calibri" w:cs="Times New Roman"/>
              </w:rPr>
              <w:t xml:space="preserve">předchozí doporučení hodnotitele </w:t>
            </w:r>
            <w:r>
              <w:rPr>
                <w:rFonts w:eastAsia="Calibri" w:cs="Times New Roman"/>
              </w:rPr>
              <w:t>více pop</w:t>
            </w:r>
            <w:r w:rsidRPr="0014709B">
              <w:rPr>
                <w:rFonts w:eastAsia="Calibri" w:cs="Times New Roman"/>
              </w:rPr>
              <w:t>s</w:t>
            </w:r>
            <w:r>
              <w:rPr>
                <w:rFonts w:eastAsia="Calibri" w:cs="Times New Roman"/>
              </w:rPr>
              <w:t>at</w:t>
            </w:r>
            <w:r w:rsidRPr="0014709B">
              <w:rPr>
                <w:rFonts w:eastAsia="Calibri" w:cs="Times New Roman"/>
              </w:rPr>
              <w:t xml:space="preserve"> synergi</w:t>
            </w:r>
            <w:r>
              <w:rPr>
                <w:rFonts w:eastAsia="Calibri" w:cs="Times New Roman"/>
              </w:rPr>
              <w:t>e</w:t>
            </w:r>
            <w:r w:rsidRPr="0014709B">
              <w:rPr>
                <w:rFonts w:eastAsia="Calibri" w:cs="Times New Roman"/>
              </w:rPr>
              <w:t xml:space="preserve"> </w:t>
            </w:r>
            <w:r>
              <w:rPr>
                <w:rFonts w:eastAsia="Calibri" w:cs="Times New Roman"/>
              </w:rPr>
              <w:t xml:space="preserve">uvnitř OP PIK, tj. </w:t>
            </w:r>
            <w:r w:rsidRPr="0014709B">
              <w:rPr>
                <w:rFonts w:eastAsia="Calibri" w:cs="Times New Roman"/>
              </w:rPr>
              <w:t>mezi prioritními osami a specifickými cíli</w:t>
            </w:r>
            <w:r>
              <w:rPr>
                <w:rFonts w:eastAsia="Calibri" w:cs="Times New Roman"/>
              </w:rPr>
              <w:t xml:space="preserve"> programu</w:t>
            </w:r>
            <w:r w:rsidRPr="0014709B">
              <w:rPr>
                <w:rFonts w:eastAsia="Calibri" w:cs="Times New Roman"/>
              </w:rPr>
              <w:t>.</w:t>
            </w:r>
            <w:r>
              <w:rPr>
                <w:rFonts w:eastAsia="Calibri" w:cs="Times New Roman"/>
              </w:rPr>
              <w:t xml:space="preserve"> Dle názoru hodnotitele by měly být popsány synergie především u těch specifických cílů, které se váží ke stejné investiční prioritě (SC 1.1 a 1.2 a SC 2.3 a 2.4), ale i u těch, které se váží ke stejnému tematickému cíli. Jedním z příkladů jsou bezpochyby specifické cíle prioritní osy 3 (</w:t>
            </w:r>
            <w:r w:rsidR="00E129F2">
              <w:rPr>
                <w:rFonts w:eastAsia="Calibri" w:cs="Times New Roman"/>
              </w:rPr>
              <w:t>evidentní</w:t>
            </w:r>
            <w:r>
              <w:rPr>
                <w:rFonts w:eastAsia="Calibri" w:cs="Times New Roman"/>
              </w:rPr>
              <w:t xml:space="preserve"> synergie mezi SC 3.1 a 3.3 a potažmo 3.6, mezi SC 3.2 a 3.5 apod.). </w:t>
            </w:r>
          </w:p>
          <w:p w:rsidR="00AD213E" w:rsidRPr="0014709B" w:rsidRDefault="00AD213E" w:rsidP="00E05225">
            <w:pPr>
              <w:spacing w:after="120"/>
              <w:ind w:left="360"/>
              <w:rPr>
                <w:rFonts w:eastAsia="Calibri" w:cs="Times New Roman"/>
              </w:rPr>
            </w:pPr>
            <w:r w:rsidRPr="0014709B">
              <w:rPr>
                <w:rFonts w:eastAsia="Calibri" w:cs="Times New Roman"/>
              </w:rPr>
              <w:t xml:space="preserve">Hodnotitel v této souvislosti identifikoval v textu programu </w:t>
            </w:r>
            <w:r>
              <w:rPr>
                <w:rFonts w:eastAsia="Calibri" w:cs="Times New Roman"/>
              </w:rPr>
              <w:t xml:space="preserve">také </w:t>
            </w:r>
            <w:r w:rsidRPr="0014709B">
              <w:rPr>
                <w:rFonts w:eastAsia="Calibri" w:cs="Times New Roman"/>
              </w:rPr>
              <w:t>někter</w:t>
            </w:r>
            <w:r>
              <w:rPr>
                <w:rFonts w:eastAsia="Calibri" w:cs="Times New Roman"/>
              </w:rPr>
              <w:t xml:space="preserve">á </w:t>
            </w:r>
            <w:r w:rsidRPr="0014709B">
              <w:rPr>
                <w:rFonts w:eastAsia="Calibri" w:cs="Times New Roman"/>
              </w:rPr>
              <w:t xml:space="preserve">témata, která by mohla dle jeho názoru indikovat potencionální překryv na úrovni specifických cílů, a doporučuje proto blíže popsat a vysvětlit hraniční oblasti. Jedním z těchto témat jsou </w:t>
            </w:r>
            <w:r w:rsidRPr="008A65B9">
              <w:rPr>
                <w:rFonts w:eastAsia="Calibri" w:cs="Times New Roman"/>
                <w:i/>
              </w:rPr>
              <w:t>služby pro podnikání</w:t>
            </w:r>
            <w:r w:rsidRPr="0014709B">
              <w:rPr>
                <w:rFonts w:eastAsia="Calibri" w:cs="Times New Roman"/>
              </w:rPr>
              <w:t>, které jsou v</w:t>
            </w:r>
            <w:r>
              <w:rPr>
                <w:rFonts w:eastAsia="Calibri" w:cs="Times New Roman"/>
              </w:rPr>
              <w:t xml:space="preserve"> </w:t>
            </w:r>
            <w:r w:rsidRPr="0014709B">
              <w:rPr>
                <w:rFonts w:eastAsia="Calibri" w:cs="Times New Roman"/>
              </w:rPr>
              <w:t>programu obsaženy ve třech specifických cílech (1.2, 2.1 a 2.2)</w:t>
            </w:r>
            <w:r>
              <w:rPr>
                <w:rFonts w:eastAsia="Calibri" w:cs="Times New Roman"/>
              </w:rPr>
              <w:t xml:space="preserve">, ovšem </w:t>
            </w:r>
            <w:r w:rsidRPr="0014709B">
              <w:rPr>
                <w:rFonts w:eastAsia="Calibri" w:cs="Times New Roman"/>
              </w:rPr>
              <w:t xml:space="preserve">komplementarity mezi jednotlivými specifickými cíli </w:t>
            </w:r>
            <w:r w:rsidR="00E129F2">
              <w:rPr>
                <w:rFonts w:eastAsia="Calibri" w:cs="Times New Roman"/>
              </w:rPr>
              <w:t xml:space="preserve">stále </w:t>
            </w:r>
            <w:r w:rsidRPr="0014709B">
              <w:rPr>
                <w:rFonts w:eastAsia="Calibri" w:cs="Times New Roman"/>
              </w:rPr>
              <w:t>nejsou</w:t>
            </w:r>
            <w:r>
              <w:rPr>
                <w:rFonts w:eastAsia="Calibri" w:cs="Times New Roman"/>
              </w:rPr>
              <w:t xml:space="preserve"> </w:t>
            </w:r>
            <w:r w:rsidR="00E129F2">
              <w:rPr>
                <w:rFonts w:eastAsia="Calibri" w:cs="Times New Roman"/>
              </w:rPr>
              <w:t xml:space="preserve">– i přes provedená dílčí doplnění textu programu - </w:t>
            </w:r>
            <w:r>
              <w:rPr>
                <w:rFonts w:eastAsia="Calibri" w:cs="Times New Roman"/>
              </w:rPr>
              <w:t>zcela</w:t>
            </w:r>
            <w:r w:rsidRPr="0014709B">
              <w:rPr>
                <w:rFonts w:eastAsia="Calibri" w:cs="Times New Roman"/>
              </w:rPr>
              <w:t xml:space="preserve"> jednoznačně </w:t>
            </w:r>
            <w:r>
              <w:rPr>
                <w:rFonts w:eastAsia="Calibri" w:cs="Times New Roman"/>
              </w:rPr>
              <w:t>vymezené</w:t>
            </w:r>
            <w:r w:rsidRPr="0014709B">
              <w:rPr>
                <w:rFonts w:eastAsia="Calibri" w:cs="Times New Roman"/>
              </w:rPr>
              <w:t>. Další</w:t>
            </w:r>
            <w:r>
              <w:rPr>
                <w:rFonts w:eastAsia="Calibri" w:cs="Times New Roman"/>
              </w:rPr>
              <w:t>m</w:t>
            </w:r>
            <w:r w:rsidRPr="0014709B">
              <w:rPr>
                <w:rFonts w:eastAsia="Calibri" w:cs="Times New Roman"/>
              </w:rPr>
              <w:t xml:space="preserve"> příkladem m</w:t>
            </w:r>
            <w:r>
              <w:rPr>
                <w:rFonts w:eastAsia="Calibri" w:cs="Times New Roman"/>
              </w:rPr>
              <w:t xml:space="preserve">ůže být </w:t>
            </w:r>
            <w:r w:rsidRPr="008A65B9">
              <w:rPr>
                <w:rFonts w:eastAsia="Calibri" w:cs="Times New Roman"/>
                <w:i/>
              </w:rPr>
              <w:t>infrastruktura pro podnikání</w:t>
            </w:r>
            <w:r>
              <w:rPr>
                <w:rFonts w:eastAsia="Calibri" w:cs="Times New Roman"/>
              </w:rPr>
              <w:t xml:space="preserve"> (</w:t>
            </w:r>
            <w:r w:rsidRPr="0014709B">
              <w:rPr>
                <w:rFonts w:eastAsia="Calibri" w:cs="Times New Roman"/>
              </w:rPr>
              <w:t xml:space="preserve">SC </w:t>
            </w:r>
            <w:r>
              <w:rPr>
                <w:rFonts w:eastAsia="Calibri" w:cs="Times New Roman"/>
              </w:rPr>
              <w:t xml:space="preserve">1.2, </w:t>
            </w:r>
            <w:r w:rsidRPr="0014709B">
              <w:rPr>
                <w:rFonts w:eastAsia="Calibri" w:cs="Times New Roman"/>
              </w:rPr>
              <w:t>2.1 a 2.3</w:t>
            </w:r>
            <w:r>
              <w:rPr>
                <w:rFonts w:eastAsia="Calibri" w:cs="Times New Roman"/>
              </w:rPr>
              <w:t>)</w:t>
            </w:r>
            <w:r w:rsidRPr="0014709B">
              <w:rPr>
                <w:rFonts w:eastAsia="Calibri" w:cs="Times New Roman"/>
              </w:rPr>
              <w:t>, kdy</w:t>
            </w:r>
            <w:r>
              <w:rPr>
                <w:rFonts w:eastAsia="Calibri" w:cs="Times New Roman"/>
              </w:rPr>
              <w:t xml:space="preserve"> například</w:t>
            </w:r>
            <w:r w:rsidRPr="0014709B">
              <w:rPr>
                <w:rFonts w:eastAsia="Calibri" w:cs="Times New Roman"/>
              </w:rPr>
              <w:t xml:space="preserve"> SC 2.1 uvádí v popisu podporovaných aktivit jako typové projekty takové, které jsou spojené s </w:t>
            </w:r>
            <w:r>
              <w:rPr>
                <w:rFonts w:eastAsia="Calibri" w:cs="Times New Roman"/>
              </w:rPr>
              <w:t>(</w:t>
            </w:r>
            <w:r w:rsidRPr="0014709B">
              <w:rPr>
                <w:rFonts w:eastAsia="Calibri" w:cs="Times New Roman"/>
              </w:rPr>
              <w:t>pořízením či</w:t>
            </w:r>
            <w:r>
              <w:rPr>
                <w:rFonts w:eastAsia="Calibri" w:cs="Times New Roman"/>
              </w:rPr>
              <w:t>)</w:t>
            </w:r>
            <w:r w:rsidRPr="0014709B">
              <w:rPr>
                <w:rFonts w:eastAsia="Calibri" w:cs="Times New Roman"/>
              </w:rPr>
              <w:t xml:space="preserve"> rekonstrukcí budov, přičemž SC 2.3 </w:t>
            </w:r>
            <w:r>
              <w:rPr>
                <w:rFonts w:eastAsia="Calibri" w:cs="Times New Roman"/>
              </w:rPr>
              <w:t xml:space="preserve">obdobným způsobem </w:t>
            </w:r>
            <w:r w:rsidRPr="0014709B">
              <w:rPr>
                <w:rFonts w:eastAsia="Calibri" w:cs="Times New Roman"/>
              </w:rPr>
              <w:t>podporuje modernizaci výrobních provozů a rekonstrukce zastaralé podnikatelské infrastruktury.</w:t>
            </w:r>
            <w:r w:rsidR="00E05225" w:rsidRPr="00E05225">
              <w:rPr>
                <w:rFonts w:eastAsia="Calibri" w:cs="Times New Roman"/>
              </w:rPr>
              <w:t xml:space="preserve"> Nejasná je rovněž hraniční oblast mezi SC 1.1 a SC 3.4. </w:t>
            </w:r>
            <w:r w:rsidR="00E05225">
              <w:rPr>
                <w:rFonts w:eastAsia="Calibri" w:cs="Times New Roman"/>
              </w:rPr>
              <w:t>H</w:t>
            </w:r>
            <w:r>
              <w:rPr>
                <w:rFonts w:eastAsia="Calibri" w:cs="Times New Roman"/>
              </w:rPr>
              <w:t>odnotitel</w:t>
            </w:r>
            <w:r w:rsidR="00E05225">
              <w:rPr>
                <w:rFonts w:eastAsia="Calibri" w:cs="Times New Roman"/>
              </w:rPr>
              <w:t xml:space="preserve"> proto doporučuje</w:t>
            </w:r>
            <w:r>
              <w:rPr>
                <w:rFonts w:eastAsia="Calibri" w:cs="Times New Roman"/>
              </w:rPr>
              <w:t xml:space="preserve"> </w:t>
            </w:r>
            <w:r w:rsidR="00E129F2">
              <w:rPr>
                <w:rFonts w:eastAsia="Calibri" w:cs="Times New Roman"/>
              </w:rPr>
              <w:t xml:space="preserve">jednoznačně </w:t>
            </w:r>
            <w:r>
              <w:rPr>
                <w:rFonts w:eastAsia="Calibri" w:cs="Times New Roman"/>
              </w:rPr>
              <w:t xml:space="preserve">vymezit hraniční oblasti.  </w:t>
            </w:r>
          </w:p>
          <w:p w:rsidR="00AD213E" w:rsidRDefault="00AD213E" w:rsidP="00E129F2">
            <w:pPr>
              <w:spacing w:after="120"/>
              <w:ind w:left="360"/>
              <w:rPr>
                <w:rFonts w:eastAsia="Calibri" w:cs="Times New Roman"/>
              </w:rPr>
            </w:pPr>
            <w:r>
              <w:rPr>
                <w:rFonts w:eastAsia="Calibri" w:cs="Times New Roman"/>
              </w:rPr>
              <w:t>Co se týká komplementarit</w:t>
            </w:r>
            <w:r w:rsidRPr="0014709B">
              <w:rPr>
                <w:rFonts w:eastAsia="Calibri" w:cs="Times New Roman"/>
              </w:rPr>
              <w:t xml:space="preserve"> OP PIK </w:t>
            </w:r>
            <w:r>
              <w:rPr>
                <w:rFonts w:eastAsia="Calibri" w:cs="Times New Roman"/>
              </w:rPr>
              <w:t>s </w:t>
            </w:r>
            <w:r w:rsidRPr="0014709B">
              <w:rPr>
                <w:rFonts w:eastAsia="Calibri" w:cs="Times New Roman"/>
              </w:rPr>
              <w:t>další</w:t>
            </w:r>
            <w:r>
              <w:rPr>
                <w:rFonts w:eastAsia="Calibri" w:cs="Times New Roman"/>
              </w:rPr>
              <w:t xml:space="preserve">mi </w:t>
            </w:r>
            <w:r w:rsidRPr="0014709B">
              <w:rPr>
                <w:rFonts w:eastAsia="Calibri" w:cs="Times New Roman"/>
              </w:rPr>
              <w:t>nástroj</w:t>
            </w:r>
            <w:r>
              <w:rPr>
                <w:rFonts w:eastAsia="Calibri" w:cs="Times New Roman"/>
              </w:rPr>
              <w:t>i (jiné operační programy, národní dotační zdroje, komunitární programy aj.)</w:t>
            </w:r>
            <w:r w:rsidRPr="0014709B">
              <w:rPr>
                <w:rFonts w:eastAsia="Calibri" w:cs="Times New Roman"/>
              </w:rPr>
              <w:t xml:space="preserve">, hodnotitel se domnívá, že </w:t>
            </w:r>
            <w:r>
              <w:rPr>
                <w:rFonts w:eastAsia="Calibri" w:cs="Times New Roman"/>
              </w:rPr>
              <w:t xml:space="preserve">tomuto </w:t>
            </w:r>
            <w:r w:rsidRPr="0014709B">
              <w:rPr>
                <w:rFonts w:eastAsia="Calibri" w:cs="Times New Roman"/>
              </w:rPr>
              <w:t>tématu je věnována dostatečná pozornost a postupně se daří – v souladu s Akčním plánem hraničních oblastí v programov</w:t>
            </w:r>
            <w:r>
              <w:rPr>
                <w:rFonts w:eastAsia="Calibri" w:cs="Times New Roman"/>
              </w:rPr>
              <w:t>acím</w:t>
            </w:r>
            <w:r w:rsidRPr="0014709B">
              <w:rPr>
                <w:rFonts w:eastAsia="Calibri" w:cs="Times New Roman"/>
              </w:rPr>
              <w:t xml:space="preserve"> období 2014–2020 –</w:t>
            </w:r>
            <w:r>
              <w:rPr>
                <w:rFonts w:eastAsia="Calibri" w:cs="Times New Roman"/>
              </w:rPr>
              <w:t xml:space="preserve"> příslušné</w:t>
            </w:r>
            <w:r w:rsidRPr="0014709B">
              <w:rPr>
                <w:rFonts w:eastAsia="Calibri" w:cs="Times New Roman"/>
              </w:rPr>
              <w:t xml:space="preserve"> </w:t>
            </w:r>
            <w:r>
              <w:rPr>
                <w:rFonts w:eastAsia="Calibri" w:cs="Times New Roman"/>
              </w:rPr>
              <w:t>hraniční oblasti</w:t>
            </w:r>
            <w:r w:rsidRPr="0014709B">
              <w:rPr>
                <w:rFonts w:eastAsia="Calibri" w:cs="Times New Roman"/>
              </w:rPr>
              <w:t xml:space="preserve"> řešit.</w:t>
            </w:r>
            <w:r w:rsidRPr="00D777DF">
              <w:rPr>
                <w:rFonts w:eastAsia="Calibri" w:cs="Times New Roman"/>
              </w:rPr>
              <w:t xml:space="preserve"> </w:t>
            </w:r>
            <w:r>
              <w:rPr>
                <w:rFonts w:eastAsia="Calibri" w:cs="Times New Roman"/>
              </w:rPr>
              <w:t>Hodnotitel dává ke zvážení, zda ke stávajícím synergiím a komplementaritám popsaným v</w:t>
            </w:r>
            <w:r w:rsidR="00BA7678">
              <w:rPr>
                <w:rFonts w:eastAsia="Calibri" w:cs="Times New Roman"/>
              </w:rPr>
              <w:t xml:space="preserve"> nepovinné</w:t>
            </w:r>
            <w:r>
              <w:rPr>
                <w:rFonts w:eastAsia="Calibri" w:cs="Times New Roman"/>
              </w:rPr>
              <w:t xml:space="preserve"> příloze č. </w:t>
            </w:r>
            <w:r w:rsidR="00E129F2">
              <w:rPr>
                <w:rFonts w:eastAsia="Calibri" w:cs="Times New Roman"/>
              </w:rPr>
              <w:t>4</w:t>
            </w:r>
            <w:r>
              <w:rPr>
                <w:rFonts w:eastAsia="Calibri" w:cs="Times New Roman"/>
              </w:rPr>
              <w:t xml:space="preserve"> nedoplnit i nástin synergií a komplementarit v oblasti </w:t>
            </w:r>
            <w:r w:rsidRPr="00A45720">
              <w:rPr>
                <w:rFonts w:eastAsia="Calibri" w:cs="Times New Roman"/>
              </w:rPr>
              <w:t>integrovan</w:t>
            </w:r>
            <w:r>
              <w:rPr>
                <w:rFonts w:eastAsia="Calibri" w:cs="Times New Roman"/>
              </w:rPr>
              <w:t xml:space="preserve">ých </w:t>
            </w:r>
            <w:r w:rsidRPr="00A45720">
              <w:rPr>
                <w:rFonts w:eastAsia="Calibri" w:cs="Times New Roman"/>
              </w:rPr>
              <w:t>přístup</w:t>
            </w:r>
            <w:r>
              <w:rPr>
                <w:rFonts w:eastAsia="Calibri" w:cs="Times New Roman"/>
              </w:rPr>
              <w:t>ů</w:t>
            </w:r>
            <w:r w:rsidRPr="00A45720">
              <w:rPr>
                <w:rFonts w:eastAsia="Calibri" w:cs="Times New Roman"/>
              </w:rPr>
              <w:t xml:space="preserve"> k územnímu rozvoji</w:t>
            </w:r>
            <w:r>
              <w:rPr>
                <w:rFonts w:eastAsia="Calibri" w:cs="Times New Roman"/>
              </w:rPr>
              <w:t>.</w:t>
            </w:r>
          </w:p>
          <w:p w:rsidR="009F764E" w:rsidRPr="007212A3" w:rsidRDefault="009F764E" w:rsidP="00E129F2">
            <w:pPr>
              <w:spacing w:after="120"/>
              <w:ind w:left="360"/>
              <w:rPr>
                <w:rFonts w:eastAsia="Calibri" w:cs="Times New Roman"/>
                <w:highlight w:val="yellow"/>
              </w:rPr>
            </w:pPr>
          </w:p>
        </w:tc>
      </w:tr>
      <w:tr w:rsidR="00AD213E" w:rsidTr="00E05225">
        <w:tc>
          <w:tcPr>
            <w:tcW w:w="9210" w:type="dxa"/>
          </w:tcPr>
          <w:p w:rsidR="00AD213E" w:rsidRPr="00694648" w:rsidRDefault="00AD213E" w:rsidP="00C6279B">
            <w:pPr>
              <w:numPr>
                <w:ilvl w:val="0"/>
                <w:numId w:val="22"/>
              </w:numPr>
              <w:spacing w:after="120"/>
              <w:rPr>
                <w:rFonts w:eastAsia="Calibri" w:cs="Times New Roman"/>
                <w:i/>
              </w:rPr>
            </w:pPr>
            <w:r w:rsidRPr="00694648">
              <w:rPr>
                <w:rFonts w:eastAsia="Calibri" w:cs="Times New Roman"/>
                <w:i/>
              </w:rPr>
              <w:lastRenderedPageBreak/>
              <w:t>Soulad mezi přidělováním rozpočtových prostředků a cíli programu</w:t>
            </w:r>
          </w:p>
          <w:p w:rsidR="00AD213E" w:rsidRPr="001B5C62" w:rsidRDefault="00AD213E" w:rsidP="00E129F2">
            <w:pPr>
              <w:spacing w:after="120"/>
              <w:ind w:left="360"/>
              <w:rPr>
                <w:rFonts w:eastAsia="Calibri" w:cs="Times New Roman"/>
              </w:rPr>
            </w:pPr>
            <w:r w:rsidRPr="0041716E">
              <w:rPr>
                <w:rFonts w:eastAsia="Calibri" w:cs="Times New Roman"/>
              </w:rPr>
              <w:t xml:space="preserve">Hodnotitel se domnívá, že největší podíly z finanční alokace OP PIK jsou správně přiděleny těm prioritním osám a investičním prioritám, prostřednictvím kterých by měl OP PIK nejvíce přispívat k naplňování vybraných hlavních cílů strategie Evropa 2020 a potažmo Národního programu reforem ČR, tj. především: posílit investice do </w:t>
            </w:r>
            <w:proofErr w:type="spellStart"/>
            <w:r w:rsidRPr="0041716E">
              <w:rPr>
                <w:rFonts w:eastAsia="Calibri" w:cs="Times New Roman"/>
              </w:rPr>
              <w:t>VVaI</w:t>
            </w:r>
            <w:proofErr w:type="spellEnd"/>
            <w:r w:rsidRPr="0041716E">
              <w:rPr>
                <w:rFonts w:eastAsia="Calibri" w:cs="Times New Roman"/>
              </w:rPr>
              <w:t xml:space="preserve">, dále zvyšovat energetickou účinnost </w:t>
            </w:r>
            <w:r>
              <w:rPr>
                <w:rFonts w:eastAsia="Calibri" w:cs="Times New Roman"/>
              </w:rPr>
              <w:t>v podnikatelském sektoru, zajistit d</w:t>
            </w:r>
            <w:r w:rsidRPr="0041716E">
              <w:rPr>
                <w:rFonts w:eastAsia="Calibri" w:cs="Times New Roman"/>
              </w:rPr>
              <w:t xml:space="preserve">o roku 2020 připojení k internetu umožňující </w:t>
            </w:r>
            <w:r>
              <w:rPr>
                <w:rFonts w:eastAsia="Calibri" w:cs="Times New Roman"/>
              </w:rPr>
              <w:t xml:space="preserve">požadované </w:t>
            </w:r>
            <w:r w:rsidRPr="0041716E">
              <w:rPr>
                <w:rFonts w:eastAsia="Calibri" w:cs="Times New Roman"/>
              </w:rPr>
              <w:t xml:space="preserve">přenosové rychlosti a </w:t>
            </w:r>
            <w:r>
              <w:rPr>
                <w:rFonts w:eastAsia="Calibri" w:cs="Times New Roman"/>
              </w:rPr>
              <w:t xml:space="preserve">v neposlední řadě </w:t>
            </w:r>
            <w:r w:rsidRPr="0041716E">
              <w:rPr>
                <w:rFonts w:eastAsia="Calibri" w:cs="Times New Roman"/>
              </w:rPr>
              <w:t xml:space="preserve">také </w:t>
            </w:r>
            <w:r>
              <w:rPr>
                <w:rFonts w:eastAsia="Calibri" w:cs="Times New Roman"/>
              </w:rPr>
              <w:t xml:space="preserve">přispívat ke </w:t>
            </w:r>
            <w:r w:rsidRPr="0041716E">
              <w:rPr>
                <w:rFonts w:eastAsia="Calibri" w:cs="Times New Roman"/>
              </w:rPr>
              <w:t>zvyšov</w:t>
            </w:r>
            <w:r>
              <w:rPr>
                <w:rFonts w:eastAsia="Calibri" w:cs="Times New Roman"/>
              </w:rPr>
              <w:t xml:space="preserve">ání </w:t>
            </w:r>
            <w:r w:rsidRPr="0041716E">
              <w:rPr>
                <w:rFonts w:eastAsia="Calibri" w:cs="Times New Roman"/>
              </w:rPr>
              <w:t>zaměstnanost</w:t>
            </w:r>
            <w:r>
              <w:rPr>
                <w:rFonts w:eastAsia="Calibri" w:cs="Times New Roman"/>
              </w:rPr>
              <w:t>i, a to</w:t>
            </w:r>
            <w:r w:rsidRPr="0041716E">
              <w:rPr>
                <w:rFonts w:eastAsia="Calibri" w:cs="Times New Roman"/>
              </w:rPr>
              <w:t xml:space="preserve"> tvorbou nových pracovních míst</w:t>
            </w:r>
            <w:r>
              <w:rPr>
                <w:rFonts w:eastAsia="Calibri" w:cs="Times New Roman"/>
              </w:rPr>
              <w:t xml:space="preserve"> v podnikatelském sektoru</w:t>
            </w:r>
            <w:r w:rsidRPr="0041716E">
              <w:rPr>
                <w:rFonts w:eastAsia="Calibri" w:cs="Times New Roman"/>
              </w:rPr>
              <w:t>.</w:t>
            </w:r>
          </w:p>
        </w:tc>
      </w:tr>
      <w:tr w:rsidR="00AD213E" w:rsidTr="00E05225">
        <w:tc>
          <w:tcPr>
            <w:tcW w:w="9210" w:type="dxa"/>
          </w:tcPr>
          <w:p w:rsidR="00AD213E" w:rsidRPr="00694648" w:rsidRDefault="00AD213E" w:rsidP="00C6279B">
            <w:pPr>
              <w:numPr>
                <w:ilvl w:val="0"/>
                <w:numId w:val="22"/>
              </w:numPr>
              <w:spacing w:after="120"/>
              <w:rPr>
                <w:rFonts w:eastAsia="Calibri" w:cs="Times New Roman"/>
                <w:i/>
              </w:rPr>
            </w:pPr>
            <w:r w:rsidRPr="00694648">
              <w:rPr>
                <w:rFonts w:eastAsia="Calibri" w:cs="Times New Roman"/>
                <w:i/>
              </w:rPr>
              <w:t>Soulad vybraných tematických cílů, priorit a odpovídajících cílů programů se Společným strategickým rámcem, Dohodou o partnerství a relevantními doporučeními Rady EU pro jednotlivé země přijatými v souladu čl. 121 odst. 2 Smlouvy o fungování EU a v případě potřeby na národní úrovni s národním programem reforem</w:t>
            </w:r>
          </w:p>
          <w:p w:rsidR="00AD213E" w:rsidRDefault="00AD213E" w:rsidP="00E05225">
            <w:pPr>
              <w:spacing w:after="120"/>
              <w:ind w:left="360"/>
              <w:rPr>
                <w:rFonts w:eastAsia="Calibri" w:cs="Times New Roman"/>
              </w:rPr>
            </w:pPr>
            <w:r w:rsidRPr="0041716E">
              <w:rPr>
                <w:rFonts w:eastAsia="Calibri" w:cs="Times New Roman"/>
              </w:rPr>
              <w:t>Lze konstatovat, že vybrané tematické cíle, investiční priority a odpovídající specifické cíle OP PIK jsou v souladu s</w:t>
            </w:r>
            <w:r>
              <w:rPr>
                <w:rFonts w:eastAsia="Calibri" w:cs="Times New Roman"/>
              </w:rPr>
              <w:t>e Společným strategickým rámcem.</w:t>
            </w:r>
          </w:p>
          <w:p w:rsidR="00AD213E" w:rsidRPr="0041716E" w:rsidRDefault="00AD213E" w:rsidP="00E05225">
            <w:pPr>
              <w:spacing w:after="120"/>
              <w:ind w:left="360"/>
              <w:rPr>
                <w:rFonts w:eastAsia="Calibri" w:cs="Times New Roman"/>
              </w:rPr>
            </w:pPr>
            <w:r>
              <w:rPr>
                <w:rFonts w:eastAsia="Calibri" w:cs="Times New Roman"/>
              </w:rPr>
              <w:t>Co se týká souladu s Dohodou</w:t>
            </w:r>
            <w:r w:rsidRPr="0041716E">
              <w:rPr>
                <w:rFonts w:eastAsia="Calibri" w:cs="Times New Roman"/>
              </w:rPr>
              <w:t xml:space="preserve"> o partnerství</w:t>
            </w:r>
            <w:r>
              <w:rPr>
                <w:rFonts w:eastAsia="Calibri" w:cs="Times New Roman"/>
              </w:rPr>
              <w:t>, zde h</w:t>
            </w:r>
            <w:r w:rsidRPr="0041716E">
              <w:rPr>
                <w:rFonts w:eastAsia="Calibri" w:cs="Times New Roman"/>
              </w:rPr>
              <w:t>odnotitel identifikoval některé</w:t>
            </w:r>
            <w:r>
              <w:rPr>
                <w:rFonts w:eastAsia="Calibri" w:cs="Times New Roman"/>
              </w:rPr>
              <w:t xml:space="preserve"> </w:t>
            </w:r>
            <w:r w:rsidRPr="0041716E">
              <w:rPr>
                <w:rFonts w:eastAsia="Calibri" w:cs="Times New Roman"/>
              </w:rPr>
              <w:t>nejasnosti ve vazbách specifický</w:t>
            </w:r>
            <w:r>
              <w:rPr>
                <w:rFonts w:eastAsia="Calibri" w:cs="Times New Roman"/>
              </w:rPr>
              <w:t>ch</w:t>
            </w:r>
            <w:r w:rsidRPr="0041716E">
              <w:rPr>
                <w:rFonts w:eastAsia="Calibri" w:cs="Times New Roman"/>
              </w:rPr>
              <w:t xml:space="preserve"> cíl</w:t>
            </w:r>
            <w:r>
              <w:rPr>
                <w:rFonts w:eastAsia="Calibri" w:cs="Times New Roman"/>
              </w:rPr>
              <w:t>ů</w:t>
            </w:r>
            <w:r w:rsidRPr="0041716E">
              <w:rPr>
                <w:rFonts w:eastAsia="Calibri" w:cs="Times New Roman"/>
              </w:rPr>
              <w:t xml:space="preserve"> OP PIK </w:t>
            </w:r>
            <w:r w:rsidR="00E05225">
              <w:rPr>
                <w:rFonts w:eastAsia="Calibri" w:cs="Times New Roman"/>
              </w:rPr>
              <w:t>(zejm. SC 2.</w:t>
            </w:r>
            <w:r w:rsidR="00217654">
              <w:rPr>
                <w:rFonts w:eastAsia="Calibri" w:cs="Times New Roman"/>
              </w:rPr>
              <w:t>4</w:t>
            </w:r>
            <w:r w:rsidR="00E05225">
              <w:rPr>
                <w:rFonts w:eastAsia="Calibri" w:cs="Times New Roman"/>
              </w:rPr>
              <w:t xml:space="preserve"> a 3.4) </w:t>
            </w:r>
            <w:r w:rsidRPr="0041716E">
              <w:rPr>
                <w:rFonts w:eastAsia="Calibri" w:cs="Times New Roman"/>
              </w:rPr>
              <w:t xml:space="preserve">na hlavní výsledky </w:t>
            </w:r>
            <w:proofErr w:type="spellStart"/>
            <w:r w:rsidRPr="0041716E">
              <w:rPr>
                <w:rFonts w:eastAsia="Calibri" w:cs="Times New Roman"/>
              </w:rPr>
              <w:t>DoP.</w:t>
            </w:r>
            <w:proofErr w:type="spellEnd"/>
            <w:r w:rsidRPr="0041716E">
              <w:rPr>
                <w:rFonts w:eastAsia="Calibri" w:cs="Times New Roman"/>
              </w:rPr>
              <w:t xml:space="preserve"> </w:t>
            </w:r>
            <w:r>
              <w:rPr>
                <w:rFonts w:eastAsia="Calibri" w:cs="Times New Roman"/>
              </w:rPr>
              <w:t>Tato úzká místa by proto měla být ještě dořešena.</w:t>
            </w:r>
          </w:p>
          <w:p w:rsidR="00AD213E" w:rsidRPr="001B5C62" w:rsidRDefault="00AD213E" w:rsidP="00E05225">
            <w:pPr>
              <w:spacing w:after="120"/>
              <w:ind w:left="360"/>
              <w:rPr>
                <w:rFonts w:eastAsia="Calibri" w:cs="Times New Roman"/>
              </w:rPr>
            </w:pPr>
            <w:r w:rsidRPr="0041716E">
              <w:rPr>
                <w:rFonts w:eastAsia="Calibri" w:cs="Times New Roman"/>
              </w:rPr>
              <w:t xml:space="preserve">Je možno konstatovat, že cíle programu jsou v souladu s relevantními doporučeními Rady EU pro ČR. Reagují především na doporučení věnovat zvýšenou pozornost výdajům na posílení růstu, zejména pak v oblasti výzkumu, inovací, energetické účinnosti a také zlepšování přístupu MSP k finančním zdrojům. </w:t>
            </w:r>
          </w:p>
        </w:tc>
      </w:tr>
      <w:tr w:rsidR="00AD213E" w:rsidTr="00E05225">
        <w:tc>
          <w:tcPr>
            <w:tcW w:w="9210" w:type="dxa"/>
          </w:tcPr>
          <w:p w:rsidR="00AD213E" w:rsidRPr="00694648" w:rsidRDefault="00AD213E" w:rsidP="00C6279B">
            <w:pPr>
              <w:numPr>
                <w:ilvl w:val="0"/>
                <w:numId w:val="22"/>
              </w:numPr>
              <w:spacing w:after="120"/>
              <w:rPr>
                <w:rFonts w:eastAsia="Calibri" w:cs="Times New Roman"/>
                <w:i/>
              </w:rPr>
            </w:pPr>
            <w:r w:rsidRPr="00694648">
              <w:rPr>
                <w:rFonts w:eastAsia="Calibri" w:cs="Times New Roman"/>
                <w:i/>
              </w:rPr>
              <w:t>Relevan</w:t>
            </w:r>
            <w:r>
              <w:rPr>
                <w:rFonts w:eastAsia="Calibri" w:cs="Times New Roman"/>
                <w:i/>
              </w:rPr>
              <w:t>ce a srozumitelnost navržených ukazatelů</w:t>
            </w:r>
            <w:r w:rsidRPr="00694648">
              <w:rPr>
                <w:rFonts w:eastAsia="Calibri" w:cs="Times New Roman"/>
                <w:i/>
              </w:rPr>
              <w:t xml:space="preserve"> programu</w:t>
            </w:r>
          </w:p>
          <w:p w:rsidR="00AD213E" w:rsidRDefault="00AD213E" w:rsidP="00E05225">
            <w:pPr>
              <w:spacing w:after="120"/>
              <w:ind w:left="360"/>
              <w:rPr>
                <w:rFonts w:eastAsia="Calibri" w:cs="Times New Roman"/>
              </w:rPr>
            </w:pPr>
            <w:r w:rsidRPr="00641817">
              <w:rPr>
                <w:rFonts w:eastAsia="Calibri" w:cs="Times New Roman"/>
              </w:rPr>
              <w:t xml:space="preserve">V indikátorové soustavě programu jsou pro jednotlivé prioritní osy a jejich investiční priority a specifické cíle navrženy víceméně </w:t>
            </w:r>
            <w:r w:rsidRPr="00212D8E">
              <w:rPr>
                <w:rFonts w:eastAsia="Calibri" w:cs="Times New Roman"/>
              </w:rPr>
              <w:t xml:space="preserve">relevantní </w:t>
            </w:r>
            <w:r w:rsidR="008A65B9">
              <w:rPr>
                <w:rFonts w:eastAsia="Calibri" w:cs="Times New Roman"/>
              </w:rPr>
              <w:t>ukazatele</w:t>
            </w:r>
            <w:r w:rsidRPr="00212D8E">
              <w:rPr>
                <w:rFonts w:eastAsia="Calibri" w:cs="Times New Roman"/>
              </w:rPr>
              <w:t xml:space="preserve"> výstupu,</w:t>
            </w:r>
            <w:r w:rsidRPr="00641817">
              <w:rPr>
                <w:rFonts w:eastAsia="Calibri" w:cs="Times New Roman"/>
              </w:rPr>
              <w:t xml:space="preserve"> které by měly umožnit efektivní sledování pokroku při realizaci hlavních podporovaných aktivit a zhodnocení, zda aktivity vedou k očekávaným výsledkům.</w:t>
            </w:r>
          </w:p>
          <w:p w:rsidR="00AD213E" w:rsidRPr="00B71183" w:rsidRDefault="00E129F2" w:rsidP="008A65B9">
            <w:pPr>
              <w:spacing w:after="120"/>
              <w:ind w:left="360"/>
              <w:rPr>
                <w:rFonts w:eastAsia="Calibri" w:cs="Times New Roman"/>
              </w:rPr>
            </w:pPr>
            <w:r>
              <w:rPr>
                <w:rFonts w:eastAsia="Calibri" w:cs="Times New Roman"/>
              </w:rPr>
              <w:t>V operačním</w:t>
            </w:r>
            <w:r w:rsidRPr="00E129F2">
              <w:rPr>
                <w:rFonts w:eastAsia="Calibri" w:cs="Times New Roman"/>
              </w:rPr>
              <w:t xml:space="preserve"> programu </w:t>
            </w:r>
            <w:r>
              <w:rPr>
                <w:rFonts w:eastAsia="Calibri" w:cs="Times New Roman"/>
              </w:rPr>
              <w:t xml:space="preserve">jsou </w:t>
            </w:r>
            <w:r w:rsidRPr="00E129F2">
              <w:rPr>
                <w:rFonts w:eastAsia="Calibri" w:cs="Times New Roman"/>
              </w:rPr>
              <w:t xml:space="preserve">pro jednotlivé prioritní osy a jejich investiční priority a specifické cíle navrženy </w:t>
            </w:r>
            <w:r w:rsidR="00B71183">
              <w:rPr>
                <w:rFonts w:eastAsia="Calibri" w:cs="Times New Roman"/>
              </w:rPr>
              <w:t xml:space="preserve">dle názoru hodnotitele </w:t>
            </w:r>
            <w:r w:rsidRPr="00E129F2">
              <w:rPr>
                <w:rFonts w:eastAsia="Calibri" w:cs="Times New Roman"/>
              </w:rPr>
              <w:t>relevantní ukazatele výsledku, které umožňují získat důkazy o očekávané změně/plnění cíle v dané prioritě</w:t>
            </w:r>
            <w:r w:rsidR="00B71183">
              <w:rPr>
                <w:rFonts w:eastAsia="Calibri" w:cs="Times New Roman"/>
              </w:rPr>
              <w:t xml:space="preserve">. Dílčí výhrady má hodnotitel k logice vazby mezi některými formulovanými specifickými cíli a </w:t>
            </w:r>
            <w:r w:rsidR="008A65B9">
              <w:rPr>
                <w:rFonts w:eastAsia="Calibri" w:cs="Times New Roman"/>
              </w:rPr>
              <w:t>zvolenými</w:t>
            </w:r>
            <w:r w:rsidR="00B71183">
              <w:rPr>
                <w:rFonts w:eastAsia="Calibri" w:cs="Times New Roman"/>
              </w:rPr>
              <w:t xml:space="preserve"> ukazateli výsledků.</w:t>
            </w:r>
          </w:p>
        </w:tc>
      </w:tr>
      <w:tr w:rsidR="00AD213E" w:rsidTr="00E05225">
        <w:tc>
          <w:tcPr>
            <w:tcW w:w="9210" w:type="dxa"/>
          </w:tcPr>
          <w:p w:rsidR="00AD213E" w:rsidRPr="00694648" w:rsidRDefault="00AD213E" w:rsidP="00C6279B">
            <w:pPr>
              <w:numPr>
                <w:ilvl w:val="0"/>
                <w:numId w:val="22"/>
              </w:numPr>
              <w:spacing w:after="120"/>
              <w:rPr>
                <w:rFonts w:eastAsia="Calibri" w:cs="Times New Roman"/>
                <w:i/>
              </w:rPr>
            </w:pPr>
            <w:r w:rsidRPr="00694648">
              <w:rPr>
                <w:rFonts w:eastAsia="Calibri" w:cs="Times New Roman"/>
                <w:i/>
              </w:rPr>
              <w:t>Příspěvek očekávaných výstupů k výsledkům</w:t>
            </w:r>
          </w:p>
          <w:p w:rsidR="0031650C" w:rsidRDefault="00AD213E" w:rsidP="00E05225">
            <w:pPr>
              <w:spacing w:after="120"/>
              <w:ind w:left="360"/>
              <w:rPr>
                <w:rFonts w:eastAsia="Calibri" w:cs="Times New Roman"/>
              </w:rPr>
            </w:pPr>
            <w:r>
              <w:rPr>
                <w:rFonts w:eastAsia="Calibri" w:cs="Times New Roman"/>
              </w:rPr>
              <w:t>Hodnotitel vnímá pozitivně, že t</w:t>
            </w:r>
            <w:r w:rsidRPr="005901B2">
              <w:rPr>
                <w:rFonts w:eastAsia="Calibri" w:cs="Times New Roman"/>
              </w:rPr>
              <w:t>ext programu byl u jednotlivých specifických cílů doplněn/rozšířen o výčet typů podporovaných aktivit (formou typových projektů)</w:t>
            </w:r>
            <w:r w:rsidR="00E05225">
              <w:rPr>
                <w:rFonts w:eastAsia="Calibri" w:cs="Times New Roman"/>
              </w:rPr>
              <w:t>; hodnotitel doporučuje zpracovateli</w:t>
            </w:r>
            <w:r w:rsidR="00F55756">
              <w:rPr>
                <w:rFonts w:eastAsia="Calibri" w:cs="Times New Roman"/>
              </w:rPr>
              <w:t xml:space="preserve">, aby </w:t>
            </w:r>
            <w:r w:rsidR="00E05225">
              <w:rPr>
                <w:rFonts w:eastAsia="Calibri" w:cs="Times New Roman"/>
              </w:rPr>
              <w:t xml:space="preserve">v další fázi přípravy operačního programu </w:t>
            </w:r>
            <w:r w:rsidR="00B71183">
              <w:rPr>
                <w:rFonts w:eastAsia="Calibri" w:cs="Times New Roman"/>
              </w:rPr>
              <w:t xml:space="preserve">ještě více </w:t>
            </w:r>
            <w:r w:rsidR="00F55756">
              <w:rPr>
                <w:rFonts w:eastAsia="Calibri" w:cs="Times New Roman"/>
              </w:rPr>
              <w:t>precizoval</w:t>
            </w:r>
            <w:r w:rsidRPr="005901B2">
              <w:rPr>
                <w:rFonts w:eastAsia="Calibri" w:cs="Times New Roman"/>
              </w:rPr>
              <w:t xml:space="preserve"> popis</w:t>
            </w:r>
            <w:r w:rsidR="00F55756">
              <w:rPr>
                <w:rFonts w:eastAsia="Calibri" w:cs="Times New Roman"/>
              </w:rPr>
              <w:t>y</w:t>
            </w:r>
            <w:r w:rsidRPr="005901B2">
              <w:rPr>
                <w:rFonts w:eastAsia="Calibri" w:cs="Times New Roman"/>
              </w:rPr>
              <w:t xml:space="preserve"> </w:t>
            </w:r>
            <w:r>
              <w:rPr>
                <w:rFonts w:eastAsia="Calibri" w:cs="Times New Roman"/>
              </w:rPr>
              <w:t>vazeb mezi výstupy a výsledky</w:t>
            </w:r>
            <w:r w:rsidRPr="005901B2">
              <w:rPr>
                <w:rFonts w:eastAsia="Calibri" w:cs="Times New Roman"/>
              </w:rPr>
              <w:t xml:space="preserve"> specifických cílů.</w:t>
            </w:r>
          </w:p>
          <w:p w:rsidR="00AD213E" w:rsidRDefault="00AD213E" w:rsidP="00E05225">
            <w:pPr>
              <w:spacing w:after="120"/>
              <w:ind w:left="360"/>
              <w:rPr>
                <w:rFonts w:cs="Tahoma"/>
                <w:szCs w:val="20"/>
              </w:rPr>
            </w:pPr>
            <w:r>
              <w:rPr>
                <w:rFonts w:eastAsia="Calibri" w:cs="Times New Roman"/>
              </w:rPr>
              <w:t xml:space="preserve">U </w:t>
            </w:r>
            <w:r w:rsidR="00B71183">
              <w:rPr>
                <w:rFonts w:eastAsia="Calibri" w:cs="Times New Roman"/>
              </w:rPr>
              <w:t xml:space="preserve">jednotlivých </w:t>
            </w:r>
            <w:r>
              <w:rPr>
                <w:rFonts w:eastAsia="Calibri" w:cs="Times New Roman"/>
              </w:rPr>
              <w:t xml:space="preserve">specifických cílů </w:t>
            </w:r>
            <w:r w:rsidR="0031650C">
              <w:rPr>
                <w:rFonts w:eastAsia="Calibri" w:cs="Times New Roman"/>
              </w:rPr>
              <w:t xml:space="preserve">OP PIK </w:t>
            </w:r>
            <w:r>
              <w:rPr>
                <w:rFonts w:eastAsia="Calibri" w:cs="Times New Roman"/>
              </w:rPr>
              <w:t>by také měl</w:t>
            </w:r>
            <w:r w:rsidR="00B71183">
              <w:rPr>
                <w:rFonts w:eastAsia="Calibri" w:cs="Times New Roman"/>
              </w:rPr>
              <w:t>y</w:t>
            </w:r>
            <w:r>
              <w:rPr>
                <w:rFonts w:eastAsia="Calibri" w:cs="Times New Roman"/>
              </w:rPr>
              <w:t xml:space="preserve"> být popsán</w:t>
            </w:r>
            <w:r w:rsidR="00B71183">
              <w:rPr>
                <w:rFonts w:eastAsia="Calibri" w:cs="Times New Roman"/>
              </w:rPr>
              <w:t xml:space="preserve">y </w:t>
            </w:r>
            <w:r>
              <w:rPr>
                <w:rFonts w:eastAsia="Calibri" w:cs="Times New Roman"/>
              </w:rPr>
              <w:t>další</w:t>
            </w:r>
            <w:r w:rsidR="00B71183">
              <w:rPr>
                <w:rFonts w:eastAsia="Calibri" w:cs="Times New Roman"/>
              </w:rPr>
              <w:t xml:space="preserve"> faktory/</w:t>
            </w:r>
            <w:r>
              <w:rPr>
                <w:rFonts w:eastAsia="Calibri" w:cs="Times New Roman"/>
              </w:rPr>
              <w:t xml:space="preserve">opatření pro dosažení požadovaných změn </w:t>
            </w:r>
            <w:r w:rsidR="00B71183">
              <w:rPr>
                <w:rFonts w:eastAsia="Calibri" w:cs="Times New Roman"/>
              </w:rPr>
              <w:t>ve smyslu dosažení specifických cílů</w:t>
            </w:r>
            <w:r>
              <w:rPr>
                <w:rFonts w:cs="Tahoma"/>
                <w:szCs w:val="20"/>
              </w:rPr>
              <w:t xml:space="preserve"> (viz také bod </w:t>
            </w:r>
            <w:r w:rsidRPr="0031650C">
              <w:rPr>
                <w:rFonts w:cs="Tahoma"/>
                <w:i/>
                <w:szCs w:val="20"/>
              </w:rPr>
              <w:t>b)</w:t>
            </w:r>
            <w:r>
              <w:rPr>
                <w:rFonts w:cs="Tahoma"/>
                <w:szCs w:val="20"/>
              </w:rPr>
              <w:t xml:space="preserve"> výše)</w:t>
            </w:r>
            <w:r w:rsidRPr="005901B2">
              <w:rPr>
                <w:rFonts w:cs="Tahoma"/>
                <w:szCs w:val="20"/>
              </w:rPr>
              <w:t xml:space="preserve">. </w:t>
            </w:r>
          </w:p>
          <w:p w:rsidR="00AD213E" w:rsidRDefault="00AD213E" w:rsidP="00E05225">
            <w:pPr>
              <w:spacing w:after="120"/>
              <w:ind w:left="360"/>
              <w:rPr>
                <w:rFonts w:eastAsia="Calibri" w:cs="Times New Roman"/>
              </w:rPr>
            </w:pPr>
            <w:r>
              <w:rPr>
                <w:rFonts w:eastAsia="Calibri" w:cs="Times New Roman"/>
              </w:rPr>
              <w:t xml:space="preserve">Identifikace hlavních cílových skupin, cílových území i typů příjemců v rámci specifických cílů je dle názoru hodnotitele provedena správně, </w:t>
            </w:r>
            <w:r w:rsidR="0031650C">
              <w:rPr>
                <w:rFonts w:eastAsia="Calibri" w:cs="Times New Roman"/>
              </w:rPr>
              <w:t>s dílčími výhradami</w:t>
            </w:r>
            <w:r>
              <w:rPr>
                <w:rFonts w:eastAsia="Calibri" w:cs="Times New Roman"/>
              </w:rPr>
              <w:t xml:space="preserve">. Tématem k dořešení z pohledu </w:t>
            </w:r>
            <w:r w:rsidR="009E5BE4" w:rsidRPr="009E5BE4">
              <w:rPr>
                <w:rFonts w:eastAsia="Calibri" w:cs="Times New Roman"/>
              </w:rPr>
              <w:t>cílového území programu (programové oblasti) z</w:t>
            </w:r>
            <w:r w:rsidR="009E5BE4" w:rsidRPr="009E5BE4">
              <w:rPr>
                <w:rFonts w:eastAsia="Calibri" w:cs="Times New Roman" w:hint="eastAsia"/>
              </w:rPr>
              <w:t>ů</w:t>
            </w:r>
            <w:r w:rsidR="009E5BE4" w:rsidRPr="009E5BE4">
              <w:rPr>
                <w:rFonts w:eastAsia="Calibri" w:cs="Times New Roman"/>
              </w:rPr>
              <w:t>stává zapojení hl. m. Prahy ve vazb</w:t>
            </w:r>
            <w:r w:rsidR="009E5BE4" w:rsidRPr="009E5BE4">
              <w:rPr>
                <w:rFonts w:eastAsia="Calibri" w:cs="Times New Roman" w:hint="eastAsia"/>
              </w:rPr>
              <w:t>ě</w:t>
            </w:r>
            <w:r w:rsidR="009E5BE4" w:rsidRPr="009E5BE4">
              <w:rPr>
                <w:rFonts w:eastAsia="Calibri" w:cs="Times New Roman"/>
              </w:rPr>
              <w:t xml:space="preserve"> na aplikaci </w:t>
            </w:r>
            <w:r w:rsidR="009E5BE4" w:rsidRPr="009E5BE4">
              <w:rPr>
                <w:rFonts w:eastAsia="Calibri" w:cs="Times New Roman" w:hint="eastAsia"/>
              </w:rPr>
              <w:t>č</w:t>
            </w:r>
            <w:r w:rsidR="009E5BE4" w:rsidRPr="009E5BE4">
              <w:rPr>
                <w:rFonts w:eastAsia="Calibri" w:cs="Times New Roman"/>
              </w:rPr>
              <w:t>l. 70 Obecného na</w:t>
            </w:r>
            <w:r w:rsidR="009E5BE4" w:rsidRPr="009E5BE4">
              <w:rPr>
                <w:rFonts w:eastAsia="Calibri" w:cs="Times New Roman" w:hint="eastAsia"/>
              </w:rPr>
              <w:t>ří</w:t>
            </w:r>
            <w:r w:rsidR="009E5BE4" w:rsidRPr="009E5BE4">
              <w:rPr>
                <w:rFonts w:eastAsia="Calibri" w:cs="Times New Roman"/>
              </w:rPr>
              <w:t>zení.</w:t>
            </w:r>
            <w:r>
              <w:rPr>
                <w:rFonts w:eastAsia="Calibri" w:cs="Times New Roman"/>
              </w:rPr>
              <w:t xml:space="preserve">  </w:t>
            </w:r>
          </w:p>
          <w:p w:rsidR="00AD213E" w:rsidRPr="006E30C7" w:rsidRDefault="001875D2" w:rsidP="001875D2">
            <w:pPr>
              <w:spacing w:after="120"/>
              <w:ind w:left="360"/>
              <w:rPr>
                <w:rFonts w:eastAsia="Calibri" w:cs="Times New Roman"/>
                <w:b/>
                <w:highlight w:val="yellow"/>
              </w:rPr>
            </w:pPr>
            <w:r>
              <w:t xml:space="preserve">Územní dimenze je v operačním programu řešena částečně, s odvoláním na </w:t>
            </w:r>
            <w:r w:rsidRPr="009D4F3A">
              <w:t>Národní dokument k územní dimenzi</w:t>
            </w:r>
            <w:r>
              <w:t xml:space="preserve">. </w:t>
            </w:r>
            <w:r w:rsidRPr="009D4F3A">
              <w:t>Dle názoru hodnotitele by byl</w:t>
            </w:r>
            <w:r>
              <w:t xml:space="preserve">a </w:t>
            </w:r>
            <w:r w:rsidRPr="009D4F3A">
              <w:t xml:space="preserve">žádoucí </w:t>
            </w:r>
            <w:r>
              <w:t xml:space="preserve">výrazná územní koncentrace OP PIK, a to dle charakteru jednotlivých specifických cílů a plánovaných opatření.   </w:t>
            </w:r>
          </w:p>
        </w:tc>
      </w:tr>
      <w:tr w:rsidR="00AD213E" w:rsidTr="00E05225">
        <w:tc>
          <w:tcPr>
            <w:tcW w:w="9210" w:type="dxa"/>
          </w:tcPr>
          <w:p w:rsidR="00AD213E" w:rsidRPr="00694648" w:rsidRDefault="00AD213E" w:rsidP="00C6279B">
            <w:pPr>
              <w:numPr>
                <w:ilvl w:val="0"/>
                <w:numId w:val="22"/>
              </w:numPr>
              <w:spacing w:after="120"/>
              <w:rPr>
                <w:rFonts w:eastAsia="Calibri" w:cs="Times New Roman"/>
                <w:i/>
              </w:rPr>
            </w:pPr>
            <w:r w:rsidRPr="00694648">
              <w:rPr>
                <w:rFonts w:eastAsia="Calibri" w:cs="Times New Roman"/>
                <w:i/>
              </w:rPr>
              <w:t xml:space="preserve">Zda jsou kvantifikované cílové hodnoty ukazatelů reálné s ohledem na plánovanou výši podpory z ESI fondů </w:t>
            </w:r>
          </w:p>
          <w:p w:rsidR="009D776E" w:rsidRPr="00B71183" w:rsidRDefault="00B71183" w:rsidP="005F5D6F">
            <w:pPr>
              <w:spacing w:after="120"/>
              <w:ind w:left="360"/>
              <w:rPr>
                <w:rFonts w:eastAsia="Calibri" w:cs="Times New Roman"/>
              </w:rPr>
            </w:pPr>
            <w:r>
              <w:rPr>
                <w:rFonts w:eastAsia="Calibri" w:cs="Times New Roman"/>
              </w:rPr>
              <w:t>Dle názoru hodnotitele jsou c</w:t>
            </w:r>
            <w:r w:rsidR="009D776E" w:rsidRPr="009D776E">
              <w:rPr>
                <w:rFonts w:eastAsia="Calibri" w:cs="Times New Roman"/>
              </w:rPr>
              <w:t xml:space="preserve">ílové hodnoty </w:t>
            </w:r>
            <w:r>
              <w:rPr>
                <w:rFonts w:eastAsia="Calibri" w:cs="Times New Roman"/>
              </w:rPr>
              <w:t>ukazatelů</w:t>
            </w:r>
            <w:r w:rsidR="009D776E" w:rsidRPr="009D776E">
              <w:rPr>
                <w:rFonts w:eastAsia="Calibri" w:cs="Times New Roman"/>
              </w:rPr>
              <w:t xml:space="preserve"> </w:t>
            </w:r>
            <w:r w:rsidR="009D776E">
              <w:rPr>
                <w:rFonts w:eastAsia="Calibri" w:cs="Times New Roman"/>
              </w:rPr>
              <w:t>kvantifikovány reálně</w:t>
            </w:r>
            <w:r w:rsidR="009D776E" w:rsidRPr="009D776E">
              <w:rPr>
                <w:rFonts w:eastAsia="Calibri" w:cs="Times New Roman"/>
              </w:rPr>
              <w:t xml:space="preserve">, ovšem nelze je zatím považovat za </w:t>
            </w:r>
            <w:r w:rsidR="0031650C">
              <w:rPr>
                <w:rFonts w:eastAsia="Calibri" w:cs="Times New Roman"/>
              </w:rPr>
              <w:t xml:space="preserve">zcela </w:t>
            </w:r>
            <w:r w:rsidR="009D776E" w:rsidRPr="009D776E">
              <w:rPr>
                <w:rFonts w:eastAsia="Calibri" w:cs="Times New Roman"/>
              </w:rPr>
              <w:t>definitivn</w:t>
            </w:r>
            <w:r w:rsidR="009D776E" w:rsidRPr="005F1E32">
              <w:rPr>
                <w:rFonts w:eastAsia="Calibri" w:cs="Times New Roman"/>
              </w:rPr>
              <w:t>í</w:t>
            </w:r>
            <w:r w:rsidR="009E5BE4" w:rsidRPr="009E5BE4">
              <w:rPr>
                <w:rFonts w:eastAsia="Calibri" w:cs="Times New Roman"/>
              </w:rPr>
              <w:t>, a dá se proto p</w:t>
            </w:r>
            <w:r w:rsidR="009E5BE4" w:rsidRPr="009E5BE4">
              <w:rPr>
                <w:rFonts w:eastAsia="Calibri" w:cs="Times New Roman" w:hint="eastAsia"/>
              </w:rPr>
              <w:t>ř</w:t>
            </w:r>
            <w:r w:rsidR="009E5BE4" w:rsidRPr="009E5BE4">
              <w:rPr>
                <w:rFonts w:eastAsia="Calibri" w:cs="Times New Roman"/>
              </w:rPr>
              <w:t>edpokládat, že v dalším pr</w:t>
            </w:r>
            <w:r w:rsidR="009E5BE4" w:rsidRPr="009E5BE4">
              <w:rPr>
                <w:rFonts w:eastAsia="Calibri" w:cs="Times New Roman" w:hint="eastAsia"/>
              </w:rPr>
              <w:t>ů</w:t>
            </w:r>
            <w:r w:rsidR="009E5BE4" w:rsidRPr="009E5BE4">
              <w:rPr>
                <w:rFonts w:eastAsia="Calibri" w:cs="Times New Roman"/>
              </w:rPr>
              <w:t>b</w:t>
            </w:r>
            <w:r w:rsidR="009E5BE4" w:rsidRPr="009E5BE4">
              <w:rPr>
                <w:rFonts w:eastAsia="Calibri" w:cs="Times New Roman" w:hint="eastAsia"/>
              </w:rPr>
              <w:t>ě</w:t>
            </w:r>
            <w:r w:rsidR="009E5BE4" w:rsidRPr="009E5BE4">
              <w:rPr>
                <w:rFonts w:eastAsia="Calibri" w:cs="Times New Roman"/>
              </w:rPr>
              <w:t>hu p</w:t>
            </w:r>
            <w:r w:rsidR="009E5BE4" w:rsidRPr="009E5BE4">
              <w:rPr>
                <w:rFonts w:eastAsia="Calibri" w:cs="Times New Roman" w:hint="eastAsia"/>
              </w:rPr>
              <w:t>ří</w:t>
            </w:r>
            <w:r w:rsidR="009E5BE4" w:rsidRPr="009E5BE4">
              <w:rPr>
                <w:rFonts w:eastAsia="Calibri" w:cs="Times New Roman"/>
              </w:rPr>
              <w:t>prav i následné implementace programu budou dále zp</w:t>
            </w:r>
            <w:r w:rsidR="009E5BE4" w:rsidRPr="009E5BE4">
              <w:rPr>
                <w:rFonts w:eastAsia="Calibri" w:cs="Times New Roman" w:hint="eastAsia"/>
              </w:rPr>
              <w:t>ř</w:t>
            </w:r>
            <w:r w:rsidR="009E5BE4" w:rsidRPr="009E5BE4">
              <w:rPr>
                <w:rFonts w:eastAsia="Calibri" w:cs="Times New Roman"/>
              </w:rPr>
              <w:t>es</w:t>
            </w:r>
            <w:r w:rsidR="009E5BE4" w:rsidRPr="009E5BE4">
              <w:rPr>
                <w:rFonts w:eastAsia="Calibri" w:cs="Times New Roman" w:hint="eastAsia"/>
              </w:rPr>
              <w:t>ň</w:t>
            </w:r>
            <w:r w:rsidR="009E5BE4" w:rsidRPr="009E5BE4">
              <w:rPr>
                <w:rFonts w:eastAsia="Calibri" w:cs="Times New Roman"/>
              </w:rPr>
              <w:t>ovány, pravd</w:t>
            </w:r>
            <w:r w:rsidR="009E5BE4" w:rsidRPr="009E5BE4">
              <w:rPr>
                <w:rFonts w:eastAsia="Calibri" w:cs="Times New Roman" w:hint="eastAsia"/>
              </w:rPr>
              <w:t>ě</w:t>
            </w:r>
            <w:r w:rsidR="009E5BE4" w:rsidRPr="009E5BE4">
              <w:rPr>
                <w:rFonts w:eastAsia="Calibri" w:cs="Times New Roman"/>
              </w:rPr>
              <w:t>podobn</w:t>
            </w:r>
            <w:r w:rsidR="009E5BE4" w:rsidRPr="009E5BE4">
              <w:rPr>
                <w:rFonts w:eastAsia="Calibri" w:cs="Times New Roman" w:hint="eastAsia"/>
              </w:rPr>
              <w:t>ě</w:t>
            </w:r>
            <w:r w:rsidR="009E5BE4" w:rsidRPr="009E5BE4">
              <w:rPr>
                <w:rFonts w:eastAsia="Calibri" w:cs="Times New Roman"/>
              </w:rPr>
              <w:t xml:space="preserve"> ve vazb</w:t>
            </w:r>
            <w:r w:rsidR="009E5BE4" w:rsidRPr="009E5BE4">
              <w:rPr>
                <w:rFonts w:eastAsia="Calibri" w:cs="Times New Roman" w:hint="eastAsia"/>
              </w:rPr>
              <w:t>ě</w:t>
            </w:r>
            <w:r w:rsidR="009E5BE4" w:rsidRPr="009E5BE4">
              <w:rPr>
                <w:rFonts w:eastAsia="Calibri" w:cs="Times New Roman"/>
              </w:rPr>
              <w:t xml:space="preserve"> na stanovení zp</w:t>
            </w:r>
            <w:r w:rsidR="009E5BE4" w:rsidRPr="009E5BE4">
              <w:rPr>
                <w:rFonts w:eastAsia="Calibri" w:cs="Times New Roman" w:hint="eastAsia"/>
              </w:rPr>
              <w:t>ů</w:t>
            </w:r>
            <w:r w:rsidR="009E5BE4" w:rsidRPr="009E5BE4">
              <w:rPr>
                <w:rFonts w:eastAsia="Calibri" w:cs="Times New Roman"/>
              </w:rPr>
              <w:t>sobu národního spolufinancování, a dále ve vazb</w:t>
            </w:r>
            <w:r w:rsidR="009E5BE4" w:rsidRPr="009E5BE4">
              <w:rPr>
                <w:rFonts w:eastAsia="Calibri" w:cs="Times New Roman" w:hint="eastAsia"/>
              </w:rPr>
              <w:t>ě</w:t>
            </w:r>
            <w:r w:rsidR="009E5BE4" w:rsidRPr="009E5BE4">
              <w:rPr>
                <w:rFonts w:eastAsia="Calibri" w:cs="Times New Roman"/>
              </w:rPr>
              <w:t xml:space="preserve"> na výsledky p</w:t>
            </w:r>
            <w:r w:rsidR="009E5BE4" w:rsidRPr="009E5BE4">
              <w:rPr>
                <w:rFonts w:eastAsia="Calibri" w:cs="Times New Roman" w:hint="eastAsia"/>
              </w:rPr>
              <w:t>ř</w:t>
            </w:r>
            <w:r w:rsidR="009E5BE4" w:rsidRPr="009E5BE4">
              <w:rPr>
                <w:rFonts w:eastAsia="Calibri" w:cs="Times New Roman"/>
              </w:rPr>
              <w:t>edb</w:t>
            </w:r>
            <w:r w:rsidR="009E5BE4" w:rsidRPr="009E5BE4">
              <w:rPr>
                <w:rFonts w:eastAsia="Calibri" w:cs="Times New Roman" w:hint="eastAsia"/>
              </w:rPr>
              <w:t>ěž</w:t>
            </w:r>
            <w:r w:rsidR="009E5BE4" w:rsidRPr="009E5BE4">
              <w:rPr>
                <w:rFonts w:eastAsia="Calibri" w:cs="Times New Roman"/>
              </w:rPr>
              <w:t xml:space="preserve">né posouzení </w:t>
            </w:r>
            <w:r w:rsidR="009E5BE4" w:rsidRPr="009E5BE4">
              <w:rPr>
                <w:rFonts w:eastAsia="Calibri" w:cs="Times New Roman"/>
              </w:rPr>
              <w:lastRenderedPageBreak/>
              <w:t>finan</w:t>
            </w:r>
            <w:r w:rsidR="009E5BE4" w:rsidRPr="009E5BE4">
              <w:rPr>
                <w:rFonts w:eastAsia="Calibri" w:cs="Times New Roman" w:hint="eastAsia"/>
              </w:rPr>
              <w:t>č</w:t>
            </w:r>
            <w:r w:rsidR="009E5BE4" w:rsidRPr="009E5BE4">
              <w:rPr>
                <w:rFonts w:eastAsia="Calibri" w:cs="Times New Roman"/>
              </w:rPr>
              <w:t>ních nástroj</w:t>
            </w:r>
            <w:r w:rsidR="009E5BE4" w:rsidRPr="009E5BE4">
              <w:rPr>
                <w:rFonts w:eastAsia="Calibri" w:cs="Times New Roman" w:hint="eastAsia"/>
              </w:rPr>
              <w:t>ů</w:t>
            </w:r>
            <w:r w:rsidR="009E5BE4" w:rsidRPr="009E5BE4">
              <w:rPr>
                <w:rFonts w:eastAsia="Calibri" w:cs="Times New Roman"/>
              </w:rPr>
              <w:t xml:space="preserve"> dle </w:t>
            </w:r>
            <w:r w:rsidR="009E5BE4" w:rsidRPr="009E5BE4">
              <w:rPr>
                <w:rFonts w:eastAsia="Calibri" w:cs="Times New Roman" w:hint="eastAsia"/>
              </w:rPr>
              <w:t>č</w:t>
            </w:r>
            <w:r w:rsidR="009E5BE4" w:rsidRPr="009E5BE4">
              <w:rPr>
                <w:rFonts w:eastAsia="Calibri" w:cs="Times New Roman"/>
              </w:rPr>
              <w:t>l. 37 Obecného na</w:t>
            </w:r>
            <w:r w:rsidR="009E5BE4" w:rsidRPr="009E5BE4">
              <w:rPr>
                <w:rFonts w:eastAsia="Calibri" w:cs="Times New Roman" w:hint="eastAsia"/>
              </w:rPr>
              <w:t>ří</w:t>
            </w:r>
            <w:r w:rsidR="009E5BE4" w:rsidRPr="009E5BE4">
              <w:rPr>
                <w:rFonts w:eastAsia="Calibri" w:cs="Times New Roman"/>
              </w:rPr>
              <w:t>zení.</w:t>
            </w:r>
          </w:p>
        </w:tc>
      </w:tr>
      <w:tr w:rsidR="00AD213E" w:rsidTr="00E05225">
        <w:tc>
          <w:tcPr>
            <w:tcW w:w="9210" w:type="dxa"/>
          </w:tcPr>
          <w:p w:rsidR="00AD213E" w:rsidRPr="00694648" w:rsidRDefault="00AD213E" w:rsidP="00C6279B">
            <w:pPr>
              <w:numPr>
                <w:ilvl w:val="0"/>
                <w:numId w:val="22"/>
              </w:numPr>
              <w:spacing w:after="120"/>
              <w:rPr>
                <w:rFonts w:eastAsia="Calibri" w:cs="Times New Roman"/>
                <w:i/>
              </w:rPr>
            </w:pPr>
            <w:r w:rsidRPr="00694648">
              <w:rPr>
                <w:rFonts w:eastAsia="Calibri" w:cs="Times New Roman"/>
                <w:i/>
              </w:rPr>
              <w:lastRenderedPageBreak/>
              <w:t>Odůvodnění navrhované formy podpory</w:t>
            </w:r>
          </w:p>
          <w:p w:rsidR="00AD213E" w:rsidRPr="00A57F4C" w:rsidRDefault="00897B17" w:rsidP="00E05225">
            <w:pPr>
              <w:spacing w:after="120"/>
              <w:ind w:left="360"/>
              <w:rPr>
                <w:rFonts w:eastAsia="Calibri" w:cs="Times New Roman"/>
              </w:rPr>
            </w:pPr>
            <w:r>
              <w:rPr>
                <w:rFonts w:eastAsia="Calibri" w:cs="Times New Roman"/>
              </w:rPr>
              <w:t>Hodnotitel se domnívá, že formy podpory jsou v jednotlivých prioritních osách OP PIK navrženy správě a jsou v souladu s principem podpory fungujícího trhu.</w:t>
            </w:r>
            <w:r w:rsidR="00AD213E" w:rsidRPr="00A57F4C">
              <w:rPr>
                <w:rFonts w:eastAsia="Calibri" w:cs="Times New Roman"/>
              </w:rPr>
              <w:t xml:space="preserve"> </w:t>
            </w:r>
          </w:p>
          <w:p w:rsidR="00AD213E" w:rsidRDefault="00AD213E" w:rsidP="00E05225">
            <w:pPr>
              <w:spacing w:after="120"/>
              <w:ind w:left="360"/>
              <w:rPr>
                <w:rFonts w:eastAsia="Calibri" w:cs="Times New Roman"/>
              </w:rPr>
            </w:pPr>
            <w:r w:rsidRPr="00A57F4C">
              <w:rPr>
                <w:rFonts w:eastAsia="Calibri" w:cs="Times New Roman"/>
              </w:rPr>
              <w:t xml:space="preserve">Hodnotitel předpokládá, že formy </w:t>
            </w:r>
            <w:r>
              <w:rPr>
                <w:rFonts w:eastAsia="Calibri" w:cs="Times New Roman"/>
              </w:rPr>
              <w:t>podpory budou</w:t>
            </w:r>
            <w:r w:rsidRPr="00A57F4C">
              <w:rPr>
                <w:rFonts w:eastAsia="Calibri" w:cs="Times New Roman"/>
              </w:rPr>
              <w:t xml:space="preserve"> dále upřesňovány a zdůvodňovány, a to zejména v návaznosti na výsledky ex ante analýzy finančních nástrojů, na kterou se zpracovatel v textu programu odvolává.</w:t>
            </w:r>
          </w:p>
          <w:p w:rsidR="00AD213E" w:rsidRPr="00A57F4C" w:rsidRDefault="00AD213E" w:rsidP="005F5D6F">
            <w:pPr>
              <w:spacing w:after="120"/>
              <w:ind w:left="360"/>
              <w:rPr>
                <w:rFonts w:eastAsia="Calibri" w:cs="Times New Roman"/>
                <w:highlight w:val="yellow"/>
              </w:rPr>
            </w:pPr>
            <w:r>
              <w:rPr>
                <w:rFonts w:eastAsia="Calibri" w:cs="Times New Roman"/>
              </w:rPr>
              <w:t xml:space="preserve">Hodnotitel obecně doporučuje maximálně realistický přístup ve vztahu k finančním nástrojům a jejich využití v OP PIK. Zejména je nutné pečlivě analyzovat a ověřovat reálnou absorpční kapacitu pro tyto formy podpory. </w:t>
            </w:r>
            <w:r w:rsidRPr="00A57F4C">
              <w:rPr>
                <w:rFonts w:eastAsia="Calibri" w:cs="Times New Roman"/>
              </w:rPr>
              <w:t xml:space="preserve"> </w:t>
            </w:r>
          </w:p>
        </w:tc>
      </w:tr>
      <w:tr w:rsidR="00AD213E" w:rsidTr="00E05225">
        <w:tc>
          <w:tcPr>
            <w:tcW w:w="9210" w:type="dxa"/>
          </w:tcPr>
          <w:p w:rsidR="00AD213E" w:rsidRPr="00694648" w:rsidRDefault="00AD213E" w:rsidP="00C6279B">
            <w:pPr>
              <w:numPr>
                <w:ilvl w:val="0"/>
                <w:numId w:val="22"/>
              </w:numPr>
              <w:spacing w:after="120"/>
              <w:rPr>
                <w:rFonts w:eastAsia="Calibri" w:cs="Times New Roman"/>
                <w:i/>
              </w:rPr>
            </w:pPr>
            <w:r w:rsidRPr="00694648">
              <w:rPr>
                <w:rFonts w:eastAsia="Calibri" w:cs="Times New Roman"/>
                <w:i/>
              </w:rPr>
              <w:t>Přiměřenost lidských zdrojů a správní (administrativní) kapacity pro řízení programu</w:t>
            </w:r>
          </w:p>
          <w:p w:rsidR="00897B17" w:rsidRDefault="0031650C" w:rsidP="00897B17">
            <w:pPr>
              <w:spacing w:after="120"/>
              <w:ind w:left="360"/>
              <w:rPr>
                <w:rFonts w:ascii="Times New Roman" w:eastAsia="Times New Roman" w:hAnsi="Times New Roman" w:cs="Times New Roman"/>
                <w:szCs w:val="20"/>
                <w:lang w:eastAsia="cs-CZ"/>
              </w:rPr>
            </w:pPr>
            <w:r>
              <w:rPr>
                <w:rFonts w:eastAsia="Calibri" w:cs="Times New Roman"/>
              </w:rPr>
              <w:t>L</w:t>
            </w:r>
            <w:r w:rsidR="00897B17" w:rsidRPr="00897B17">
              <w:rPr>
                <w:rFonts w:eastAsia="Calibri" w:cs="Times New Roman"/>
              </w:rPr>
              <w:t>idsk</w:t>
            </w:r>
            <w:r>
              <w:rPr>
                <w:rFonts w:eastAsia="Calibri" w:cs="Times New Roman"/>
              </w:rPr>
              <w:t>é</w:t>
            </w:r>
            <w:r w:rsidR="00897B17" w:rsidRPr="00897B17">
              <w:rPr>
                <w:rFonts w:eastAsia="Calibri" w:cs="Times New Roman"/>
              </w:rPr>
              <w:t xml:space="preserve"> zdroj</w:t>
            </w:r>
            <w:r>
              <w:rPr>
                <w:rFonts w:eastAsia="Calibri" w:cs="Times New Roman"/>
              </w:rPr>
              <w:t>e</w:t>
            </w:r>
            <w:r w:rsidR="00897B17" w:rsidRPr="00897B17">
              <w:rPr>
                <w:rFonts w:eastAsia="Calibri" w:cs="Times New Roman"/>
              </w:rPr>
              <w:t xml:space="preserve"> a </w:t>
            </w:r>
            <w:r>
              <w:rPr>
                <w:rFonts w:eastAsia="Calibri" w:cs="Times New Roman"/>
              </w:rPr>
              <w:t>správní (</w:t>
            </w:r>
            <w:r w:rsidR="00897B17" w:rsidRPr="00897B17">
              <w:rPr>
                <w:rFonts w:eastAsia="Calibri" w:cs="Times New Roman"/>
              </w:rPr>
              <w:t>administrativní</w:t>
            </w:r>
            <w:r>
              <w:rPr>
                <w:rFonts w:eastAsia="Calibri" w:cs="Times New Roman"/>
              </w:rPr>
              <w:t>) kapacita</w:t>
            </w:r>
            <w:r w:rsidR="00897B17" w:rsidRPr="00897B17">
              <w:rPr>
                <w:rFonts w:eastAsia="Calibri" w:cs="Times New Roman"/>
              </w:rPr>
              <w:t xml:space="preserve"> pro řízení programu nejsou v textu programu </w:t>
            </w:r>
            <w:r>
              <w:rPr>
                <w:rFonts w:eastAsia="Calibri" w:cs="Times New Roman"/>
              </w:rPr>
              <w:t xml:space="preserve">explicitně </w:t>
            </w:r>
            <w:r w:rsidR="00897B17" w:rsidRPr="00897B17">
              <w:rPr>
                <w:rFonts w:eastAsia="Calibri" w:cs="Times New Roman"/>
              </w:rPr>
              <w:t>uvedeny</w:t>
            </w:r>
            <w:r>
              <w:rPr>
                <w:rFonts w:eastAsia="Calibri" w:cs="Times New Roman"/>
              </w:rPr>
              <w:t xml:space="preserve"> a popsány</w:t>
            </w:r>
            <w:r w:rsidR="00897B17" w:rsidRPr="00897B17">
              <w:rPr>
                <w:rFonts w:eastAsia="Calibri" w:cs="Times New Roman"/>
              </w:rPr>
              <w:t xml:space="preserve"> vzhledem k tomu, že dle „Vzoru pro operační programy v rámci cíle Investice pro růst a zaměstnanost“, který tvoří přílohu prováděcího nařízení Komise (EU) č. 288/2014 ze dne 25. února 2014, není toto téma součástí </w:t>
            </w:r>
            <w:r>
              <w:rPr>
                <w:rFonts w:eastAsia="Calibri" w:cs="Times New Roman"/>
              </w:rPr>
              <w:t xml:space="preserve">struktury </w:t>
            </w:r>
            <w:r w:rsidR="00897B17" w:rsidRPr="00897B17">
              <w:rPr>
                <w:rFonts w:eastAsia="Calibri" w:cs="Times New Roman"/>
              </w:rPr>
              <w:t>operačního programu.</w:t>
            </w:r>
          </w:p>
          <w:p w:rsidR="00AD213E" w:rsidRDefault="00AD213E" w:rsidP="00E05225">
            <w:pPr>
              <w:spacing w:after="120"/>
              <w:ind w:left="360"/>
              <w:rPr>
                <w:rFonts w:eastAsia="Calibri" w:cs="Times New Roman"/>
              </w:rPr>
            </w:pPr>
            <w:r w:rsidRPr="0096438F">
              <w:rPr>
                <w:rFonts w:eastAsia="Calibri" w:cs="Times New Roman"/>
              </w:rPr>
              <w:t xml:space="preserve">Hodnotitel </w:t>
            </w:r>
            <w:r w:rsidR="0031650C">
              <w:rPr>
                <w:rFonts w:eastAsia="Calibri" w:cs="Times New Roman"/>
              </w:rPr>
              <w:t>přesto</w:t>
            </w:r>
            <w:r w:rsidRPr="0096438F">
              <w:rPr>
                <w:rFonts w:eastAsia="Calibri" w:cs="Times New Roman"/>
              </w:rPr>
              <w:t xml:space="preserve"> doporučuje </w:t>
            </w:r>
            <w:r w:rsidR="00897B17">
              <w:rPr>
                <w:rFonts w:eastAsia="Calibri" w:cs="Times New Roman"/>
              </w:rPr>
              <w:t>ř</w:t>
            </w:r>
            <w:r>
              <w:rPr>
                <w:rFonts w:eastAsia="Calibri" w:cs="Times New Roman"/>
              </w:rPr>
              <w:t xml:space="preserve">ídícímu orgánu provést </w:t>
            </w:r>
            <w:r w:rsidR="00897B17">
              <w:rPr>
                <w:rFonts w:eastAsia="Calibri" w:cs="Times New Roman"/>
              </w:rPr>
              <w:t xml:space="preserve">důkladnou </w:t>
            </w:r>
            <w:r w:rsidRPr="0096438F">
              <w:rPr>
                <w:rFonts w:eastAsia="Calibri" w:cs="Times New Roman"/>
              </w:rPr>
              <w:t>analýzu administrativní kapacity pro OP PIK, která by</w:t>
            </w:r>
            <w:r>
              <w:rPr>
                <w:rFonts w:eastAsia="Calibri" w:cs="Times New Roman"/>
              </w:rPr>
              <w:t>: i</w:t>
            </w:r>
            <w:r w:rsidR="00897B17">
              <w:rPr>
                <w:rFonts w:eastAsia="Calibri" w:cs="Times New Roman"/>
              </w:rPr>
              <w:t>.</w:t>
            </w:r>
            <w:r>
              <w:rPr>
                <w:rFonts w:eastAsia="Calibri" w:cs="Times New Roman"/>
              </w:rPr>
              <w:t xml:space="preserve"> </w:t>
            </w:r>
            <w:r w:rsidRPr="0096438F">
              <w:rPr>
                <w:rFonts w:eastAsia="Calibri" w:cs="Times New Roman"/>
              </w:rPr>
              <w:t>navrhla optimální model kapacitního zabezpečení implementační struktury OP PIK,</w:t>
            </w:r>
            <w:r>
              <w:rPr>
                <w:rFonts w:eastAsia="Calibri" w:cs="Times New Roman"/>
              </w:rPr>
              <w:t xml:space="preserve"> </w:t>
            </w:r>
            <w:proofErr w:type="spellStart"/>
            <w:r>
              <w:rPr>
                <w:rFonts w:eastAsia="Calibri" w:cs="Times New Roman"/>
              </w:rPr>
              <w:t>ii</w:t>
            </w:r>
            <w:proofErr w:type="spellEnd"/>
            <w:r w:rsidR="00897B17">
              <w:rPr>
                <w:rFonts w:eastAsia="Calibri" w:cs="Times New Roman"/>
              </w:rPr>
              <w:t>.</w:t>
            </w:r>
            <w:r>
              <w:rPr>
                <w:rFonts w:eastAsia="Calibri" w:cs="Times New Roman"/>
              </w:rPr>
              <w:t xml:space="preserve"> </w:t>
            </w:r>
            <w:r w:rsidRPr="0096438F">
              <w:rPr>
                <w:rFonts w:eastAsia="Calibri" w:cs="Times New Roman"/>
              </w:rPr>
              <w:t xml:space="preserve">prověřila stávající personální kapacity </w:t>
            </w:r>
            <w:r>
              <w:rPr>
                <w:rFonts w:eastAsia="Calibri" w:cs="Times New Roman"/>
              </w:rPr>
              <w:t>ŘO a zvažovaných zprostředkujících subjektů (</w:t>
            </w:r>
            <w:proofErr w:type="spellStart"/>
            <w:r w:rsidRPr="0096438F">
              <w:rPr>
                <w:rFonts w:eastAsia="Calibri" w:cs="Times New Roman"/>
              </w:rPr>
              <w:t>CzechInvest</w:t>
            </w:r>
            <w:proofErr w:type="spellEnd"/>
            <w:r>
              <w:rPr>
                <w:rFonts w:eastAsia="Calibri" w:cs="Times New Roman"/>
              </w:rPr>
              <w:t xml:space="preserve"> a T</w:t>
            </w:r>
            <w:r w:rsidRPr="0096438F">
              <w:rPr>
                <w:rFonts w:eastAsia="Calibri" w:cs="Times New Roman"/>
              </w:rPr>
              <w:t>A ČR),</w:t>
            </w:r>
            <w:r>
              <w:rPr>
                <w:rFonts w:eastAsia="Calibri" w:cs="Times New Roman"/>
              </w:rPr>
              <w:t xml:space="preserve"> </w:t>
            </w:r>
            <w:proofErr w:type="spellStart"/>
            <w:r>
              <w:rPr>
                <w:rFonts w:eastAsia="Calibri" w:cs="Times New Roman"/>
              </w:rPr>
              <w:t>iii</w:t>
            </w:r>
            <w:proofErr w:type="spellEnd"/>
            <w:r w:rsidR="00897B17">
              <w:rPr>
                <w:rFonts w:eastAsia="Calibri" w:cs="Times New Roman"/>
              </w:rPr>
              <w:t>.</w:t>
            </w:r>
            <w:r>
              <w:rPr>
                <w:rFonts w:eastAsia="Calibri" w:cs="Times New Roman"/>
              </w:rPr>
              <w:t xml:space="preserve"> </w:t>
            </w:r>
            <w:r w:rsidRPr="0096438F">
              <w:rPr>
                <w:rFonts w:eastAsia="Calibri" w:cs="Times New Roman"/>
              </w:rPr>
              <w:t xml:space="preserve">následně provedla srovnání aktuálního stavu s „optimální“ variantou, identifikovala riziková místa implementace programu a </w:t>
            </w:r>
            <w:proofErr w:type="spellStart"/>
            <w:r>
              <w:rPr>
                <w:rFonts w:eastAsia="Calibri" w:cs="Times New Roman"/>
              </w:rPr>
              <w:t>iv</w:t>
            </w:r>
            <w:proofErr w:type="spellEnd"/>
            <w:r w:rsidR="00897B17">
              <w:rPr>
                <w:rFonts w:eastAsia="Calibri" w:cs="Times New Roman"/>
              </w:rPr>
              <w:t>.</w:t>
            </w:r>
            <w:r>
              <w:rPr>
                <w:rFonts w:eastAsia="Calibri" w:cs="Times New Roman"/>
              </w:rPr>
              <w:t xml:space="preserve"> </w:t>
            </w:r>
            <w:r w:rsidRPr="0096438F">
              <w:rPr>
                <w:rFonts w:eastAsia="Calibri" w:cs="Times New Roman"/>
              </w:rPr>
              <w:t>navrhla příslušná opatření.</w:t>
            </w:r>
          </w:p>
          <w:p w:rsidR="00AD213E" w:rsidRDefault="00AD213E" w:rsidP="00E05225">
            <w:pPr>
              <w:spacing w:after="120"/>
              <w:ind w:left="360"/>
              <w:rPr>
                <w:rFonts w:eastAsia="Calibri" w:cs="Times New Roman"/>
              </w:rPr>
            </w:pPr>
            <w:r w:rsidRPr="00902079">
              <w:rPr>
                <w:rFonts w:eastAsia="Calibri" w:cs="Times New Roman"/>
              </w:rPr>
              <w:t>Hodnotitel spatřuje - na základě dosavadního průběhu a zkušeností s implementací OPPI i se strukturálními fondy v ČR v programov</w:t>
            </w:r>
            <w:r>
              <w:rPr>
                <w:rFonts w:eastAsia="Calibri" w:cs="Times New Roman"/>
              </w:rPr>
              <w:t>acím</w:t>
            </w:r>
            <w:r w:rsidRPr="00902079">
              <w:rPr>
                <w:rFonts w:eastAsia="Calibri" w:cs="Times New Roman"/>
              </w:rPr>
              <w:t xml:space="preserve"> období 2007</w:t>
            </w:r>
            <w:r w:rsidR="002208A9">
              <w:rPr>
                <w:rFonts w:eastAsia="Calibri" w:cs="Times New Roman"/>
              </w:rPr>
              <w:t xml:space="preserve"> </w:t>
            </w:r>
            <w:r w:rsidRPr="00902079">
              <w:rPr>
                <w:rFonts w:eastAsia="Calibri" w:cs="Times New Roman"/>
              </w:rPr>
              <w:t>-</w:t>
            </w:r>
            <w:r w:rsidR="002208A9">
              <w:rPr>
                <w:rFonts w:eastAsia="Calibri" w:cs="Times New Roman"/>
              </w:rPr>
              <w:t xml:space="preserve"> </w:t>
            </w:r>
            <w:r w:rsidRPr="00902079">
              <w:rPr>
                <w:rFonts w:eastAsia="Calibri" w:cs="Times New Roman"/>
              </w:rPr>
              <w:t>2013 obecně</w:t>
            </w:r>
            <w:r>
              <w:rPr>
                <w:rFonts w:eastAsia="Calibri" w:cs="Times New Roman"/>
              </w:rPr>
              <w:t>,</w:t>
            </w:r>
            <w:r w:rsidRPr="00902079">
              <w:rPr>
                <w:rFonts w:eastAsia="Calibri" w:cs="Times New Roman"/>
              </w:rPr>
              <w:t xml:space="preserve"> a také s ohledem na nová pravidla a požadavky nového programov</w:t>
            </w:r>
            <w:r>
              <w:rPr>
                <w:rFonts w:eastAsia="Calibri" w:cs="Times New Roman"/>
              </w:rPr>
              <w:t>acího</w:t>
            </w:r>
            <w:r w:rsidRPr="00902079">
              <w:rPr>
                <w:rFonts w:eastAsia="Calibri" w:cs="Times New Roman"/>
              </w:rPr>
              <w:t xml:space="preserve"> období</w:t>
            </w:r>
            <w:r>
              <w:rPr>
                <w:rFonts w:eastAsia="Calibri" w:cs="Times New Roman"/>
              </w:rPr>
              <w:t xml:space="preserve"> 2014</w:t>
            </w:r>
            <w:r w:rsidR="002208A9">
              <w:rPr>
                <w:rFonts w:eastAsia="Calibri" w:cs="Times New Roman"/>
              </w:rPr>
              <w:t xml:space="preserve"> </w:t>
            </w:r>
            <w:r>
              <w:rPr>
                <w:rFonts w:eastAsia="Calibri" w:cs="Times New Roman"/>
              </w:rPr>
              <w:t>-</w:t>
            </w:r>
            <w:r w:rsidR="002208A9">
              <w:rPr>
                <w:rFonts w:eastAsia="Calibri" w:cs="Times New Roman"/>
              </w:rPr>
              <w:t xml:space="preserve"> </w:t>
            </w:r>
            <w:r>
              <w:rPr>
                <w:rFonts w:eastAsia="Calibri" w:cs="Times New Roman"/>
              </w:rPr>
              <w:t>2020</w:t>
            </w:r>
            <w:r w:rsidRPr="00902079">
              <w:rPr>
                <w:rFonts w:eastAsia="Calibri" w:cs="Times New Roman"/>
              </w:rPr>
              <w:t xml:space="preserve"> – následující významná rizika pro implementac</w:t>
            </w:r>
            <w:r>
              <w:rPr>
                <w:rFonts w:eastAsia="Calibri" w:cs="Times New Roman"/>
              </w:rPr>
              <w:t>i</w:t>
            </w:r>
            <w:r w:rsidRPr="00902079">
              <w:rPr>
                <w:rFonts w:eastAsia="Calibri" w:cs="Times New Roman"/>
              </w:rPr>
              <w:t xml:space="preserve"> nového </w:t>
            </w:r>
            <w:r>
              <w:rPr>
                <w:rFonts w:eastAsia="Calibri" w:cs="Times New Roman"/>
              </w:rPr>
              <w:t>OP PIK, na která je potřeba reagovat a přijmout vhodná a účinná opatření</w:t>
            </w:r>
            <w:r w:rsidRPr="00902079">
              <w:rPr>
                <w:rFonts w:eastAsia="Calibri" w:cs="Times New Roman"/>
              </w:rPr>
              <w:t>:</w:t>
            </w:r>
          </w:p>
          <w:p w:rsidR="00E65272" w:rsidRPr="004E4E23" w:rsidRDefault="00E65272" w:rsidP="00C6279B">
            <w:pPr>
              <w:pStyle w:val="Odstavecseseznamem"/>
              <w:numPr>
                <w:ilvl w:val="0"/>
                <w:numId w:val="28"/>
              </w:numPr>
              <w:spacing w:after="120"/>
              <w:jc w:val="both"/>
              <w:rPr>
                <w:rFonts w:ascii="Tahoma" w:hAnsi="Tahoma" w:cs="Tahoma"/>
                <w:sz w:val="20"/>
                <w:szCs w:val="20"/>
              </w:rPr>
            </w:pPr>
            <w:r w:rsidRPr="004E4E23">
              <w:rPr>
                <w:rFonts w:ascii="Tahoma" w:hAnsi="Tahoma" w:cs="Tahoma"/>
                <w:sz w:val="20"/>
                <w:szCs w:val="20"/>
              </w:rPr>
              <w:t>Opožděné spuštění nového jednotného monitorovacího systému, jeho uživatelská „</w:t>
            </w:r>
            <w:proofErr w:type="spellStart"/>
            <w:r w:rsidRPr="004E4E23">
              <w:rPr>
                <w:rFonts w:ascii="Tahoma" w:hAnsi="Tahoma" w:cs="Tahoma"/>
                <w:sz w:val="20"/>
                <w:szCs w:val="20"/>
              </w:rPr>
              <w:t>nevstřícnost</w:t>
            </w:r>
            <w:proofErr w:type="spellEnd"/>
            <w:r w:rsidRPr="004E4E23">
              <w:rPr>
                <w:rFonts w:ascii="Tahoma" w:hAnsi="Tahoma" w:cs="Tahoma"/>
                <w:sz w:val="20"/>
                <w:szCs w:val="20"/>
              </w:rPr>
              <w:t>“, problémy se stabilitou a funkčností (např. neaktuální a nepřesná data, nemožnost generovat požadované sestavy důležité pro administraci programu, komplikovaný a chybový přenos dat s navazujícími informačními systémy apod.)</w:t>
            </w:r>
            <w:r>
              <w:rPr>
                <w:rFonts w:ascii="Tahoma" w:hAnsi="Tahoma" w:cs="Tahoma"/>
                <w:sz w:val="20"/>
                <w:szCs w:val="20"/>
              </w:rPr>
              <w:t>.</w:t>
            </w:r>
          </w:p>
          <w:p w:rsidR="00E65272" w:rsidRPr="004E4E23" w:rsidRDefault="00E65272" w:rsidP="00C6279B">
            <w:pPr>
              <w:pStyle w:val="Odstavecseseznamem"/>
              <w:numPr>
                <w:ilvl w:val="0"/>
                <w:numId w:val="28"/>
              </w:numPr>
              <w:spacing w:after="120"/>
              <w:jc w:val="both"/>
              <w:rPr>
                <w:rFonts w:ascii="Tahoma" w:hAnsi="Tahoma" w:cs="Tahoma"/>
                <w:sz w:val="20"/>
                <w:szCs w:val="20"/>
              </w:rPr>
            </w:pPr>
            <w:r w:rsidRPr="004E4E23">
              <w:rPr>
                <w:rFonts w:ascii="Tahoma" w:hAnsi="Tahoma" w:cs="Tahoma"/>
                <w:sz w:val="20"/>
                <w:szCs w:val="20"/>
              </w:rPr>
              <w:t>Sjednocování metodického prostředí napříč všemi programy ESIF, které nemusí odpovídat potřebám OP PIK</w:t>
            </w:r>
            <w:r>
              <w:rPr>
                <w:rFonts w:ascii="Tahoma" w:hAnsi="Tahoma" w:cs="Tahoma"/>
                <w:sz w:val="20"/>
                <w:szCs w:val="20"/>
              </w:rPr>
              <w:t>.</w:t>
            </w:r>
          </w:p>
          <w:p w:rsidR="00E65272" w:rsidRDefault="00E65272" w:rsidP="00C6279B">
            <w:pPr>
              <w:pStyle w:val="Odstavecseseznamem"/>
              <w:numPr>
                <w:ilvl w:val="0"/>
                <w:numId w:val="28"/>
              </w:numPr>
              <w:spacing w:after="120"/>
              <w:jc w:val="both"/>
              <w:rPr>
                <w:rFonts w:ascii="Tahoma" w:hAnsi="Tahoma" w:cs="Tahoma"/>
                <w:sz w:val="20"/>
                <w:szCs w:val="20"/>
              </w:rPr>
            </w:pPr>
            <w:r w:rsidRPr="004E4E23">
              <w:rPr>
                <w:rFonts w:ascii="Tahoma" w:hAnsi="Tahoma" w:cs="Tahoma"/>
                <w:sz w:val="20"/>
                <w:szCs w:val="20"/>
              </w:rPr>
              <w:t>Nedostatečná administrativní kapacita na straně orgánů zodpovědných za řízení programu, a to jak z kvantitativního, tak i kvalitativního hlediska (odbornost, erudice pracovníků)</w:t>
            </w:r>
            <w:r>
              <w:rPr>
                <w:rFonts w:ascii="Tahoma" w:hAnsi="Tahoma" w:cs="Tahoma"/>
                <w:sz w:val="20"/>
                <w:szCs w:val="20"/>
              </w:rPr>
              <w:t>.</w:t>
            </w:r>
            <w:r w:rsidRPr="004E4E23">
              <w:rPr>
                <w:rFonts w:ascii="Tahoma" w:hAnsi="Tahoma" w:cs="Tahoma"/>
                <w:sz w:val="20"/>
                <w:szCs w:val="20"/>
              </w:rPr>
              <w:t xml:space="preserve"> </w:t>
            </w:r>
          </w:p>
          <w:p w:rsidR="00E65272" w:rsidRPr="004E4E23" w:rsidRDefault="00E65272" w:rsidP="00C6279B">
            <w:pPr>
              <w:pStyle w:val="Odstavecseseznamem"/>
              <w:numPr>
                <w:ilvl w:val="0"/>
                <w:numId w:val="28"/>
              </w:numPr>
              <w:spacing w:after="120"/>
              <w:jc w:val="both"/>
              <w:rPr>
                <w:rFonts w:ascii="Tahoma" w:hAnsi="Tahoma" w:cs="Tahoma"/>
                <w:sz w:val="20"/>
                <w:szCs w:val="20"/>
              </w:rPr>
            </w:pPr>
            <w:r w:rsidRPr="004E4E23">
              <w:rPr>
                <w:rFonts w:ascii="Tahoma" w:hAnsi="Tahoma" w:cs="Tahoma"/>
                <w:sz w:val="20"/>
                <w:szCs w:val="20"/>
              </w:rPr>
              <w:t>Nedostatečná připravenost administrativních kapacit programu na nové programové období - zejména nutnost seznámit se s novou legislativou a s aplikací nových pravidel, přechod na nový jednotný monitorovací systém MS2014+ apod.</w:t>
            </w:r>
          </w:p>
          <w:p w:rsidR="00E65272" w:rsidRPr="004E4E23" w:rsidRDefault="00E65272" w:rsidP="00C6279B">
            <w:pPr>
              <w:pStyle w:val="Odstavecseseznamem"/>
              <w:numPr>
                <w:ilvl w:val="0"/>
                <w:numId w:val="28"/>
              </w:numPr>
              <w:spacing w:after="120"/>
              <w:jc w:val="both"/>
              <w:rPr>
                <w:rFonts w:ascii="Tahoma" w:hAnsi="Tahoma" w:cs="Tahoma"/>
                <w:sz w:val="20"/>
                <w:szCs w:val="20"/>
              </w:rPr>
            </w:pPr>
            <w:r w:rsidRPr="004E4E23">
              <w:rPr>
                <w:rFonts w:ascii="Tahoma" w:hAnsi="Tahoma" w:cs="Tahoma"/>
                <w:sz w:val="20"/>
                <w:szCs w:val="20"/>
              </w:rPr>
              <w:t>Neopodstatněné změny stávající, relativně stabilní implementační struktury programu (např. zařazováním nových subjektů do implementační struktury)</w:t>
            </w:r>
            <w:r>
              <w:rPr>
                <w:rFonts w:ascii="Tahoma" w:hAnsi="Tahoma" w:cs="Tahoma"/>
                <w:sz w:val="20"/>
                <w:szCs w:val="20"/>
              </w:rPr>
              <w:t>.</w:t>
            </w:r>
          </w:p>
          <w:p w:rsidR="00E65272" w:rsidRPr="004E4E23" w:rsidRDefault="00E65272" w:rsidP="00C6279B">
            <w:pPr>
              <w:pStyle w:val="Odstavecseseznamem"/>
              <w:numPr>
                <w:ilvl w:val="0"/>
                <w:numId w:val="28"/>
              </w:numPr>
              <w:spacing w:after="120"/>
              <w:jc w:val="both"/>
              <w:rPr>
                <w:rFonts w:ascii="Tahoma" w:hAnsi="Tahoma" w:cs="Tahoma"/>
                <w:sz w:val="20"/>
                <w:szCs w:val="20"/>
              </w:rPr>
            </w:pPr>
            <w:r w:rsidRPr="004E4E23">
              <w:rPr>
                <w:rFonts w:ascii="Tahoma" w:hAnsi="Tahoma" w:cs="Tahoma"/>
                <w:sz w:val="20"/>
                <w:szCs w:val="20"/>
              </w:rPr>
              <w:t>Častá fluktuace pracovníků implementační struktury způsobená jednak nedostatečnou motivací, ale také vnějšími (např. politickými) zásahy do personálního složení útvarů zajišťujících výkon agendy ESIF</w:t>
            </w:r>
            <w:r>
              <w:rPr>
                <w:rFonts w:ascii="Tahoma" w:hAnsi="Tahoma" w:cs="Tahoma"/>
                <w:sz w:val="20"/>
                <w:szCs w:val="20"/>
              </w:rPr>
              <w:t>.</w:t>
            </w:r>
          </w:p>
          <w:p w:rsidR="00E65272" w:rsidRPr="004E4E23" w:rsidRDefault="00E65272" w:rsidP="00C6279B">
            <w:pPr>
              <w:pStyle w:val="Odstavecseseznamem"/>
              <w:numPr>
                <w:ilvl w:val="0"/>
                <w:numId w:val="28"/>
              </w:numPr>
              <w:spacing w:after="120"/>
              <w:jc w:val="both"/>
              <w:rPr>
                <w:rFonts w:ascii="Tahoma" w:hAnsi="Tahoma" w:cs="Tahoma"/>
                <w:sz w:val="20"/>
                <w:szCs w:val="20"/>
              </w:rPr>
            </w:pPr>
            <w:r w:rsidRPr="004E4E23">
              <w:rPr>
                <w:rFonts w:ascii="Tahoma" w:hAnsi="Tahoma" w:cs="Tahoma"/>
                <w:sz w:val="20"/>
                <w:szCs w:val="20"/>
              </w:rPr>
              <w:t>Nesystémové vyhlašování výzev v programu způsobující nárazové „přetížení“ implementační struktury programu a tím prodlužování procesů administrace a hodnocení projektů</w:t>
            </w:r>
            <w:r>
              <w:rPr>
                <w:rFonts w:ascii="Tahoma" w:hAnsi="Tahoma" w:cs="Tahoma"/>
                <w:sz w:val="20"/>
                <w:szCs w:val="20"/>
              </w:rPr>
              <w:t>.</w:t>
            </w:r>
          </w:p>
          <w:p w:rsidR="00E65272" w:rsidRPr="004E4E23" w:rsidRDefault="00E65272" w:rsidP="00C6279B">
            <w:pPr>
              <w:pStyle w:val="Odstavecseseznamem"/>
              <w:numPr>
                <w:ilvl w:val="0"/>
                <w:numId w:val="28"/>
              </w:numPr>
              <w:spacing w:after="120"/>
              <w:jc w:val="both"/>
              <w:rPr>
                <w:rFonts w:ascii="Tahoma" w:hAnsi="Tahoma" w:cs="Tahoma"/>
                <w:sz w:val="20"/>
                <w:szCs w:val="20"/>
              </w:rPr>
            </w:pPr>
            <w:r w:rsidRPr="004E4E23">
              <w:rPr>
                <w:rFonts w:ascii="Tahoma" w:hAnsi="Tahoma" w:cs="Tahoma"/>
                <w:sz w:val="20"/>
                <w:szCs w:val="20"/>
              </w:rPr>
              <w:t>Časté změny v řídící (implementační) dokumentaci k</w:t>
            </w:r>
            <w:r>
              <w:rPr>
                <w:rFonts w:ascii="Tahoma" w:hAnsi="Tahoma" w:cs="Tahoma"/>
                <w:sz w:val="20"/>
                <w:szCs w:val="20"/>
              </w:rPr>
              <w:t> </w:t>
            </w:r>
            <w:r w:rsidRPr="004E4E23">
              <w:rPr>
                <w:rFonts w:ascii="Tahoma" w:hAnsi="Tahoma" w:cs="Tahoma"/>
                <w:sz w:val="20"/>
                <w:szCs w:val="20"/>
              </w:rPr>
              <w:t>programu</w:t>
            </w:r>
            <w:r>
              <w:rPr>
                <w:rFonts w:ascii="Tahoma" w:hAnsi="Tahoma" w:cs="Tahoma"/>
                <w:sz w:val="20"/>
                <w:szCs w:val="20"/>
              </w:rPr>
              <w:t>.</w:t>
            </w:r>
          </w:p>
          <w:p w:rsidR="00E65272" w:rsidRPr="004E4E23" w:rsidRDefault="00E65272" w:rsidP="00C6279B">
            <w:pPr>
              <w:pStyle w:val="Odstavecseseznamem"/>
              <w:numPr>
                <w:ilvl w:val="0"/>
                <w:numId w:val="28"/>
              </w:numPr>
              <w:spacing w:after="120"/>
              <w:jc w:val="both"/>
              <w:rPr>
                <w:rFonts w:ascii="Tahoma" w:hAnsi="Tahoma" w:cs="Tahoma"/>
                <w:sz w:val="20"/>
                <w:szCs w:val="20"/>
              </w:rPr>
            </w:pPr>
            <w:r w:rsidRPr="004E4E23">
              <w:rPr>
                <w:rFonts w:ascii="Tahoma" w:hAnsi="Tahoma" w:cs="Tahoma"/>
                <w:sz w:val="20"/>
                <w:szCs w:val="20"/>
              </w:rPr>
              <w:t>Nedostatečně nastavené kontrolní mechanismy</w:t>
            </w:r>
            <w:r>
              <w:rPr>
                <w:rFonts w:ascii="Tahoma" w:hAnsi="Tahoma" w:cs="Tahoma"/>
                <w:sz w:val="20"/>
                <w:szCs w:val="20"/>
              </w:rPr>
              <w:t>.</w:t>
            </w:r>
          </w:p>
          <w:p w:rsidR="00E65272" w:rsidRPr="004E4E23" w:rsidRDefault="00E65272" w:rsidP="00C6279B">
            <w:pPr>
              <w:pStyle w:val="Odstavecseseznamem"/>
              <w:numPr>
                <w:ilvl w:val="0"/>
                <w:numId w:val="28"/>
              </w:numPr>
              <w:spacing w:after="120"/>
              <w:jc w:val="both"/>
              <w:rPr>
                <w:rFonts w:ascii="Tahoma" w:hAnsi="Tahoma" w:cs="Tahoma"/>
                <w:sz w:val="20"/>
                <w:szCs w:val="20"/>
              </w:rPr>
            </w:pPr>
            <w:r w:rsidRPr="004E4E23">
              <w:rPr>
                <w:rFonts w:ascii="Tahoma" w:hAnsi="Tahoma" w:cs="Tahoma"/>
                <w:sz w:val="20"/>
                <w:szCs w:val="20"/>
              </w:rPr>
              <w:t>Komplikovaná a nevhodně nastavená pravidla pro výběr dodavatelů (včetně ZVZ)</w:t>
            </w:r>
            <w:r>
              <w:rPr>
                <w:rFonts w:ascii="Tahoma" w:hAnsi="Tahoma" w:cs="Tahoma"/>
                <w:sz w:val="20"/>
                <w:szCs w:val="20"/>
              </w:rPr>
              <w:t>.</w:t>
            </w:r>
          </w:p>
          <w:p w:rsidR="00E65272" w:rsidRPr="00E65272" w:rsidRDefault="00E65272" w:rsidP="00C6279B">
            <w:pPr>
              <w:pStyle w:val="Odstavecseseznamem"/>
              <w:numPr>
                <w:ilvl w:val="0"/>
                <w:numId w:val="28"/>
              </w:numPr>
              <w:spacing w:after="120"/>
              <w:jc w:val="both"/>
              <w:rPr>
                <w:rFonts w:ascii="Tahoma" w:hAnsi="Tahoma" w:cs="Tahoma"/>
                <w:sz w:val="20"/>
                <w:szCs w:val="20"/>
              </w:rPr>
            </w:pPr>
            <w:r w:rsidRPr="004E4E23">
              <w:rPr>
                <w:rFonts w:ascii="Tahoma" w:hAnsi="Tahoma" w:cs="Tahoma"/>
                <w:sz w:val="20"/>
                <w:szCs w:val="20"/>
              </w:rPr>
              <w:t>Neinformovanost žadatelů a příjemců o všech povinnostech v souvislosti s realizací projektů a obtížná vymahatelnost jejich plnění ze strany ŘO/ZS</w:t>
            </w:r>
            <w:r>
              <w:rPr>
                <w:rFonts w:ascii="Tahoma" w:hAnsi="Tahoma" w:cs="Tahoma"/>
                <w:sz w:val="20"/>
                <w:szCs w:val="20"/>
              </w:rPr>
              <w:t>.</w:t>
            </w:r>
          </w:p>
          <w:p w:rsidR="00F21883" w:rsidRPr="00F21883" w:rsidRDefault="00E65272" w:rsidP="00F21883">
            <w:pPr>
              <w:pStyle w:val="Odstavecseseznamem"/>
              <w:numPr>
                <w:ilvl w:val="0"/>
                <w:numId w:val="28"/>
              </w:numPr>
              <w:spacing w:after="120"/>
              <w:jc w:val="both"/>
              <w:rPr>
                <w:rFonts w:ascii="Tahoma" w:hAnsi="Tahoma" w:cs="Tahoma"/>
                <w:sz w:val="20"/>
                <w:szCs w:val="20"/>
              </w:rPr>
            </w:pPr>
            <w:r w:rsidRPr="004E4E23">
              <w:rPr>
                <w:rFonts w:ascii="Tahoma" w:hAnsi="Tahoma" w:cs="Tahoma"/>
                <w:sz w:val="20"/>
                <w:szCs w:val="20"/>
              </w:rPr>
              <w:t>Nejasné, příp. i protichůdné závěry kontrol finančních úřadů a dalších kontrolních institucí a nevhodně nastavený, nepřehledný systém sankcí za porušení povinností příjemce podpory</w:t>
            </w:r>
            <w:r>
              <w:rPr>
                <w:rFonts w:ascii="Tahoma" w:hAnsi="Tahoma" w:cs="Tahoma"/>
                <w:sz w:val="20"/>
                <w:szCs w:val="20"/>
              </w:rPr>
              <w:t>.</w:t>
            </w:r>
          </w:p>
        </w:tc>
      </w:tr>
      <w:tr w:rsidR="00AD213E" w:rsidTr="00E05225">
        <w:tc>
          <w:tcPr>
            <w:tcW w:w="9210" w:type="dxa"/>
          </w:tcPr>
          <w:p w:rsidR="00AD213E" w:rsidRPr="00694648" w:rsidRDefault="00AD213E" w:rsidP="00C6279B">
            <w:pPr>
              <w:numPr>
                <w:ilvl w:val="0"/>
                <w:numId w:val="22"/>
              </w:numPr>
              <w:spacing w:after="120"/>
              <w:rPr>
                <w:rFonts w:eastAsia="Calibri" w:cs="Times New Roman"/>
                <w:i/>
              </w:rPr>
            </w:pPr>
            <w:r w:rsidRPr="00694648">
              <w:rPr>
                <w:rFonts w:eastAsia="Calibri" w:cs="Times New Roman"/>
                <w:i/>
              </w:rPr>
              <w:t>Vhodnost postupů pro monitorování programu a shromažďování údajů nezbytných k provádění hodnocení</w:t>
            </w:r>
          </w:p>
          <w:p w:rsidR="00897B17" w:rsidRPr="00897B17" w:rsidRDefault="0031650C" w:rsidP="00897B17">
            <w:pPr>
              <w:spacing w:after="120"/>
              <w:ind w:left="360"/>
              <w:rPr>
                <w:rFonts w:eastAsia="Calibri" w:cs="Times New Roman"/>
              </w:rPr>
            </w:pPr>
            <w:r>
              <w:rPr>
                <w:rFonts w:eastAsia="Calibri" w:cs="Times New Roman"/>
              </w:rPr>
              <w:lastRenderedPageBreak/>
              <w:t>P</w:t>
            </w:r>
            <w:r w:rsidR="00897B17" w:rsidRPr="00897B17">
              <w:rPr>
                <w:rFonts w:eastAsia="Calibri" w:cs="Times New Roman"/>
              </w:rPr>
              <w:t>ostup</w:t>
            </w:r>
            <w:r>
              <w:rPr>
                <w:rFonts w:eastAsia="Calibri" w:cs="Times New Roman"/>
              </w:rPr>
              <w:t>y</w:t>
            </w:r>
            <w:r w:rsidR="00897B17" w:rsidRPr="00897B17">
              <w:rPr>
                <w:rFonts w:eastAsia="Calibri" w:cs="Times New Roman"/>
              </w:rPr>
              <w:t xml:space="preserve"> monitorování programu a shromažďování dat nezbytných k provádění evaluací k posouzení účinnosti, účelnosti a dopadu operačního programu </w:t>
            </w:r>
            <w:r w:rsidR="002208A9">
              <w:rPr>
                <w:rFonts w:eastAsia="Calibri" w:cs="Times New Roman"/>
              </w:rPr>
              <w:t>nej</w:t>
            </w:r>
            <w:r>
              <w:rPr>
                <w:rFonts w:eastAsia="Calibri" w:cs="Times New Roman"/>
              </w:rPr>
              <w:t xml:space="preserve">sou v textu OP PIK explicitně popsány </w:t>
            </w:r>
            <w:r w:rsidR="00897B17" w:rsidRPr="00897B17">
              <w:rPr>
                <w:rFonts w:eastAsia="Calibri" w:cs="Times New Roman"/>
              </w:rPr>
              <w:t xml:space="preserve">vzhledem k tomu, že dle </w:t>
            </w:r>
            <w:r w:rsidR="00897B17" w:rsidRPr="002208A9">
              <w:rPr>
                <w:rFonts w:eastAsia="Calibri" w:cs="Times New Roman"/>
                <w:i/>
              </w:rPr>
              <w:t>„Vzoru pro operační programy v rámci cíle Investice pro růst a zaměstnanost“</w:t>
            </w:r>
            <w:r w:rsidR="00897B17" w:rsidRPr="00897B17">
              <w:rPr>
                <w:rFonts w:eastAsia="Calibri" w:cs="Times New Roman"/>
              </w:rPr>
              <w:t xml:space="preserve">, který tvoří přílohu prováděcího nařízení Komise (EU) č. 288/2014 ze dne 25. února 2014, není toto téma součástí </w:t>
            </w:r>
            <w:r>
              <w:rPr>
                <w:rFonts w:eastAsia="Calibri" w:cs="Times New Roman"/>
              </w:rPr>
              <w:t xml:space="preserve">struktury </w:t>
            </w:r>
            <w:r w:rsidR="00897B17" w:rsidRPr="00897B17">
              <w:rPr>
                <w:rFonts w:eastAsia="Calibri" w:cs="Times New Roman"/>
              </w:rPr>
              <w:t>operačního programu.</w:t>
            </w:r>
          </w:p>
          <w:p w:rsidR="00AD213E" w:rsidRPr="001B5C62" w:rsidRDefault="00897B17" w:rsidP="0031650C">
            <w:pPr>
              <w:spacing w:after="120"/>
              <w:ind w:left="360"/>
              <w:rPr>
                <w:rFonts w:eastAsia="Calibri" w:cs="Times New Roman"/>
              </w:rPr>
            </w:pPr>
            <w:r w:rsidRPr="00897B17">
              <w:rPr>
                <w:rFonts w:eastAsia="Calibri" w:cs="Times New Roman"/>
              </w:rPr>
              <w:t>Postupy monitorování programu a shromažďování dat nezbytných k provádění evaluací jsou</w:t>
            </w:r>
            <w:r w:rsidR="0031650C">
              <w:rPr>
                <w:rFonts w:eastAsia="Calibri" w:cs="Times New Roman"/>
              </w:rPr>
              <w:t xml:space="preserve"> nicméně </w:t>
            </w:r>
            <w:r w:rsidRPr="00897B17">
              <w:rPr>
                <w:rFonts w:eastAsia="Calibri" w:cs="Times New Roman"/>
              </w:rPr>
              <w:t>částečně naznačen</w:t>
            </w:r>
            <w:r w:rsidR="0031650C">
              <w:rPr>
                <w:rFonts w:eastAsia="Calibri" w:cs="Times New Roman"/>
              </w:rPr>
              <w:t>é</w:t>
            </w:r>
            <w:r w:rsidRPr="00897B17">
              <w:rPr>
                <w:rFonts w:eastAsia="Calibri" w:cs="Times New Roman"/>
              </w:rPr>
              <w:t xml:space="preserve"> v oddíle 10, v části textu: “2. Efektivní a uživatelsky přívětivý informační systém“</w:t>
            </w:r>
            <w:r>
              <w:rPr>
                <w:rFonts w:eastAsia="Calibri" w:cs="Times New Roman"/>
              </w:rPr>
              <w:t xml:space="preserve"> a z</w:t>
            </w:r>
            <w:r w:rsidRPr="00897B17">
              <w:rPr>
                <w:rFonts w:eastAsia="Calibri" w:cs="Times New Roman"/>
              </w:rPr>
              <w:t>ákladní principy monitorování a vyhodnocování OP PIK jsou</w:t>
            </w:r>
            <w:r w:rsidR="0031650C">
              <w:rPr>
                <w:rFonts w:eastAsia="Calibri" w:cs="Times New Roman"/>
              </w:rPr>
              <w:t xml:space="preserve"> také</w:t>
            </w:r>
            <w:r w:rsidRPr="00897B17">
              <w:rPr>
                <w:rFonts w:eastAsia="Calibri" w:cs="Times New Roman"/>
              </w:rPr>
              <w:t xml:space="preserve"> dostatečně popsány v nepovinné příloze č. 3 </w:t>
            </w:r>
            <w:r>
              <w:rPr>
                <w:rFonts w:eastAsia="Calibri" w:cs="Times New Roman"/>
              </w:rPr>
              <w:t xml:space="preserve">k OP PIK </w:t>
            </w:r>
            <w:r w:rsidRPr="00897B17">
              <w:rPr>
                <w:rFonts w:eastAsia="Calibri" w:cs="Times New Roman"/>
              </w:rPr>
              <w:t>s tím, že podrobná pravidla a postupy pro monitorování operačního programu budou rozpracována v řídící dokumentaci k OP PIK</w:t>
            </w:r>
          </w:p>
        </w:tc>
      </w:tr>
      <w:tr w:rsidR="00AD213E" w:rsidTr="00E05225">
        <w:tc>
          <w:tcPr>
            <w:tcW w:w="9210" w:type="dxa"/>
          </w:tcPr>
          <w:p w:rsidR="00AD213E" w:rsidRPr="00694648" w:rsidRDefault="00AD213E" w:rsidP="00C6279B">
            <w:pPr>
              <w:numPr>
                <w:ilvl w:val="0"/>
                <w:numId w:val="22"/>
              </w:numPr>
              <w:spacing w:after="120"/>
              <w:rPr>
                <w:rFonts w:eastAsia="Calibri" w:cs="Times New Roman"/>
                <w:i/>
              </w:rPr>
            </w:pPr>
            <w:r w:rsidRPr="00694648">
              <w:rPr>
                <w:rFonts w:eastAsia="Calibri" w:cs="Times New Roman"/>
                <w:i/>
              </w:rPr>
              <w:lastRenderedPageBreak/>
              <w:t>Vhodnost zvolených milníků pro výkonnostní rámec</w:t>
            </w:r>
          </w:p>
          <w:p w:rsidR="00897B17" w:rsidRDefault="009D776E" w:rsidP="00E05225">
            <w:pPr>
              <w:spacing w:after="120"/>
              <w:ind w:left="360"/>
              <w:rPr>
                <w:rFonts w:eastAsia="Calibri" w:cs="Times New Roman"/>
              </w:rPr>
            </w:pPr>
            <w:r w:rsidRPr="009D776E">
              <w:rPr>
                <w:rFonts w:eastAsia="Calibri" w:cs="Times New Roman"/>
              </w:rPr>
              <w:t>Dle názoru hodnotitele jsou pro prioritní osy OP PIK stanoveny takové ukazatele, které splňují metodické požadavky na milníky pro výkonnostní rámec</w:t>
            </w:r>
            <w:r w:rsidR="00897B17">
              <w:rPr>
                <w:rFonts w:eastAsia="Calibri" w:cs="Times New Roman"/>
              </w:rPr>
              <w:t>.</w:t>
            </w:r>
          </w:p>
          <w:p w:rsidR="009D776E" w:rsidRPr="001B5C62" w:rsidRDefault="009D776E" w:rsidP="00897B17">
            <w:pPr>
              <w:spacing w:after="120"/>
              <w:ind w:left="360"/>
              <w:rPr>
                <w:rFonts w:eastAsia="Calibri" w:cs="Times New Roman"/>
              </w:rPr>
            </w:pPr>
            <w:r w:rsidRPr="009D776E">
              <w:rPr>
                <w:rFonts w:eastAsia="Calibri" w:cs="Times New Roman"/>
              </w:rPr>
              <w:t>Cílové hodnoty milníků lze považovat za realistické, nicméně i s ohledem na skutečnosti popsané v</w:t>
            </w:r>
            <w:r>
              <w:rPr>
                <w:rFonts w:eastAsia="Calibri" w:cs="Times New Roman"/>
              </w:rPr>
              <w:t xml:space="preserve"> bodě </w:t>
            </w:r>
            <w:r w:rsidRPr="0031650C">
              <w:rPr>
                <w:rFonts w:eastAsia="Calibri" w:cs="Times New Roman"/>
                <w:i/>
              </w:rPr>
              <w:t>g)</w:t>
            </w:r>
            <w:r w:rsidRPr="009D776E">
              <w:rPr>
                <w:rFonts w:eastAsia="Calibri" w:cs="Times New Roman"/>
              </w:rPr>
              <w:t xml:space="preserve"> budou zřejmě dále zpřesňovány.  </w:t>
            </w:r>
          </w:p>
        </w:tc>
      </w:tr>
      <w:tr w:rsidR="00AD213E" w:rsidTr="00E05225">
        <w:tc>
          <w:tcPr>
            <w:tcW w:w="9210" w:type="dxa"/>
          </w:tcPr>
          <w:p w:rsidR="00AD213E" w:rsidRPr="00694648" w:rsidRDefault="00AD213E" w:rsidP="00C6279B">
            <w:pPr>
              <w:numPr>
                <w:ilvl w:val="0"/>
                <w:numId w:val="22"/>
              </w:numPr>
              <w:spacing w:after="120"/>
              <w:rPr>
                <w:rFonts w:eastAsia="Calibri" w:cs="Times New Roman"/>
                <w:i/>
              </w:rPr>
            </w:pPr>
            <w:r w:rsidRPr="00694648">
              <w:rPr>
                <w:rFonts w:eastAsia="Calibri" w:cs="Times New Roman"/>
                <w:i/>
              </w:rPr>
              <w:t>Přiměřenost/dostatečnost plánovaných opatření ve vztahu k rovným příležitostem a prevenci diskriminace, zejména co se týká zajištění přístupu osobám se zdravotním postižením</w:t>
            </w:r>
          </w:p>
          <w:p w:rsidR="00AD213E" w:rsidRPr="0014709B" w:rsidRDefault="00AD213E" w:rsidP="00E05225">
            <w:pPr>
              <w:spacing w:after="120"/>
              <w:ind w:left="360"/>
              <w:rPr>
                <w:rFonts w:eastAsia="Calibri" w:cs="Times New Roman"/>
              </w:rPr>
            </w:pPr>
            <w:r w:rsidRPr="0014709B">
              <w:rPr>
                <w:rFonts w:eastAsia="Calibri" w:cs="Times New Roman"/>
              </w:rPr>
              <w:t xml:space="preserve">S ohledem na charakter programu je možné považovat navrhovaná opatření na podporu principu rovných příležitostí a nediskriminace za dostačující. </w:t>
            </w:r>
          </w:p>
          <w:p w:rsidR="00AD213E" w:rsidRPr="001B5C62" w:rsidRDefault="00AD213E" w:rsidP="00E05225">
            <w:pPr>
              <w:spacing w:after="120"/>
              <w:ind w:left="360"/>
              <w:rPr>
                <w:rFonts w:eastAsia="Calibri" w:cs="Times New Roman"/>
              </w:rPr>
            </w:pPr>
            <w:r>
              <w:rPr>
                <w:rFonts w:eastAsia="Calibri" w:cs="Times New Roman"/>
              </w:rPr>
              <w:t xml:space="preserve">Hodnotitel doporučuje </w:t>
            </w:r>
            <w:r w:rsidRPr="0014709B">
              <w:rPr>
                <w:rFonts w:eastAsia="Calibri" w:cs="Times New Roman"/>
              </w:rPr>
              <w:t>uvést</w:t>
            </w:r>
            <w:r>
              <w:rPr>
                <w:rFonts w:eastAsia="Calibri" w:cs="Times New Roman"/>
              </w:rPr>
              <w:t xml:space="preserve"> také</w:t>
            </w:r>
            <w:r w:rsidRPr="0014709B">
              <w:rPr>
                <w:rFonts w:eastAsia="Calibri" w:cs="Times New Roman"/>
              </w:rPr>
              <w:t xml:space="preserve"> dosavadní zkušenosti </w:t>
            </w:r>
            <w:r>
              <w:rPr>
                <w:rFonts w:eastAsia="Calibri" w:cs="Times New Roman"/>
              </w:rPr>
              <w:t>s</w:t>
            </w:r>
            <w:r w:rsidRPr="0014709B">
              <w:rPr>
                <w:rFonts w:eastAsia="Calibri" w:cs="Times New Roman"/>
              </w:rPr>
              <w:t xml:space="preserve"> uplatňování</w:t>
            </w:r>
            <w:r>
              <w:rPr>
                <w:rFonts w:eastAsia="Calibri" w:cs="Times New Roman"/>
              </w:rPr>
              <w:t>m</w:t>
            </w:r>
            <w:r w:rsidRPr="0014709B">
              <w:rPr>
                <w:rFonts w:eastAsia="Calibri" w:cs="Times New Roman"/>
              </w:rPr>
              <w:t xml:space="preserve"> tohoto principu v OPPI </w:t>
            </w:r>
            <w:r>
              <w:rPr>
                <w:rFonts w:eastAsia="Calibri" w:cs="Times New Roman"/>
              </w:rPr>
              <w:t xml:space="preserve">2007–2013 </w:t>
            </w:r>
            <w:r w:rsidRPr="0014709B">
              <w:rPr>
                <w:rFonts w:eastAsia="Calibri" w:cs="Times New Roman"/>
              </w:rPr>
              <w:t>a v návaznosti na to případné posuny v OP PIK.</w:t>
            </w:r>
            <w:r w:rsidRPr="00D777DF">
              <w:rPr>
                <w:rFonts w:eastAsia="Calibri" w:cs="Times New Roman"/>
              </w:rPr>
              <w:t xml:space="preserve"> </w:t>
            </w:r>
          </w:p>
        </w:tc>
      </w:tr>
      <w:tr w:rsidR="00AD213E" w:rsidTr="00E05225">
        <w:tc>
          <w:tcPr>
            <w:tcW w:w="9210" w:type="dxa"/>
          </w:tcPr>
          <w:p w:rsidR="00AD213E" w:rsidRPr="00694648" w:rsidRDefault="00AD213E" w:rsidP="00C6279B">
            <w:pPr>
              <w:numPr>
                <w:ilvl w:val="0"/>
                <w:numId w:val="22"/>
              </w:numPr>
              <w:spacing w:after="120"/>
              <w:rPr>
                <w:rFonts w:eastAsia="Calibri" w:cs="Times New Roman"/>
                <w:i/>
              </w:rPr>
            </w:pPr>
            <w:r w:rsidRPr="00694648">
              <w:rPr>
                <w:rFonts w:eastAsia="Calibri" w:cs="Times New Roman"/>
                <w:i/>
              </w:rPr>
              <w:t>Přiměřenost/dostatečnost plánovaných</w:t>
            </w:r>
            <w:r>
              <w:rPr>
                <w:rFonts w:eastAsia="Calibri" w:cs="Times New Roman"/>
                <w:i/>
              </w:rPr>
              <w:t xml:space="preserve"> opatření</w:t>
            </w:r>
            <w:r w:rsidRPr="00694648">
              <w:rPr>
                <w:rFonts w:eastAsia="Calibri" w:cs="Times New Roman"/>
                <w:i/>
              </w:rPr>
              <w:t xml:space="preserve"> k podpoře trvale udržitelného rozvoje</w:t>
            </w:r>
          </w:p>
          <w:p w:rsidR="00AD213E" w:rsidRPr="0014709B" w:rsidRDefault="00AD213E" w:rsidP="00E05225">
            <w:pPr>
              <w:spacing w:after="120"/>
              <w:ind w:left="360"/>
              <w:rPr>
                <w:rFonts w:eastAsia="Calibri" w:cs="Times New Roman"/>
              </w:rPr>
            </w:pPr>
            <w:r w:rsidRPr="0014709B">
              <w:rPr>
                <w:rFonts w:eastAsia="Calibri" w:cs="Times New Roman"/>
              </w:rPr>
              <w:t xml:space="preserve">S ohledem na charakter programu je možné považovat navrhovaná opatření na podporu principů udržitelného rozvoje za dostačující. Program bude svými aktivitami přispívat zejména k naplňování cílů udržitelného rozvoje v oblasti ekonomické prosperity (inovace, podpora podnikání, tvorba pracovních míst) a ochrany životního prostředí (OZE, snižování energetické náročnosti, zavádění nových nízkouhlíkových technologií, </w:t>
            </w:r>
            <w:proofErr w:type="spellStart"/>
            <w:r w:rsidRPr="0014709B">
              <w:rPr>
                <w:rFonts w:eastAsia="Calibri" w:cs="Times New Roman"/>
              </w:rPr>
              <w:t>eko</w:t>
            </w:r>
            <w:proofErr w:type="spellEnd"/>
            <w:r w:rsidRPr="0014709B">
              <w:rPr>
                <w:rFonts w:eastAsia="Calibri" w:cs="Times New Roman"/>
              </w:rPr>
              <w:t xml:space="preserve">-inovace apod.). </w:t>
            </w:r>
          </w:p>
          <w:p w:rsidR="00AD213E" w:rsidRPr="0014709B" w:rsidRDefault="00AD213E" w:rsidP="00E05225">
            <w:pPr>
              <w:spacing w:after="120"/>
              <w:ind w:left="360"/>
              <w:rPr>
                <w:rFonts w:eastAsia="Calibri" w:cs="Times New Roman"/>
              </w:rPr>
            </w:pPr>
            <w:r w:rsidRPr="0014709B">
              <w:rPr>
                <w:rFonts w:eastAsia="Calibri" w:cs="Times New Roman"/>
              </w:rPr>
              <w:t xml:space="preserve">Opět by bylo </w:t>
            </w:r>
            <w:r>
              <w:rPr>
                <w:rFonts w:eastAsia="Calibri" w:cs="Times New Roman"/>
              </w:rPr>
              <w:t>možné</w:t>
            </w:r>
            <w:r w:rsidRPr="0014709B">
              <w:rPr>
                <w:rFonts w:eastAsia="Calibri" w:cs="Times New Roman"/>
              </w:rPr>
              <w:t xml:space="preserve"> uvést dosavadní zkušenosti </w:t>
            </w:r>
            <w:r>
              <w:rPr>
                <w:rFonts w:eastAsia="Calibri" w:cs="Times New Roman"/>
              </w:rPr>
              <w:t xml:space="preserve">s </w:t>
            </w:r>
            <w:r w:rsidRPr="0014709B">
              <w:rPr>
                <w:rFonts w:eastAsia="Calibri" w:cs="Times New Roman"/>
              </w:rPr>
              <w:t>uplatňování</w:t>
            </w:r>
            <w:r>
              <w:rPr>
                <w:rFonts w:eastAsia="Calibri" w:cs="Times New Roman"/>
              </w:rPr>
              <w:t>m</w:t>
            </w:r>
            <w:r w:rsidRPr="0014709B">
              <w:rPr>
                <w:rFonts w:eastAsia="Calibri" w:cs="Times New Roman"/>
              </w:rPr>
              <w:t xml:space="preserve"> těchto principů v</w:t>
            </w:r>
            <w:r>
              <w:rPr>
                <w:rFonts w:eastAsia="Calibri" w:cs="Times New Roman"/>
              </w:rPr>
              <w:t> </w:t>
            </w:r>
            <w:r w:rsidRPr="0014709B">
              <w:rPr>
                <w:rFonts w:eastAsia="Calibri" w:cs="Times New Roman"/>
              </w:rPr>
              <w:t>OPPI 2007-2013 a v</w:t>
            </w:r>
            <w:r>
              <w:rPr>
                <w:rFonts w:eastAsia="Calibri" w:cs="Times New Roman"/>
              </w:rPr>
              <w:t> </w:t>
            </w:r>
            <w:r w:rsidRPr="0014709B">
              <w:rPr>
                <w:rFonts w:eastAsia="Calibri" w:cs="Times New Roman"/>
              </w:rPr>
              <w:t>návaznosti na to případné posuny v</w:t>
            </w:r>
            <w:r>
              <w:rPr>
                <w:rFonts w:eastAsia="Calibri" w:cs="Times New Roman"/>
              </w:rPr>
              <w:t> </w:t>
            </w:r>
            <w:r w:rsidRPr="0014709B">
              <w:rPr>
                <w:rFonts w:eastAsia="Calibri" w:cs="Times New Roman"/>
              </w:rPr>
              <w:t>pojetí v</w:t>
            </w:r>
            <w:r>
              <w:rPr>
                <w:rFonts w:eastAsia="Calibri" w:cs="Times New Roman"/>
              </w:rPr>
              <w:t> </w:t>
            </w:r>
            <w:r w:rsidRPr="0014709B">
              <w:rPr>
                <w:rFonts w:eastAsia="Calibri" w:cs="Times New Roman"/>
              </w:rPr>
              <w:t>OP PIK.</w:t>
            </w:r>
          </w:p>
          <w:p w:rsidR="00AD213E" w:rsidRPr="001B5C62" w:rsidRDefault="00AD213E" w:rsidP="00E05225">
            <w:pPr>
              <w:spacing w:after="120"/>
              <w:ind w:left="360"/>
              <w:rPr>
                <w:rFonts w:eastAsia="Calibri" w:cs="Times New Roman"/>
              </w:rPr>
            </w:pPr>
            <w:r w:rsidRPr="0014709B">
              <w:rPr>
                <w:rFonts w:eastAsia="Calibri" w:cs="Times New Roman"/>
              </w:rPr>
              <w:t>Posouzení a vyhodnocení potenciálních vlivů OP PIK na životní prostředí a veřejné zdraví je předmětem samostatného procesu SEA.</w:t>
            </w:r>
          </w:p>
        </w:tc>
      </w:tr>
      <w:tr w:rsidR="00AD213E" w:rsidTr="00E05225">
        <w:tc>
          <w:tcPr>
            <w:tcW w:w="9210" w:type="dxa"/>
          </w:tcPr>
          <w:p w:rsidR="00AD213E" w:rsidRPr="006D2522" w:rsidRDefault="00AD213E" w:rsidP="00C6279B">
            <w:pPr>
              <w:numPr>
                <w:ilvl w:val="0"/>
                <w:numId w:val="22"/>
              </w:numPr>
              <w:spacing w:after="120"/>
              <w:rPr>
                <w:rFonts w:eastAsia="Calibri" w:cs="Times New Roman"/>
                <w:i/>
              </w:rPr>
            </w:pPr>
            <w:r w:rsidRPr="006D2522">
              <w:rPr>
                <w:rFonts w:eastAsia="Calibri" w:cs="Times New Roman"/>
                <w:i/>
              </w:rPr>
              <w:t xml:space="preserve">Opatření ke snižování administrativní zátěže příjemců </w:t>
            </w:r>
          </w:p>
          <w:p w:rsidR="00897B17" w:rsidRDefault="00897B17" w:rsidP="00E05225">
            <w:pPr>
              <w:spacing w:after="120"/>
              <w:ind w:left="360"/>
              <w:rPr>
                <w:rFonts w:eastAsia="Calibri" w:cs="Times New Roman"/>
              </w:rPr>
            </w:pPr>
            <w:r>
              <w:rPr>
                <w:rFonts w:eastAsia="Calibri" w:cs="Times New Roman"/>
              </w:rPr>
              <w:t>Dle názoru hodnotitele jsou o</w:t>
            </w:r>
            <w:r w:rsidRPr="00897B17">
              <w:rPr>
                <w:rFonts w:eastAsia="Calibri" w:cs="Times New Roman"/>
              </w:rPr>
              <w:t>patření ke snižování administrativní zátěže příjemců</w:t>
            </w:r>
            <w:r>
              <w:rPr>
                <w:rFonts w:eastAsia="Calibri" w:cs="Times New Roman"/>
              </w:rPr>
              <w:t xml:space="preserve"> popsána v textu operačního programu dostatečným způsobem.</w:t>
            </w:r>
          </w:p>
          <w:p w:rsidR="00AD213E" w:rsidRDefault="00AD213E" w:rsidP="00E05225">
            <w:pPr>
              <w:spacing w:after="120"/>
              <w:ind w:left="360"/>
              <w:rPr>
                <w:rFonts w:eastAsia="Calibri" w:cs="Times New Roman"/>
              </w:rPr>
            </w:pPr>
            <w:r>
              <w:rPr>
                <w:rFonts w:eastAsia="Calibri" w:cs="Times New Roman"/>
              </w:rPr>
              <w:t>Zásadní</w:t>
            </w:r>
            <w:r w:rsidRPr="0014709B">
              <w:rPr>
                <w:rFonts w:eastAsia="Calibri" w:cs="Times New Roman"/>
              </w:rPr>
              <w:t xml:space="preserve"> předpoklad</w:t>
            </w:r>
            <w:r>
              <w:rPr>
                <w:rFonts w:eastAsia="Calibri" w:cs="Times New Roman"/>
              </w:rPr>
              <w:t>y</w:t>
            </w:r>
            <w:r w:rsidRPr="0014709B">
              <w:rPr>
                <w:rFonts w:eastAsia="Calibri" w:cs="Times New Roman"/>
              </w:rPr>
              <w:t xml:space="preserve"> pro splnění cíle minimalizovat administrativní zátěž pro příjemce </w:t>
            </w:r>
            <w:r>
              <w:rPr>
                <w:rFonts w:eastAsia="Calibri" w:cs="Times New Roman"/>
              </w:rPr>
              <w:t>jsou</w:t>
            </w:r>
            <w:r w:rsidRPr="0014709B">
              <w:rPr>
                <w:rFonts w:eastAsia="Calibri" w:cs="Times New Roman"/>
              </w:rPr>
              <w:t xml:space="preserve"> dle názoru hodnotitele</w:t>
            </w:r>
            <w:r>
              <w:rPr>
                <w:rFonts w:eastAsia="Calibri" w:cs="Times New Roman"/>
              </w:rPr>
              <w:t xml:space="preserve"> následující:</w:t>
            </w:r>
          </w:p>
          <w:p w:rsidR="00AD213E" w:rsidRPr="00BD4610" w:rsidRDefault="00AD213E" w:rsidP="00C6279B">
            <w:pPr>
              <w:pStyle w:val="Odstavecseseznamem"/>
              <w:numPr>
                <w:ilvl w:val="0"/>
                <w:numId w:val="26"/>
              </w:numPr>
              <w:spacing w:after="120"/>
              <w:jc w:val="both"/>
              <w:rPr>
                <w:rFonts w:ascii="Tahoma" w:hAnsi="Tahoma" w:cs="Tahoma"/>
                <w:sz w:val="20"/>
                <w:szCs w:val="20"/>
              </w:rPr>
            </w:pPr>
            <w:r>
              <w:rPr>
                <w:rFonts w:ascii="Tahoma" w:hAnsi="Tahoma" w:cs="Tahoma"/>
                <w:sz w:val="20"/>
                <w:szCs w:val="20"/>
              </w:rPr>
              <w:t>P</w:t>
            </w:r>
            <w:r w:rsidRPr="00BD4610">
              <w:rPr>
                <w:rFonts w:ascii="Tahoma" w:hAnsi="Tahoma" w:cs="Tahoma"/>
                <w:sz w:val="20"/>
                <w:szCs w:val="20"/>
              </w:rPr>
              <w:t>lně funkční a optimálně nastavený monitorovací systém, který bude propojený s dalšími informačními systémy ve veřejné správě. Stávající monitorovací systém používaný ŘO OPPI (ISOP</w:t>
            </w:r>
            <w:r>
              <w:rPr>
                <w:rFonts w:ascii="Tahoma" w:hAnsi="Tahoma" w:cs="Tahoma"/>
                <w:sz w:val="20"/>
                <w:szCs w:val="20"/>
              </w:rPr>
              <w:t>7-13</w:t>
            </w:r>
            <w:r w:rsidRPr="00BD4610">
              <w:rPr>
                <w:rFonts w:ascii="Tahoma" w:hAnsi="Tahoma" w:cs="Tahoma"/>
                <w:sz w:val="20"/>
                <w:szCs w:val="20"/>
              </w:rPr>
              <w:t xml:space="preserve">) tento předpoklad již splňuje. Ovšem je zatím nejasné, jak budou požadované funkcionality zajištěny v novém jednotném monitorovacím systému MS2014+ a kdy vůbec bude této systém plně provozuschopný. Vzhledem k tomu, že se </w:t>
            </w:r>
            <w:r>
              <w:rPr>
                <w:rFonts w:ascii="Tahoma" w:hAnsi="Tahoma" w:cs="Tahoma"/>
                <w:sz w:val="20"/>
                <w:szCs w:val="20"/>
              </w:rPr>
              <w:t xml:space="preserve">ČR </w:t>
            </w:r>
            <w:r w:rsidRPr="00BD4610">
              <w:rPr>
                <w:rFonts w:ascii="Tahoma" w:hAnsi="Tahoma" w:cs="Tahoma"/>
                <w:sz w:val="20"/>
                <w:szCs w:val="20"/>
              </w:rPr>
              <w:t xml:space="preserve">aktuálně nachází již v prvním roce nového programovacího období, je současný stav </w:t>
            </w:r>
            <w:r>
              <w:rPr>
                <w:rFonts w:ascii="Tahoma" w:hAnsi="Tahoma" w:cs="Tahoma"/>
                <w:sz w:val="20"/>
                <w:szCs w:val="20"/>
              </w:rPr>
              <w:t xml:space="preserve">poněkud </w:t>
            </w:r>
            <w:r w:rsidRPr="00BD4610">
              <w:rPr>
                <w:rFonts w:ascii="Tahoma" w:hAnsi="Tahoma" w:cs="Tahoma"/>
                <w:sz w:val="20"/>
                <w:szCs w:val="20"/>
              </w:rPr>
              <w:t xml:space="preserve">alarmující. </w:t>
            </w:r>
            <w:r>
              <w:rPr>
                <w:rFonts w:ascii="Tahoma" w:hAnsi="Tahoma" w:cs="Tahoma"/>
                <w:sz w:val="20"/>
                <w:szCs w:val="20"/>
              </w:rPr>
              <w:t>D</w:t>
            </w:r>
            <w:r w:rsidRPr="00BD4610">
              <w:rPr>
                <w:rFonts w:ascii="Tahoma" w:hAnsi="Tahoma" w:cs="Tahoma"/>
                <w:sz w:val="20"/>
                <w:szCs w:val="20"/>
              </w:rPr>
              <w:t>oporučení</w:t>
            </w:r>
            <w:r>
              <w:rPr>
                <w:rFonts w:ascii="Tahoma" w:hAnsi="Tahoma" w:cs="Tahoma"/>
                <w:sz w:val="20"/>
                <w:szCs w:val="20"/>
              </w:rPr>
              <w:t>m</w:t>
            </w:r>
            <w:r w:rsidRPr="00BD4610">
              <w:rPr>
                <w:rFonts w:ascii="Tahoma" w:hAnsi="Tahoma" w:cs="Tahoma"/>
                <w:sz w:val="20"/>
                <w:szCs w:val="20"/>
              </w:rPr>
              <w:t xml:space="preserve"> hodnotitele</w:t>
            </w:r>
            <w:r>
              <w:rPr>
                <w:rFonts w:ascii="Tahoma" w:hAnsi="Tahoma" w:cs="Tahoma"/>
                <w:sz w:val="20"/>
                <w:szCs w:val="20"/>
              </w:rPr>
              <w:t xml:space="preserve"> v této souvislosti je</w:t>
            </w:r>
            <w:r w:rsidRPr="00BD4610">
              <w:rPr>
                <w:rFonts w:ascii="Tahoma" w:hAnsi="Tahoma" w:cs="Tahoma"/>
                <w:sz w:val="20"/>
                <w:szCs w:val="20"/>
              </w:rPr>
              <w:t xml:space="preserve">, </w:t>
            </w:r>
            <w:r>
              <w:rPr>
                <w:rFonts w:ascii="Tahoma" w:hAnsi="Tahoma" w:cs="Tahoma"/>
                <w:sz w:val="20"/>
                <w:szCs w:val="20"/>
              </w:rPr>
              <w:t xml:space="preserve">seriozně zvážit možnost </w:t>
            </w:r>
            <w:r w:rsidRPr="00BD4610">
              <w:rPr>
                <w:rFonts w:ascii="Tahoma" w:hAnsi="Tahoma" w:cs="Tahoma"/>
                <w:sz w:val="20"/>
                <w:szCs w:val="20"/>
              </w:rPr>
              <w:t>zachov</w:t>
            </w:r>
            <w:r>
              <w:rPr>
                <w:rFonts w:ascii="Tahoma" w:hAnsi="Tahoma" w:cs="Tahoma"/>
                <w:sz w:val="20"/>
                <w:szCs w:val="20"/>
              </w:rPr>
              <w:t xml:space="preserve">ání </w:t>
            </w:r>
            <w:r w:rsidRPr="00BD4610">
              <w:rPr>
                <w:rFonts w:ascii="Tahoma" w:hAnsi="Tahoma" w:cs="Tahoma"/>
                <w:sz w:val="20"/>
                <w:szCs w:val="20"/>
              </w:rPr>
              <w:t>stávající</w:t>
            </w:r>
            <w:r>
              <w:rPr>
                <w:rFonts w:ascii="Tahoma" w:hAnsi="Tahoma" w:cs="Tahoma"/>
                <w:sz w:val="20"/>
                <w:szCs w:val="20"/>
              </w:rPr>
              <w:t>ho</w:t>
            </w:r>
            <w:r w:rsidRPr="00BD4610">
              <w:rPr>
                <w:rFonts w:ascii="Tahoma" w:hAnsi="Tahoma" w:cs="Tahoma"/>
                <w:sz w:val="20"/>
                <w:szCs w:val="20"/>
              </w:rPr>
              <w:t xml:space="preserve"> informační</w:t>
            </w:r>
            <w:r>
              <w:rPr>
                <w:rFonts w:ascii="Tahoma" w:hAnsi="Tahoma" w:cs="Tahoma"/>
                <w:sz w:val="20"/>
                <w:szCs w:val="20"/>
              </w:rPr>
              <w:t>ho</w:t>
            </w:r>
            <w:r w:rsidRPr="00BD4610">
              <w:rPr>
                <w:rFonts w:ascii="Tahoma" w:hAnsi="Tahoma" w:cs="Tahoma"/>
                <w:sz w:val="20"/>
                <w:szCs w:val="20"/>
              </w:rPr>
              <w:t xml:space="preserve"> systém</w:t>
            </w:r>
            <w:r>
              <w:rPr>
                <w:rFonts w:ascii="Tahoma" w:hAnsi="Tahoma" w:cs="Tahoma"/>
                <w:sz w:val="20"/>
                <w:szCs w:val="20"/>
              </w:rPr>
              <w:t>u</w:t>
            </w:r>
            <w:r w:rsidRPr="00BD4610">
              <w:rPr>
                <w:rFonts w:ascii="Tahoma" w:hAnsi="Tahoma" w:cs="Tahoma"/>
                <w:sz w:val="20"/>
                <w:szCs w:val="20"/>
              </w:rPr>
              <w:t xml:space="preserve"> ISOP včetně uživatelské aplikace </w:t>
            </w:r>
            <w:proofErr w:type="spellStart"/>
            <w:r w:rsidRPr="00BD4610">
              <w:rPr>
                <w:rFonts w:ascii="Tahoma" w:hAnsi="Tahoma" w:cs="Tahoma"/>
                <w:sz w:val="20"/>
                <w:szCs w:val="20"/>
              </w:rPr>
              <w:t>eAccount</w:t>
            </w:r>
            <w:proofErr w:type="spellEnd"/>
            <w:r>
              <w:rPr>
                <w:rFonts w:ascii="Tahoma" w:hAnsi="Tahoma" w:cs="Tahoma"/>
                <w:sz w:val="20"/>
                <w:szCs w:val="20"/>
              </w:rPr>
              <w:t xml:space="preserve"> pro potřeby OP PIK</w:t>
            </w:r>
            <w:r w:rsidRPr="00BD4610">
              <w:rPr>
                <w:rFonts w:ascii="Tahoma" w:hAnsi="Tahoma" w:cs="Tahoma"/>
                <w:sz w:val="20"/>
                <w:szCs w:val="20"/>
              </w:rPr>
              <w:t xml:space="preserve"> s tím, že by samozřejmě bylo vytvoř</w:t>
            </w:r>
            <w:r>
              <w:rPr>
                <w:rFonts w:ascii="Tahoma" w:hAnsi="Tahoma" w:cs="Tahoma"/>
                <w:sz w:val="20"/>
                <w:szCs w:val="20"/>
              </w:rPr>
              <w:t>eno</w:t>
            </w:r>
            <w:r w:rsidRPr="00BD4610">
              <w:rPr>
                <w:rFonts w:ascii="Tahoma" w:hAnsi="Tahoma" w:cs="Tahoma"/>
                <w:sz w:val="20"/>
                <w:szCs w:val="20"/>
              </w:rPr>
              <w:t xml:space="preserve"> příslušné rozhraní pro komunikaci s novým MS2014+. Tímto opatřením by zároveň bylo eliminováno riziko zvýšené administrativní zátěže pro příjemce</w:t>
            </w:r>
            <w:r>
              <w:rPr>
                <w:rFonts w:ascii="Tahoma" w:hAnsi="Tahoma" w:cs="Tahoma"/>
                <w:sz w:val="20"/>
                <w:szCs w:val="20"/>
              </w:rPr>
              <w:t xml:space="preserve"> v OP PIK</w:t>
            </w:r>
            <w:r w:rsidRPr="00BD4610">
              <w:rPr>
                <w:rFonts w:ascii="Tahoma" w:hAnsi="Tahoma" w:cs="Tahoma"/>
                <w:sz w:val="20"/>
                <w:szCs w:val="20"/>
              </w:rPr>
              <w:t xml:space="preserve">, kteří by nebyli nuceni se seznamovat se zcela novým </w:t>
            </w:r>
            <w:r>
              <w:rPr>
                <w:rFonts w:ascii="Tahoma" w:hAnsi="Tahoma" w:cs="Tahoma"/>
                <w:sz w:val="20"/>
                <w:szCs w:val="20"/>
              </w:rPr>
              <w:t>uživatelským</w:t>
            </w:r>
            <w:r w:rsidRPr="00BD4610">
              <w:rPr>
                <w:rFonts w:ascii="Tahoma" w:hAnsi="Tahoma" w:cs="Tahoma"/>
                <w:sz w:val="20"/>
                <w:szCs w:val="20"/>
              </w:rPr>
              <w:t xml:space="preserve"> prostředím</w:t>
            </w:r>
            <w:r>
              <w:rPr>
                <w:rFonts w:ascii="Tahoma" w:hAnsi="Tahoma" w:cs="Tahoma"/>
                <w:sz w:val="20"/>
                <w:szCs w:val="20"/>
              </w:rPr>
              <w:t xml:space="preserve"> a mohli by i nadále efektivně využívat své zkušenosti s aplikací </w:t>
            </w:r>
            <w:proofErr w:type="spellStart"/>
            <w:r>
              <w:rPr>
                <w:rFonts w:ascii="Tahoma" w:hAnsi="Tahoma" w:cs="Tahoma"/>
                <w:sz w:val="20"/>
                <w:szCs w:val="20"/>
              </w:rPr>
              <w:t>eAccount</w:t>
            </w:r>
            <w:proofErr w:type="spellEnd"/>
            <w:r>
              <w:rPr>
                <w:rFonts w:ascii="Tahoma" w:hAnsi="Tahoma" w:cs="Tahoma"/>
                <w:sz w:val="20"/>
                <w:szCs w:val="20"/>
              </w:rPr>
              <w:t>, která je mezi příjemci i pracovníky implementační struktury obecně hodnocena velmi pozitivně.</w:t>
            </w:r>
          </w:p>
          <w:p w:rsidR="00AD213E" w:rsidRPr="00BD4610" w:rsidRDefault="00AD213E" w:rsidP="00C6279B">
            <w:pPr>
              <w:pStyle w:val="Odstavecseseznamem"/>
              <w:numPr>
                <w:ilvl w:val="0"/>
                <w:numId w:val="26"/>
              </w:numPr>
              <w:spacing w:after="120"/>
              <w:jc w:val="both"/>
              <w:rPr>
                <w:rFonts w:ascii="Tahoma" w:hAnsi="Tahoma" w:cs="Tahoma"/>
                <w:sz w:val="20"/>
                <w:szCs w:val="20"/>
              </w:rPr>
            </w:pPr>
            <w:r>
              <w:rPr>
                <w:rFonts w:ascii="Tahoma" w:hAnsi="Tahoma" w:cs="Tahoma"/>
                <w:sz w:val="20"/>
                <w:szCs w:val="20"/>
              </w:rPr>
              <w:t>V</w:t>
            </w:r>
            <w:r w:rsidRPr="00BD4610">
              <w:rPr>
                <w:rFonts w:ascii="Tahoma" w:hAnsi="Tahoma" w:cs="Tahoma"/>
                <w:sz w:val="20"/>
                <w:szCs w:val="20"/>
              </w:rPr>
              <w:t xml:space="preserve">ýrazné zjednodušení administrativních pravidel pro příjemce, zejména pravidel pro výběr </w:t>
            </w:r>
            <w:r w:rsidRPr="00BD4610">
              <w:rPr>
                <w:rFonts w:ascii="Tahoma" w:hAnsi="Tahoma" w:cs="Tahoma"/>
                <w:sz w:val="20"/>
                <w:szCs w:val="20"/>
              </w:rPr>
              <w:lastRenderedPageBreak/>
              <w:t>dodavatelů. Dle signálů z podnikatelského prostředí, které hodnotitel zaznamenává, se již samotné snížení intenzity veřejné podpory výrazně negativně promítá do zájmu potencionálních žadatelů. Další zhoršení/ztížení podmínek pro realizaci projektů způsobené složitou administrativou by pak mohlo mít již zcela zásadní negativní dopad na absorpční kapacitu programu</w:t>
            </w:r>
            <w:r>
              <w:rPr>
                <w:rFonts w:ascii="Tahoma" w:hAnsi="Tahoma" w:cs="Tahoma"/>
                <w:sz w:val="20"/>
                <w:szCs w:val="20"/>
              </w:rPr>
              <w:t>.</w:t>
            </w:r>
          </w:p>
          <w:p w:rsidR="00AD213E" w:rsidRPr="00BD4610" w:rsidRDefault="00AD213E" w:rsidP="00C6279B">
            <w:pPr>
              <w:pStyle w:val="Odstavecseseznamem"/>
              <w:numPr>
                <w:ilvl w:val="0"/>
                <w:numId w:val="26"/>
              </w:numPr>
              <w:spacing w:after="120"/>
              <w:jc w:val="both"/>
              <w:rPr>
                <w:rFonts w:ascii="Tahoma" w:hAnsi="Tahoma" w:cs="Tahoma"/>
                <w:sz w:val="20"/>
                <w:szCs w:val="20"/>
              </w:rPr>
            </w:pPr>
            <w:r>
              <w:rPr>
                <w:rFonts w:ascii="Tahoma" w:hAnsi="Tahoma" w:cs="Tahoma"/>
                <w:sz w:val="20"/>
                <w:szCs w:val="20"/>
              </w:rPr>
              <w:t xml:space="preserve">Dostatečná </w:t>
            </w:r>
            <w:r w:rsidRPr="00BD1C90">
              <w:rPr>
                <w:rFonts w:ascii="Tahoma" w:hAnsi="Tahoma" w:cs="Tahoma"/>
                <w:sz w:val="20"/>
                <w:szCs w:val="20"/>
              </w:rPr>
              <w:t>informovanost žadatelů a příjemců o všech povinnostech v souvislosti s realizací projektů</w:t>
            </w:r>
            <w:r>
              <w:rPr>
                <w:rFonts w:ascii="Tahoma" w:hAnsi="Tahoma" w:cs="Tahoma"/>
                <w:sz w:val="20"/>
                <w:szCs w:val="20"/>
              </w:rPr>
              <w:t>.</w:t>
            </w:r>
          </w:p>
          <w:p w:rsidR="00AD213E" w:rsidRPr="00842D86" w:rsidRDefault="00AD213E" w:rsidP="00C6279B">
            <w:pPr>
              <w:pStyle w:val="Odstavecseseznamem"/>
              <w:numPr>
                <w:ilvl w:val="0"/>
                <w:numId w:val="26"/>
              </w:numPr>
              <w:spacing w:after="120"/>
              <w:jc w:val="both"/>
              <w:rPr>
                <w:rFonts w:ascii="Tahoma" w:eastAsia="Calibri" w:hAnsi="Tahoma" w:cs="Tahoma"/>
                <w:sz w:val="20"/>
                <w:szCs w:val="20"/>
              </w:rPr>
            </w:pPr>
            <w:r>
              <w:rPr>
                <w:rFonts w:ascii="Tahoma" w:hAnsi="Tahoma" w:cs="Tahoma"/>
                <w:sz w:val="20"/>
                <w:szCs w:val="20"/>
              </w:rPr>
              <w:t>Sjednocení přístupů</w:t>
            </w:r>
            <w:r w:rsidRPr="00902079">
              <w:rPr>
                <w:rFonts w:ascii="Tahoma" w:hAnsi="Tahoma" w:cs="Tahoma"/>
                <w:sz w:val="20"/>
                <w:szCs w:val="20"/>
              </w:rPr>
              <w:t xml:space="preserve"> finančních úřadů a dalších kontrolních institucí </w:t>
            </w:r>
            <w:r>
              <w:rPr>
                <w:rFonts w:ascii="Tahoma" w:hAnsi="Tahoma" w:cs="Tahoma"/>
                <w:sz w:val="20"/>
                <w:szCs w:val="20"/>
              </w:rPr>
              <w:t xml:space="preserve">ke kontrolám projektů a </w:t>
            </w:r>
            <w:r w:rsidRPr="00902079">
              <w:rPr>
                <w:rFonts w:ascii="Tahoma" w:hAnsi="Tahoma" w:cs="Tahoma"/>
                <w:sz w:val="20"/>
                <w:szCs w:val="20"/>
              </w:rPr>
              <w:t>vhodn</w:t>
            </w:r>
            <w:r>
              <w:rPr>
                <w:rFonts w:ascii="Tahoma" w:hAnsi="Tahoma" w:cs="Tahoma"/>
                <w:sz w:val="20"/>
                <w:szCs w:val="20"/>
              </w:rPr>
              <w:t>ě</w:t>
            </w:r>
            <w:r w:rsidRPr="00902079">
              <w:rPr>
                <w:rFonts w:ascii="Tahoma" w:hAnsi="Tahoma" w:cs="Tahoma"/>
                <w:sz w:val="20"/>
                <w:szCs w:val="20"/>
              </w:rPr>
              <w:t xml:space="preserve"> nastavený, přehledný systém sankcí za porušení povinností příjemce podpory</w:t>
            </w:r>
            <w:r>
              <w:rPr>
                <w:rFonts w:ascii="Tahoma" w:hAnsi="Tahoma" w:cs="Tahoma"/>
                <w:sz w:val="20"/>
                <w:szCs w:val="20"/>
              </w:rPr>
              <w:t>.</w:t>
            </w:r>
          </w:p>
        </w:tc>
      </w:tr>
    </w:tbl>
    <w:p w:rsidR="00B74975" w:rsidRPr="00004641" w:rsidRDefault="00B74975" w:rsidP="00004641">
      <w:pPr>
        <w:spacing w:after="120"/>
      </w:pPr>
    </w:p>
    <w:p w:rsidR="00E246AD" w:rsidRPr="0072711D" w:rsidRDefault="00384DCD" w:rsidP="00384DCD">
      <w:pPr>
        <w:spacing w:after="120"/>
        <w:rPr>
          <w:rFonts w:eastAsia="Calibri" w:cs="Times New Roman"/>
        </w:rPr>
      </w:pPr>
      <w:r w:rsidRPr="0072711D">
        <w:rPr>
          <w:rFonts w:eastAsia="Calibri" w:cs="Times New Roman"/>
        </w:rPr>
        <w:t xml:space="preserve">Hodnotitel konstatuje, že </w:t>
      </w:r>
      <w:r w:rsidR="00A1304A">
        <w:t>předmětná pracovní</w:t>
      </w:r>
      <w:r w:rsidR="00E246AD" w:rsidRPr="0072711D">
        <w:t xml:space="preserve"> verze</w:t>
      </w:r>
      <w:r w:rsidRPr="0072711D">
        <w:t xml:space="preserve"> OP PIK </w:t>
      </w:r>
      <w:r w:rsidR="00E246AD" w:rsidRPr="0072711D">
        <w:rPr>
          <w:rFonts w:eastAsia="Calibri" w:cs="Times New Roman"/>
        </w:rPr>
        <w:t xml:space="preserve">představuje relativně vyrovnaný dokument, který lze považovat za vhodný podklad pro řešení </w:t>
      </w:r>
      <w:r w:rsidR="00E246AD" w:rsidRPr="0072711D">
        <w:t xml:space="preserve">vybraných </w:t>
      </w:r>
      <w:r w:rsidR="00E246AD" w:rsidRPr="0072711D">
        <w:rPr>
          <w:rFonts w:eastAsia="Calibri" w:cs="Times New Roman"/>
        </w:rPr>
        <w:t xml:space="preserve">problémových oblastí </w:t>
      </w:r>
      <w:proofErr w:type="spellStart"/>
      <w:r w:rsidR="00E246AD" w:rsidRPr="0072711D">
        <w:t>DoP</w:t>
      </w:r>
      <w:proofErr w:type="spellEnd"/>
      <w:r w:rsidR="00E246AD" w:rsidRPr="0072711D">
        <w:t xml:space="preserve">, zejména </w:t>
      </w:r>
      <w:r w:rsidR="00E246AD" w:rsidRPr="0072711D">
        <w:rPr>
          <w:i/>
        </w:rPr>
        <w:t xml:space="preserve">Výzkumný a inovační systém, </w:t>
      </w:r>
      <w:r w:rsidR="00696483" w:rsidRPr="0072711D">
        <w:rPr>
          <w:i/>
        </w:rPr>
        <w:t xml:space="preserve">Konkurenceschopné podniky, ICT infrastruktura </w:t>
      </w:r>
      <w:r w:rsidR="00696483" w:rsidRPr="0072711D">
        <w:t>a</w:t>
      </w:r>
      <w:r w:rsidR="00696483" w:rsidRPr="0072711D">
        <w:rPr>
          <w:i/>
        </w:rPr>
        <w:t xml:space="preserve"> Energetická infrastruktura</w:t>
      </w:r>
      <w:r w:rsidR="00E246AD" w:rsidRPr="0072711D">
        <w:t xml:space="preserve">.  </w:t>
      </w:r>
      <w:r w:rsidR="00E246AD" w:rsidRPr="0072711D">
        <w:rPr>
          <w:rFonts w:eastAsia="Calibri" w:cs="Times New Roman"/>
        </w:rPr>
        <w:t xml:space="preserve"> </w:t>
      </w:r>
    </w:p>
    <w:p w:rsidR="00E246AD" w:rsidRPr="0072711D" w:rsidRDefault="00BC7A5C" w:rsidP="00384DCD">
      <w:pPr>
        <w:spacing w:after="120"/>
        <w:rPr>
          <w:rFonts w:eastAsia="Calibri" w:cs="Times New Roman"/>
        </w:rPr>
      </w:pPr>
      <w:r w:rsidRPr="0072711D">
        <w:rPr>
          <w:rFonts w:eastAsia="Calibri" w:cs="Times New Roman"/>
        </w:rPr>
        <w:t>V</w:t>
      </w:r>
      <w:r w:rsidR="00E246AD" w:rsidRPr="0072711D">
        <w:rPr>
          <w:rFonts w:eastAsia="Calibri" w:cs="Times New Roman"/>
        </w:rPr>
        <w:t xml:space="preserve"> průběhu </w:t>
      </w:r>
      <w:r w:rsidR="00384DCD" w:rsidRPr="0072711D">
        <w:rPr>
          <w:rFonts w:eastAsia="Calibri" w:cs="Times New Roman"/>
        </w:rPr>
        <w:t xml:space="preserve">ex-ante </w:t>
      </w:r>
      <w:r w:rsidR="00E246AD" w:rsidRPr="0072711D">
        <w:rPr>
          <w:rFonts w:eastAsia="Calibri" w:cs="Times New Roman"/>
        </w:rPr>
        <w:t>hodnocení došlo v programu k</w:t>
      </w:r>
      <w:r w:rsidRPr="0072711D">
        <w:rPr>
          <w:rFonts w:eastAsia="Calibri" w:cs="Times New Roman"/>
        </w:rPr>
        <w:t xml:space="preserve"> některým</w:t>
      </w:r>
      <w:r w:rsidR="00E246AD" w:rsidRPr="0072711D">
        <w:rPr>
          <w:rFonts w:eastAsia="Calibri" w:cs="Times New Roman"/>
        </w:rPr>
        <w:t xml:space="preserve"> důležitým změnám, které posunuly program do uceleného a z velké části utříděného programu, který lze </w:t>
      </w:r>
      <w:r w:rsidR="009E5BE4" w:rsidRPr="009E5BE4">
        <w:rPr>
          <w:rFonts w:eastAsia="Calibri" w:cs="Times New Roman"/>
        </w:rPr>
        <w:t xml:space="preserve">v této verzi </w:t>
      </w:r>
      <w:r w:rsidR="00E246AD" w:rsidRPr="0072711D">
        <w:rPr>
          <w:rFonts w:eastAsia="Calibri" w:cs="Times New Roman"/>
        </w:rPr>
        <w:t>označit za dokument, který by z národní úrovně mohl napomoci k</w:t>
      </w:r>
      <w:r w:rsidRPr="0072711D">
        <w:rPr>
          <w:rFonts w:eastAsia="Calibri" w:cs="Times New Roman"/>
        </w:rPr>
        <w:t xml:space="preserve"> růstu konkurenceschopné ekonomiky založené na znalostech a inovacích a méně náročné na zdroje. </w:t>
      </w:r>
    </w:p>
    <w:p w:rsidR="00BC7A5C" w:rsidRPr="0072711D" w:rsidRDefault="00E246AD" w:rsidP="00384DCD">
      <w:pPr>
        <w:spacing w:after="120"/>
        <w:rPr>
          <w:rFonts w:eastAsia="Calibri" w:cs="Times New Roman"/>
        </w:rPr>
      </w:pPr>
      <w:r w:rsidRPr="0072711D">
        <w:rPr>
          <w:rFonts w:eastAsia="Calibri" w:cs="Times New Roman"/>
        </w:rPr>
        <w:t>Přestože celý program doznal podstatných pozitivních změn, v </w:t>
      </w:r>
      <w:r w:rsidRPr="005F1E32">
        <w:rPr>
          <w:rFonts w:eastAsia="Calibri" w:cs="Times New Roman"/>
        </w:rPr>
        <w:t>program</w:t>
      </w:r>
      <w:r w:rsidR="009E5BE4" w:rsidRPr="009E5BE4">
        <w:rPr>
          <w:rFonts w:eastAsia="Calibri" w:cs="Times New Roman"/>
        </w:rPr>
        <w:t>u podle hodnotitele p</w:t>
      </w:r>
      <w:r w:rsidR="009E5BE4" w:rsidRPr="009E5BE4">
        <w:rPr>
          <w:rFonts w:eastAsia="Calibri" w:cs="Times New Roman" w:hint="eastAsia"/>
        </w:rPr>
        <w:t>ř</w:t>
      </w:r>
      <w:r w:rsidR="009E5BE4" w:rsidRPr="009E5BE4">
        <w:rPr>
          <w:rFonts w:eastAsia="Calibri" w:cs="Times New Roman"/>
        </w:rPr>
        <w:t>etrvávají ješt</w:t>
      </w:r>
      <w:r w:rsidR="009E5BE4" w:rsidRPr="009E5BE4">
        <w:rPr>
          <w:rFonts w:eastAsia="Calibri" w:cs="Times New Roman" w:hint="eastAsia"/>
        </w:rPr>
        <w:t>ě</w:t>
      </w:r>
      <w:r w:rsidR="009E5BE4" w:rsidRPr="009E5BE4">
        <w:rPr>
          <w:rFonts w:eastAsia="Calibri" w:cs="Times New Roman"/>
        </w:rPr>
        <w:t xml:space="preserve"> n</w:t>
      </w:r>
      <w:r w:rsidR="009E5BE4" w:rsidRPr="009E5BE4">
        <w:rPr>
          <w:rFonts w:eastAsia="Calibri" w:cs="Times New Roman" w:hint="eastAsia"/>
        </w:rPr>
        <w:t>ě</w:t>
      </w:r>
      <w:r w:rsidR="009E5BE4" w:rsidRPr="009E5BE4">
        <w:rPr>
          <w:rFonts w:eastAsia="Calibri" w:cs="Times New Roman"/>
        </w:rPr>
        <w:t>která témata, která by m</w:t>
      </w:r>
      <w:r w:rsidR="009E5BE4" w:rsidRPr="009E5BE4">
        <w:rPr>
          <w:rFonts w:eastAsia="Calibri" w:cs="Times New Roman" w:hint="eastAsia"/>
        </w:rPr>
        <w:t>ě</w:t>
      </w:r>
      <w:r w:rsidR="009E5BE4" w:rsidRPr="009E5BE4">
        <w:rPr>
          <w:rFonts w:eastAsia="Calibri" w:cs="Times New Roman"/>
        </w:rPr>
        <w:t>la být v dalších fázích tvorby programu ješt</w:t>
      </w:r>
      <w:r w:rsidR="009E5BE4" w:rsidRPr="009E5BE4">
        <w:rPr>
          <w:rFonts w:eastAsia="Calibri" w:cs="Times New Roman" w:hint="eastAsia"/>
        </w:rPr>
        <w:t>ě</w:t>
      </w:r>
      <w:r w:rsidR="009E5BE4" w:rsidRPr="009E5BE4">
        <w:rPr>
          <w:rFonts w:eastAsia="Calibri" w:cs="Times New Roman"/>
        </w:rPr>
        <w:t xml:space="preserve"> </w:t>
      </w:r>
      <w:r w:rsidR="009E5BE4" w:rsidRPr="009E5BE4">
        <w:rPr>
          <w:rFonts w:eastAsia="Calibri" w:cs="Times New Roman" w:hint="eastAsia"/>
        </w:rPr>
        <w:t>ř</w:t>
      </w:r>
      <w:r w:rsidR="009E5BE4" w:rsidRPr="009E5BE4">
        <w:rPr>
          <w:rFonts w:eastAsia="Calibri" w:cs="Times New Roman"/>
        </w:rPr>
        <w:t xml:space="preserve">ešena. </w:t>
      </w:r>
      <w:r w:rsidR="00732D4C" w:rsidRPr="0072711D">
        <w:rPr>
          <w:rFonts w:eastAsia="Calibri" w:cs="Times New Roman"/>
        </w:rPr>
        <w:t>H</w:t>
      </w:r>
      <w:r w:rsidR="001B5C62" w:rsidRPr="0072711D">
        <w:rPr>
          <w:rFonts w:eastAsia="Calibri" w:cs="Times New Roman"/>
        </w:rPr>
        <w:t>odnotitel</w:t>
      </w:r>
      <w:r w:rsidR="00732D4C" w:rsidRPr="0072711D">
        <w:rPr>
          <w:rFonts w:eastAsia="Calibri" w:cs="Times New Roman"/>
        </w:rPr>
        <w:t xml:space="preserve"> proto</w:t>
      </w:r>
      <w:r w:rsidR="00F768D4" w:rsidRPr="0072711D">
        <w:rPr>
          <w:rFonts w:eastAsia="Calibri" w:cs="Times New Roman"/>
        </w:rPr>
        <w:t xml:space="preserve"> </w:t>
      </w:r>
      <w:r w:rsidR="00F768D4" w:rsidRPr="0072711D">
        <w:rPr>
          <w:rFonts w:eastAsia="Calibri" w:cs="Times New Roman"/>
          <w:u w:val="single"/>
        </w:rPr>
        <w:t>doporučuje</w:t>
      </w:r>
      <w:r w:rsidR="00F768D4" w:rsidRPr="0072711D">
        <w:rPr>
          <w:rFonts w:eastAsia="Calibri" w:cs="Times New Roman"/>
        </w:rPr>
        <w:t xml:space="preserve"> </w:t>
      </w:r>
      <w:r w:rsidR="00732D4C" w:rsidRPr="0072711D">
        <w:rPr>
          <w:rFonts w:eastAsia="Calibri" w:cs="Times New Roman"/>
        </w:rPr>
        <w:t xml:space="preserve">zejména </w:t>
      </w:r>
      <w:r w:rsidR="00F768D4" w:rsidRPr="0072711D">
        <w:rPr>
          <w:rFonts w:eastAsia="Calibri" w:cs="Times New Roman"/>
        </w:rPr>
        <w:t>následující</w:t>
      </w:r>
      <w:r w:rsidR="00BC7A5C" w:rsidRPr="0072711D">
        <w:rPr>
          <w:rFonts w:eastAsia="Calibri" w:cs="Times New Roman"/>
        </w:rPr>
        <w:t>:</w:t>
      </w:r>
    </w:p>
    <w:p w:rsidR="00F768D4" w:rsidRPr="00E65272" w:rsidRDefault="00E65272" w:rsidP="00C6279B">
      <w:pPr>
        <w:numPr>
          <w:ilvl w:val="0"/>
          <w:numId w:val="17"/>
        </w:numPr>
        <w:spacing w:after="120"/>
        <w:rPr>
          <w:rFonts w:eastAsia="Calibri" w:cs="Times New Roman"/>
        </w:rPr>
      </w:pPr>
      <w:r>
        <w:rPr>
          <w:rFonts w:eastAsia="Calibri" w:cs="Times New Roman"/>
        </w:rPr>
        <w:t>Z</w:t>
      </w:r>
      <w:r w:rsidR="00026F54" w:rsidRPr="00E65272">
        <w:rPr>
          <w:rFonts w:eastAsia="Calibri" w:cs="Times New Roman"/>
        </w:rPr>
        <w:t xml:space="preserve">vážit </w:t>
      </w:r>
      <w:r w:rsidR="005F1E32">
        <w:rPr>
          <w:rFonts w:eastAsia="Calibri" w:cs="Times New Roman"/>
        </w:rPr>
        <w:t>případnou další</w:t>
      </w:r>
      <w:r w:rsidR="005F1E32" w:rsidRPr="00E65272">
        <w:rPr>
          <w:rFonts w:eastAsia="Calibri" w:cs="Times New Roman"/>
        </w:rPr>
        <w:t xml:space="preserve"> </w:t>
      </w:r>
      <w:r w:rsidR="00F768D4" w:rsidRPr="00E65272">
        <w:rPr>
          <w:rFonts w:eastAsia="Calibri" w:cs="Times New Roman"/>
        </w:rPr>
        <w:t>koncentrac</w:t>
      </w:r>
      <w:r w:rsidR="00026F54" w:rsidRPr="00E65272">
        <w:rPr>
          <w:rFonts w:eastAsia="Calibri" w:cs="Times New Roman"/>
        </w:rPr>
        <w:t xml:space="preserve">i </w:t>
      </w:r>
      <w:r w:rsidR="00F768D4" w:rsidRPr="00E65272">
        <w:rPr>
          <w:rFonts w:eastAsia="Calibri" w:cs="Times New Roman"/>
        </w:rPr>
        <w:t>OP PIK</w:t>
      </w:r>
      <w:r w:rsidR="00A1304A">
        <w:rPr>
          <w:rFonts w:eastAsia="Calibri" w:cs="Times New Roman"/>
        </w:rPr>
        <w:t xml:space="preserve"> na podporu klíčových aktivit pro řešení hlavních problémů </w:t>
      </w:r>
      <w:r w:rsidR="00871AE7">
        <w:rPr>
          <w:rFonts w:eastAsia="Calibri" w:cs="Times New Roman"/>
        </w:rPr>
        <w:t xml:space="preserve">a </w:t>
      </w:r>
      <w:r w:rsidR="00A1304A">
        <w:rPr>
          <w:rFonts w:eastAsia="Calibri" w:cs="Times New Roman"/>
        </w:rPr>
        <w:t>potřeb</w:t>
      </w:r>
      <w:r w:rsidR="005F1E32">
        <w:rPr>
          <w:rFonts w:eastAsia="Calibri" w:cs="Times New Roman"/>
        </w:rPr>
        <w:t xml:space="preserve">, </w:t>
      </w:r>
      <w:r w:rsidR="002208A9">
        <w:rPr>
          <w:rFonts w:eastAsia="Calibri" w:cs="Times New Roman"/>
        </w:rPr>
        <w:t>na řešení specifických územních potřeb</w:t>
      </w:r>
      <w:r w:rsidR="005F1E32">
        <w:rPr>
          <w:rFonts w:eastAsia="Calibri" w:cs="Times New Roman"/>
        </w:rPr>
        <w:t xml:space="preserve"> a také v návaznosti na výsledky vyjednávání </w:t>
      </w:r>
      <w:proofErr w:type="spellStart"/>
      <w:r w:rsidR="005F1E32">
        <w:rPr>
          <w:rFonts w:eastAsia="Calibri" w:cs="Times New Roman"/>
        </w:rPr>
        <w:t>DoP</w:t>
      </w:r>
      <w:r w:rsidR="002208A9">
        <w:rPr>
          <w:rFonts w:eastAsia="Calibri" w:cs="Times New Roman"/>
        </w:rPr>
        <w:t>.</w:t>
      </w:r>
      <w:proofErr w:type="spellEnd"/>
      <w:r w:rsidR="00A1304A">
        <w:rPr>
          <w:rFonts w:eastAsia="Calibri" w:cs="Times New Roman"/>
        </w:rPr>
        <w:t xml:space="preserve"> </w:t>
      </w:r>
      <w:r w:rsidR="00F768D4" w:rsidRPr="00E65272">
        <w:rPr>
          <w:rFonts w:eastAsia="Calibri" w:cs="Times New Roman"/>
        </w:rPr>
        <w:t xml:space="preserve"> </w:t>
      </w:r>
    </w:p>
    <w:p w:rsidR="00F768D4" w:rsidRPr="00026F54" w:rsidRDefault="00A1304A" w:rsidP="00C6279B">
      <w:pPr>
        <w:numPr>
          <w:ilvl w:val="0"/>
          <w:numId w:val="17"/>
        </w:numPr>
        <w:spacing w:after="120"/>
        <w:rPr>
          <w:rFonts w:eastAsia="Calibri" w:cs="Times New Roman"/>
        </w:rPr>
      </w:pPr>
      <w:r>
        <w:rPr>
          <w:rFonts w:eastAsia="Calibri" w:cs="Times New Roman"/>
        </w:rPr>
        <w:t xml:space="preserve">Doplnit </w:t>
      </w:r>
      <w:r w:rsidR="00D45BCA" w:rsidRPr="00026F54">
        <w:rPr>
          <w:rFonts w:eastAsia="Calibri" w:cs="Times New Roman"/>
        </w:rPr>
        <w:t>p</w:t>
      </w:r>
      <w:r w:rsidR="00516BAB" w:rsidRPr="00026F54">
        <w:rPr>
          <w:rFonts w:eastAsia="Calibri" w:cs="Times New Roman"/>
        </w:rPr>
        <w:t>op</w:t>
      </w:r>
      <w:r>
        <w:rPr>
          <w:rFonts w:eastAsia="Calibri" w:cs="Times New Roman"/>
        </w:rPr>
        <w:t>i</w:t>
      </w:r>
      <w:r w:rsidR="00516BAB" w:rsidRPr="00026F54">
        <w:rPr>
          <w:rFonts w:eastAsia="Calibri" w:cs="Times New Roman"/>
        </w:rPr>
        <w:t>s výsledk</w:t>
      </w:r>
      <w:r>
        <w:rPr>
          <w:rFonts w:eastAsia="Calibri" w:cs="Times New Roman"/>
        </w:rPr>
        <w:t>ů</w:t>
      </w:r>
      <w:r w:rsidR="00516BAB" w:rsidRPr="00026F54">
        <w:rPr>
          <w:rFonts w:eastAsia="Calibri" w:cs="Times New Roman"/>
        </w:rPr>
        <w:t xml:space="preserve"> a </w:t>
      </w:r>
      <w:r w:rsidR="00F768D4" w:rsidRPr="00026F54">
        <w:rPr>
          <w:rFonts w:eastAsia="Calibri" w:cs="Times New Roman"/>
        </w:rPr>
        <w:t>zkušenost</w:t>
      </w:r>
      <w:r>
        <w:rPr>
          <w:rFonts w:eastAsia="Calibri" w:cs="Times New Roman"/>
        </w:rPr>
        <w:t>í</w:t>
      </w:r>
      <w:r w:rsidR="00F768D4" w:rsidRPr="00026F54">
        <w:rPr>
          <w:rFonts w:eastAsia="Calibri" w:cs="Times New Roman"/>
        </w:rPr>
        <w:t xml:space="preserve"> z programov</w:t>
      </w:r>
      <w:r w:rsidR="00E65272">
        <w:rPr>
          <w:rFonts w:eastAsia="Calibri" w:cs="Times New Roman"/>
        </w:rPr>
        <w:t>acího</w:t>
      </w:r>
      <w:r w:rsidR="00F768D4" w:rsidRPr="00026F54">
        <w:rPr>
          <w:rFonts w:eastAsia="Calibri" w:cs="Times New Roman"/>
        </w:rPr>
        <w:t xml:space="preserve"> období 2007</w:t>
      </w:r>
      <w:r w:rsidR="00871AE7">
        <w:rPr>
          <w:rFonts w:eastAsia="Calibri" w:cs="Times New Roman"/>
        </w:rPr>
        <w:t xml:space="preserve"> </w:t>
      </w:r>
      <w:r w:rsidR="00F768D4" w:rsidRPr="00026F54">
        <w:rPr>
          <w:rFonts w:eastAsia="Calibri" w:cs="Times New Roman"/>
        </w:rPr>
        <w:t>–</w:t>
      </w:r>
      <w:r w:rsidR="00871AE7">
        <w:rPr>
          <w:rFonts w:eastAsia="Calibri" w:cs="Times New Roman"/>
        </w:rPr>
        <w:t xml:space="preserve"> </w:t>
      </w:r>
      <w:r w:rsidR="00F768D4" w:rsidRPr="00026F54">
        <w:rPr>
          <w:rFonts w:eastAsia="Calibri" w:cs="Times New Roman"/>
        </w:rPr>
        <w:t>2013 a v návaznosti na ně zdůrazn</w:t>
      </w:r>
      <w:r w:rsidR="00516BAB" w:rsidRPr="00026F54">
        <w:rPr>
          <w:rFonts w:eastAsia="Calibri" w:cs="Times New Roman"/>
        </w:rPr>
        <w:t xml:space="preserve">it </w:t>
      </w:r>
      <w:r w:rsidR="00F768D4" w:rsidRPr="00026F54">
        <w:rPr>
          <w:rFonts w:eastAsia="Calibri" w:cs="Times New Roman"/>
        </w:rPr>
        <w:t xml:space="preserve">„posuny“ </w:t>
      </w:r>
      <w:r w:rsidR="00516BAB" w:rsidRPr="00026F54">
        <w:rPr>
          <w:rFonts w:eastAsia="Calibri" w:cs="Times New Roman"/>
        </w:rPr>
        <w:t xml:space="preserve">OP PIK </w:t>
      </w:r>
      <w:r w:rsidR="00F768D4" w:rsidRPr="00026F54">
        <w:rPr>
          <w:rFonts w:eastAsia="Calibri" w:cs="Times New Roman"/>
        </w:rPr>
        <w:t>vůči OPPI</w:t>
      </w:r>
      <w:r w:rsidR="00871AE7">
        <w:rPr>
          <w:rFonts w:eastAsia="Calibri" w:cs="Times New Roman"/>
        </w:rPr>
        <w:t>. T</w:t>
      </w:r>
      <w:r>
        <w:rPr>
          <w:rFonts w:eastAsia="Calibri" w:cs="Times New Roman"/>
        </w:rPr>
        <w:t>oto</w:t>
      </w:r>
      <w:r w:rsidR="004558D4">
        <w:rPr>
          <w:rFonts w:eastAsia="Calibri" w:cs="Times New Roman"/>
        </w:rPr>
        <w:t xml:space="preserve"> téma</w:t>
      </w:r>
      <w:r>
        <w:rPr>
          <w:rFonts w:eastAsia="Calibri" w:cs="Times New Roman"/>
        </w:rPr>
        <w:t xml:space="preserve"> je plánováno </w:t>
      </w:r>
      <w:r w:rsidR="006F78B5">
        <w:rPr>
          <w:rFonts w:eastAsia="Calibri" w:cs="Times New Roman"/>
        </w:rPr>
        <w:t xml:space="preserve">k rozpracování </w:t>
      </w:r>
      <w:r>
        <w:rPr>
          <w:rFonts w:eastAsia="Calibri" w:cs="Times New Roman"/>
        </w:rPr>
        <w:t>v rámci nepovinné přílohy č. 2 k OP PIK</w:t>
      </w:r>
      <w:r w:rsidR="0031650C">
        <w:rPr>
          <w:rFonts w:eastAsia="Calibri" w:cs="Times New Roman"/>
        </w:rPr>
        <w:t xml:space="preserve">, nicméně v hodnocené verzi OP PIK </w:t>
      </w:r>
      <w:r w:rsidR="006F78B5">
        <w:rPr>
          <w:rFonts w:eastAsia="Calibri" w:cs="Times New Roman"/>
        </w:rPr>
        <w:t>zatím vlastní text příl</w:t>
      </w:r>
      <w:r w:rsidR="0031650C">
        <w:rPr>
          <w:rFonts w:eastAsia="Calibri" w:cs="Times New Roman"/>
        </w:rPr>
        <w:t>o</w:t>
      </w:r>
      <w:r w:rsidR="006F78B5">
        <w:rPr>
          <w:rFonts w:eastAsia="Calibri" w:cs="Times New Roman"/>
        </w:rPr>
        <w:t>hy chyběl</w:t>
      </w:r>
      <w:r w:rsidR="00F768D4" w:rsidRPr="00026F54">
        <w:rPr>
          <w:rFonts w:eastAsia="Calibri" w:cs="Times New Roman"/>
        </w:rPr>
        <w:t xml:space="preserve">. </w:t>
      </w:r>
    </w:p>
    <w:p w:rsidR="00F768D4" w:rsidRPr="00026F54" w:rsidRDefault="00487A9D" w:rsidP="00C6279B">
      <w:pPr>
        <w:numPr>
          <w:ilvl w:val="0"/>
          <w:numId w:val="17"/>
        </w:numPr>
        <w:spacing w:after="120"/>
        <w:rPr>
          <w:rFonts w:eastAsia="Calibri" w:cs="Times New Roman"/>
        </w:rPr>
      </w:pPr>
      <w:r>
        <w:rPr>
          <w:rFonts w:eastAsia="Calibri" w:cs="Times New Roman"/>
        </w:rPr>
        <w:t xml:space="preserve">U jednotlivých specifických cílů </w:t>
      </w:r>
      <w:r w:rsidR="0031650C">
        <w:rPr>
          <w:rFonts w:eastAsia="Calibri" w:cs="Times New Roman"/>
        </w:rPr>
        <w:t xml:space="preserve">OP PIK </w:t>
      </w:r>
      <w:r>
        <w:rPr>
          <w:rFonts w:eastAsia="Calibri" w:cs="Times New Roman"/>
        </w:rPr>
        <w:t xml:space="preserve">identifikovat </w:t>
      </w:r>
      <w:r w:rsidR="00F768D4" w:rsidRPr="00026F54">
        <w:rPr>
          <w:rFonts w:eastAsia="Calibri" w:cs="Times New Roman"/>
        </w:rPr>
        <w:t>další faktor</w:t>
      </w:r>
      <w:r>
        <w:rPr>
          <w:rFonts w:eastAsia="Calibri" w:cs="Times New Roman"/>
        </w:rPr>
        <w:t>y/opatření</w:t>
      </w:r>
      <w:r w:rsidR="00F768D4" w:rsidRPr="00026F54">
        <w:rPr>
          <w:rFonts w:eastAsia="Calibri" w:cs="Times New Roman"/>
        </w:rPr>
        <w:t xml:space="preserve"> </w:t>
      </w:r>
      <w:r w:rsidR="00A1304A">
        <w:rPr>
          <w:rFonts w:eastAsia="Calibri" w:cs="Times New Roman"/>
        </w:rPr>
        <w:t xml:space="preserve">mimo </w:t>
      </w:r>
      <w:r w:rsidR="0031650C">
        <w:rPr>
          <w:rFonts w:eastAsia="Calibri" w:cs="Times New Roman"/>
        </w:rPr>
        <w:t xml:space="preserve">operační program </w:t>
      </w:r>
      <w:bookmarkStart w:id="36" w:name="_GoBack"/>
      <w:bookmarkEnd w:id="36"/>
      <w:r w:rsidR="00F768D4" w:rsidRPr="00026F54">
        <w:rPr>
          <w:rFonts w:eastAsia="Calibri" w:cs="Times New Roman"/>
        </w:rPr>
        <w:t>ovlivňující</w:t>
      </w:r>
      <w:r>
        <w:rPr>
          <w:rFonts w:eastAsia="Calibri" w:cs="Times New Roman"/>
        </w:rPr>
        <w:t xml:space="preserve"> a podmiňující jejich </w:t>
      </w:r>
      <w:r w:rsidR="00F768D4" w:rsidRPr="00026F54">
        <w:rPr>
          <w:rFonts w:eastAsia="Calibri" w:cs="Times New Roman"/>
        </w:rPr>
        <w:t>dosažitelnost</w:t>
      </w:r>
      <w:r w:rsidR="00516BAB" w:rsidRPr="00026F54">
        <w:rPr>
          <w:rFonts w:eastAsia="Calibri" w:cs="Times New Roman"/>
        </w:rPr>
        <w:t>.</w:t>
      </w:r>
      <w:r w:rsidR="00F768D4" w:rsidRPr="00026F54">
        <w:rPr>
          <w:rFonts w:eastAsia="Calibri" w:cs="Times New Roman"/>
        </w:rPr>
        <w:t xml:space="preserve">      </w:t>
      </w:r>
    </w:p>
    <w:p w:rsidR="00F768D4" w:rsidRPr="00487A9D" w:rsidRDefault="0031650C" w:rsidP="00C6279B">
      <w:pPr>
        <w:numPr>
          <w:ilvl w:val="0"/>
          <w:numId w:val="17"/>
        </w:numPr>
        <w:spacing w:after="120"/>
        <w:rPr>
          <w:rFonts w:eastAsia="Calibri" w:cs="Times New Roman"/>
        </w:rPr>
      </w:pPr>
      <w:r>
        <w:rPr>
          <w:rFonts w:eastAsia="Calibri" w:cs="Times New Roman"/>
        </w:rPr>
        <w:t>Na rámec již identifikovaných d</w:t>
      </w:r>
      <w:r w:rsidR="00516BAB" w:rsidRPr="00487A9D">
        <w:rPr>
          <w:rFonts w:eastAsia="Calibri" w:cs="Times New Roman"/>
        </w:rPr>
        <w:t>oplnit p</w:t>
      </w:r>
      <w:r w:rsidR="00F768D4" w:rsidRPr="00487A9D">
        <w:rPr>
          <w:rFonts w:eastAsia="Calibri" w:cs="Times New Roman"/>
        </w:rPr>
        <w:t>opisy</w:t>
      </w:r>
      <w:r w:rsidR="00A1304A" w:rsidRPr="00487A9D">
        <w:rPr>
          <w:rFonts w:eastAsia="Calibri" w:cs="Times New Roman"/>
        </w:rPr>
        <w:t xml:space="preserve"> dalších</w:t>
      </w:r>
      <w:r w:rsidR="00487A9D" w:rsidRPr="00487A9D">
        <w:rPr>
          <w:rFonts w:eastAsia="Calibri" w:cs="Times New Roman"/>
        </w:rPr>
        <w:t xml:space="preserve"> žádoucích</w:t>
      </w:r>
      <w:r w:rsidR="00F768D4" w:rsidRPr="00487A9D">
        <w:rPr>
          <w:rFonts w:eastAsia="Calibri" w:cs="Times New Roman"/>
        </w:rPr>
        <w:t xml:space="preserve"> komplementarit a synergií mezi prioritními osami a specifickými cíli OP PIK.</w:t>
      </w:r>
    </w:p>
    <w:p w:rsidR="00A1304A" w:rsidRDefault="00516BAB" w:rsidP="00C6279B">
      <w:pPr>
        <w:numPr>
          <w:ilvl w:val="0"/>
          <w:numId w:val="17"/>
        </w:numPr>
        <w:spacing w:after="120"/>
        <w:rPr>
          <w:rFonts w:eastAsia="Calibri" w:cs="Times New Roman"/>
        </w:rPr>
      </w:pPr>
      <w:r w:rsidRPr="00026F54">
        <w:rPr>
          <w:rFonts w:eastAsia="Calibri" w:cs="Times New Roman"/>
        </w:rPr>
        <w:t>Z</w:t>
      </w:r>
      <w:r w:rsidR="00F768D4" w:rsidRPr="00026F54">
        <w:rPr>
          <w:rFonts w:eastAsia="Calibri" w:cs="Times New Roman"/>
        </w:rPr>
        <w:t>přesn</w:t>
      </w:r>
      <w:r w:rsidRPr="00026F54">
        <w:rPr>
          <w:rFonts w:eastAsia="Calibri" w:cs="Times New Roman"/>
        </w:rPr>
        <w:t xml:space="preserve">it </w:t>
      </w:r>
      <w:r w:rsidR="00F768D4" w:rsidRPr="00026F54">
        <w:rPr>
          <w:rFonts w:eastAsia="Calibri" w:cs="Times New Roman"/>
        </w:rPr>
        <w:t>intervenční logik</w:t>
      </w:r>
      <w:r w:rsidRPr="00026F54">
        <w:rPr>
          <w:rFonts w:eastAsia="Calibri" w:cs="Times New Roman"/>
        </w:rPr>
        <w:t>u</w:t>
      </w:r>
      <w:r w:rsidR="00F768D4" w:rsidRPr="00026F54">
        <w:rPr>
          <w:rFonts w:eastAsia="Calibri" w:cs="Times New Roman"/>
        </w:rPr>
        <w:t xml:space="preserve"> programu ve smyslu</w:t>
      </w:r>
      <w:r w:rsidR="00A1304A">
        <w:rPr>
          <w:rFonts w:eastAsia="Calibri" w:cs="Times New Roman"/>
        </w:rPr>
        <w:t xml:space="preserve"> provést </w:t>
      </w:r>
      <w:r w:rsidRPr="00026F54">
        <w:rPr>
          <w:rFonts w:eastAsia="Calibri" w:cs="Times New Roman"/>
        </w:rPr>
        <w:t>reviz</w:t>
      </w:r>
      <w:r w:rsidR="00A1304A">
        <w:rPr>
          <w:rFonts w:eastAsia="Calibri" w:cs="Times New Roman"/>
        </w:rPr>
        <w:t>i</w:t>
      </w:r>
      <w:r w:rsidRPr="00026F54">
        <w:rPr>
          <w:rFonts w:eastAsia="Calibri" w:cs="Times New Roman"/>
        </w:rPr>
        <w:t xml:space="preserve"> popsaných </w:t>
      </w:r>
      <w:r w:rsidR="004558D4">
        <w:rPr>
          <w:rFonts w:eastAsia="Calibri" w:cs="Times New Roman"/>
        </w:rPr>
        <w:t>„V</w:t>
      </w:r>
      <w:r w:rsidRPr="00026F54">
        <w:rPr>
          <w:rFonts w:eastAsia="Calibri" w:cs="Times New Roman"/>
        </w:rPr>
        <w:t xml:space="preserve">ýsledků, </w:t>
      </w:r>
      <w:r w:rsidR="00D45BCA" w:rsidRPr="00026F54">
        <w:rPr>
          <w:rFonts w:eastAsia="Calibri" w:cs="Times New Roman"/>
        </w:rPr>
        <w:t>kterých chce ČR dosáhnout s podporou Unie</w:t>
      </w:r>
      <w:r w:rsidR="004558D4">
        <w:rPr>
          <w:rFonts w:eastAsia="Calibri" w:cs="Times New Roman"/>
        </w:rPr>
        <w:t>“</w:t>
      </w:r>
      <w:r w:rsidRPr="00026F54">
        <w:rPr>
          <w:rFonts w:eastAsia="Calibri" w:cs="Times New Roman"/>
        </w:rPr>
        <w:t xml:space="preserve"> a odlišit skutečně dosažitelné (reálné) výsledky od širších socioekonomických cílů a dalších potenci</w:t>
      </w:r>
      <w:r w:rsidR="00A1304A">
        <w:rPr>
          <w:rFonts w:eastAsia="Calibri" w:cs="Times New Roman"/>
        </w:rPr>
        <w:t>onálních multiplikačních efektů.</w:t>
      </w:r>
    </w:p>
    <w:p w:rsidR="00516BAB" w:rsidRPr="00026F54" w:rsidRDefault="00A1304A" w:rsidP="00C6279B">
      <w:pPr>
        <w:numPr>
          <w:ilvl w:val="0"/>
          <w:numId w:val="17"/>
        </w:numPr>
        <w:spacing w:after="120"/>
        <w:rPr>
          <w:rFonts w:eastAsia="Calibri" w:cs="Times New Roman"/>
        </w:rPr>
      </w:pPr>
      <w:r>
        <w:rPr>
          <w:rFonts w:eastAsia="Calibri" w:cs="Times New Roman"/>
        </w:rPr>
        <w:t xml:space="preserve">V navazující řídící dokumentaci k OP PIK detailně popsat </w:t>
      </w:r>
      <w:r w:rsidR="00516BAB" w:rsidRPr="00026F54">
        <w:rPr>
          <w:rFonts w:eastAsia="Calibri" w:cs="Times New Roman"/>
        </w:rPr>
        <w:t>p</w:t>
      </w:r>
      <w:r w:rsidR="00F768D4" w:rsidRPr="00026F54">
        <w:rPr>
          <w:rFonts w:eastAsia="Calibri" w:cs="Times New Roman"/>
        </w:rPr>
        <w:t>ostupy monitorování programu a shromažďování dat nezbytných k provádění evaluací k posouzení účinnosti, účelnosti a dopadu operačního programu</w:t>
      </w:r>
      <w:r w:rsidR="00516BAB" w:rsidRPr="00026F54">
        <w:rPr>
          <w:rFonts w:eastAsia="Calibri" w:cs="Times New Roman"/>
        </w:rPr>
        <w:t>.</w:t>
      </w:r>
    </w:p>
    <w:p w:rsidR="00516BAB" w:rsidRPr="00026F54" w:rsidRDefault="00A1304A" w:rsidP="00C6279B">
      <w:pPr>
        <w:numPr>
          <w:ilvl w:val="0"/>
          <w:numId w:val="17"/>
        </w:numPr>
        <w:spacing w:after="120"/>
        <w:rPr>
          <w:rFonts w:eastAsia="Calibri" w:cs="Times New Roman"/>
        </w:rPr>
      </w:pPr>
      <w:r>
        <w:rPr>
          <w:rFonts w:eastAsia="Calibri" w:cs="Times New Roman"/>
        </w:rPr>
        <w:t>Provést důkladnou analýzu</w:t>
      </w:r>
      <w:r w:rsidR="00F768D4" w:rsidRPr="00026F54">
        <w:rPr>
          <w:rFonts w:eastAsia="Calibri" w:cs="Times New Roman"/>
        </w:rPr>
        <w:t xml:space="preserve"> administrativní kapacity pro řízení programu</w:t>
      </w:r>
      <w:r>
        <w:rPr>
          <w:rFonts w:eastAsia="Calibri" w:cs="Times New Roman"/>
        </w:rPr>
        <w:t xml:space="preserve"> a v návaznosti na </w:t>
      </w:r>
      <w:r w:rsidR="00871AE7">
        <w:rPr>
          <w:rFonts w:eastAsia="Calibri" w:cs="Times New Roman"/>
        </w:rPr>
        <w:t xml:space="preserve">výsledná </w:t>
      </w:r>
      <w:r>
        <w:rPr>
          <w:rFonts w:eastAsia="Calibri" w:cs="Times New Roman"/>
        </w:rPr>
        <w:t>zjištění přijmout potřebná opatření</w:t>
      </w:r>
      <w:r w:rsidR="00516BAB" w:rsidRPr="00026F54">
        <w:rPr>
          <w:rFonts w:eastAsia="Calibri" w:cs="Times New Roman"/>
        </w:rPr>
        <w:t>.</w:t>
      </w:r>
    </w:p>
    <w:p w:rsidR="001E7FBB" w:rsidRPr="00702961" w:rsidRDefault="001E7FBB" w:rsidP="00702961">
      <w:pPr>
        <w:spacing w:after="120"/>
        <w:rPr>
          <w:rFonts w:cs="Tahoma"/>
          <w:szCs w:val="20"/>
        </w:rPr>
      </w:pPr>
    </w:p>
    <w:p w:rsidR="00B52033" w:rsidRDefault="00B52033" w:rsidP="00B52033">
      <w:pPr>
        <w:pStyle w:val="Nadpis1"/>
      </w:pPr>
      <w:bookmarkStart w:id="37" w:name="_Toc392583681"/>
      <w:r>
        <w:lastRenderedPageBreak/>
        <w:t>Přílohy</w:t>
      </w:r>
      <w:bookmarkEnd w:id="37"/>
    </w:p>
    <w:p w:rsidR="00BB09C4" w:rsidRPr="00B35BAB" w:rsidRDefault="008E297E" w:rsidP="00BB09C4">
      <w:pPr>
        <w:spacing w:after="120"/>
      </w:pPr>
      <w:r w:rsidRPr="00B35BAB">
        <w:t xml:space="preserve">Příloha 1: </w:t>
      </w:r>
      <w:r w:rsidR="00BB09C4" w:rsidRPr="00B35BAB">
        <w:t xml:space="preserve">Posouzení souladu </w:t>
      </w:r>
      <w:r w:rsidR="002921DB">
        <w:t>strategických cí</w:t>
      </w:r>
      <w:r w:rsidR="00BB09C4" w:rsidRPr="00B35BAB">
        <w:t xml:space="preserve">lů </w:t>
      </w:r>
      <w:r w:rsidR="002921DB">
        <w:t xml:space="preserve">a očekávaných výsledků OP PIK </w:t>
      </w:r>
      <w:r w:rsidR="00BB09C4" w:rsidRPr="00B35BAB">
        <w:t>s</w:t>
      </w:r>
      <w:r w:rsidR="002921DB">
        <w:t> hlavními výsledky Dohody</w:t>
      </w:r>
      <w:r w:rsidR="00BB09C4" w:rsidRPr="00B35BAB">
        <w:t xml:space="preserve"> o partnerství</w:t>
      </w:r>
    </w:p>
    <w:p w:rsidR="00733F60" w:rsidRPr="00B35BAB" w:rsidRDefault="00733F60" w:rsidP="00733F60"/>
    <w:p w:rsidR="000558A9" w:rsidRPr="00B35BAB" w:rsidRDefault="000558A9">
      <w:pPr>
        <w:sectPr w:rsidR="000558A9" w:rsidRPr="00B35BAB" w:rsidSect="006B1166">
          <w:headerReference w:type="default" r:id="rId11"/>
          <w:footerReference w:type="default" r:id="rId12"/>
          <w:headerReference w:type="first" r:id="rId13"/>
          <w:pgSz w:w="11906" w:h="16838"/>
          <w:pgMar w:top="1418" w:right="1418" w:bottom="1418" w:left="1418" w:header="709" w:footer="709" w:gutter="0"/>
          <w:cols w:space="708"/>
          <w:titlePg/>
          <w:docGrid w:linePitch="360"/>
        </w:sectPr>
      </w:pPr>
    </w:p>
    <w:p w:rsidR="00610318" w:rsidRPr="00610318" w:rsidRDefault="00610318" w:rsidP="00610318">
      <w:pPr>
        <w:pStyle w:val="Nadpis2"/>
        <w:numPr>
          <w:ilvl w:val="0"/>
          <w:numId w:val="0"/>
        </w:numPr>
      </w:pPr>
      <w:bookmarkStart w:id="38" w:name="_Toc392583682"/>
      <w:r w:rsidRPr="00610318">
        <w:lastRenderedPageBreak/>
        <w:t xml:space="preserve">Příloha </w:t>
      </w:r>
      <w:r w:rsidR="00E05D31">
        <w:t>1</w:t>
      </w:r>
      <w:r w:rsidRPr="00610318">
        <w:t xml:space="preserve">: Posouzení souladu </w:t>
      </w:r>
      <w:r w:rsidR="00E05D31">
        <w:t xml:space="preserve">strategických </w:t>
      </w:r>
      <w:r w:rsidRPr="00610318">
        <w:t>cílů</w:t>
      </w:r>
      <w:r w:rsidR="00E05D31">
        <w:t xml:space="preserve"> a očekávaných výsledků OP PIK</w:t>
      </w:r>
      <w:r w:rsidRPr="00610318">
        <w:t xml:space="preserve"> s</w:t>
      </w:r>
      <w:r w:rsidR="00E05D31">
        <w:t> hlavními výsledky</w:t>
      </w:r>
      <w:r w:rsidR="002921DB">
        <w:t> Dohody</w:t>
      </w:r>
      <w:r w:rsidRPr="00610318">
        <w:t xml:space="preserve"> o partnerství</w:t>
      </w:r>
      <w:bookmarkEnd w:id="38"/>
    </w:p>
    <w:p w:rsidR="00610318" w:rsidRDefault="00610318" w:rsidP="00610318">
      <w:r>
        <w:t>Porovnávané verze textů:</w:t>
      </w:r>
      <w:r>
        <w:tab/>
      </w:r>
      <w:r w:rsidRPr="00FE4777">
        <w:t>Operační program Podnikání a inovace pro konkurenceschopnost 2014</w:t>
      </w:r>
      <w:r w:rsidR="00C63FE1">
        <w:t xml:space="preserve"> </w:t>
      </w:r>
      <w:r w:rsidRPr="00FE4777">
        <w:t>-</w:t>
      </w:r>
      <w:r w:rsidR="00C63FE1">
        <w:t xml:space="preserve"> </w:t>
      </w:r>
      <w:r w:rsidRPr="00FE4777">
        <w:t xml:space="preserve">2020 (verze </w:t>
      </w:r>
      <w:r w:rsidR="004558D4">
        <w:t>7-2</w:t>
      </w:r>
      <w:r w:rsidRPr="00FE4777">
        <w:t xml:space="preserve">, </w:t>
      </w:r>
      <w:r w:rsidR="004558D4">
        <w:t>11. června 2014</w:t>
      </w:r>
      <w:r w:rsidRPr="00FE4777">
        <w:t>)</w:t>
      </w:r>
    </w:p>
    <w:p w:rsidR="00610318" w:rsidRPr="00FE4777" w:rsidRDefault="00610318" w:rsidP="00610318">
      <w:pPr>
        <w:ind w:left="2124" w:firstLine="708"/>
      </w:pPr>
      <w:r w:rsidRPr="00FE4777">
        <w:t>Dohod</w:t>
      </w:r>
      <w:r w:rsidR="00E05D31">
        <w:t>a</w:t>
      </w:r>
      <w:r w:rsidRPr="00FE4777">
        <w:t xml:space="preserve"> o partnerství pro programové období 2014</w:t>
      </w:r>
      <w:r w:rsidR="00C63FE1">
        <w:t xml:space="preserve"> </w:t>
      </w:r>
      <w:r w:rsidRPr="00FE4777">
        <w:t>-</w:t>
      </w:r>
      <w:r w:rsidR="00C63FE1">
        <w:t xml:space="preserve"> </w:t>
      </w:r>
      <w:r w:rsidRPr="00FE4777">
        <w:t>2020 (</w:t>
      </w:r>
      <w:r w:rsidR="004558D4">
        <w:t>17. dubna 2014, formální předložení EK</w:t>
      </w:r>
      <w:r w:rsidRPr="00FE4777">
        <w:t>)</w:t>
      </w:r>
    </w:p>
    <w:p w:rsidR="00E05D31" w:rsidRDefault="00E05D31" w:rsidP="00BB09C4">
      <w:pPr>
        <w:spacing w:after="120"/>
        <w:rPr>
          <w:highlight w:val="yellow"/>
        </w:rPr>
      </w:pPr>
    </w:p>
    <w:p w:rsidR="00E05D31" w:rsidRDefault="00BC0472" w:rsidP="00E05D31">
      <w:pPr>
        <w:rPr>
          <w:sz w:val="16"/>
          <w:szCs w:val="16"/>
        </w:rPr>
      </w:pPr>
      <w:r>
        <w:rPr>
          <w:sz w:val="16"/>
          <w:szCs w:val="16"/>
        </w:rPr>
        <w:t>Vysvětlivk</w:t>
      </w:r>
      <w:r w:rsidR="00E05D31" w:rsidRPr="00E05D31">
        <w:rPr>
          <w:sz w:val="16"/>
          <w:szCs w:val="16"/>
        </w:rPr>
        <w:t xml:space="preserve">y: </w:t>
      </w:r>
      <w:r w:rsidR="00E05D31" w:rsidRPr="00E05D31">
        <w:rPr>
          <w:sz w:val="16"/>
          <w:szCs w:val="16"/>
        </w:rPr>
        <w:tab/>
      </w:r>
      <w:r w:rsidR="00E05D31" w:rsidRPr="00E05D31">
        <w:rPr>
          <w:i/>
          <w:sz w:val="16"/>
          <w:szCs w:val="16"/>
        </w:rPr>
        <w:t>kurzívou</w:t>
      </w:r>
      <w:r w:rsidR="00E05D31" w:rsidRPr="00E05D31">
        <w:rPr>
          <w:sz w:val="16"/>
          <w:szCs w:val="16"/>
        </w:rPr>
        <w:t xml:space="preserve"> jsou v tabulce vyznačena místa, kde hodnotitel</w:t>
      </w:r>
      <w:r w:rsidR="00341004">
        <w:rPr>
          <w:sz w:val="16"/>
          <w:szCs w:val="16"/>
        </w:rPr>
        <w:t xml:space="preserve"> identifikoval nejasnost/nejednoznačnost </w:t>
      </w:r>
      <w:r w:rsidR="00E05D31" w:rsidRPr="00E05D31">
        <w:rPr>
          <w:sz w:val="16"/>
          <w:szCs w:val="16"/>
        </w:rPr>
        <w:t>vazb</w:t>
      </w:r>
      <w:r w:rsidR="00341004">
        <w:rPr>
          <w:sz w:val="16"/>
          <w:szCs w:val="16"/>
        </w:rPr>
        <w:t>y</w:t>
      </w:r>
      <w:r w:rsidR="00E05D31" w:rsidRPr="00E05D31">
        <w:rPr>
          <w:sz w:val="16"/>
          <w:szCs w:val="16"/>
        </w:rPr>
        <w:t xml:space="preserve"> mezi </w:t>
      </w:r>
      <w:r w:rsidR="00341004">
        <w:rPr>
          <w:sz w:val="16"/>
          <w:szCs w:val="16"/>
        </w:rPr>
        <w:t xml:space="preserve">výsledky </w:t>
      </w:r>
      <w:r w:rsidR="00E05D31" w:rsidRPr="00E05D31">
        <w:rPr>
          <w:sz w:val="16"/>
          <w:szCs w:val="16"/>
        </w:rPr>
        <w:t xml:space="preserve">OP PIK a </w:t>
      </w:r>
      <w:proofErr w:type="spellStart"/>
      <w:r w:rsidR="00E05D31" w:rsidRPr="00E05D31">
        <w:rPr>
          <w:sz w:val="16"/>
          <w:szCs w:val="16"/>
        </w:rPr>
        <w:t>DoP</w:t>
      </w:r>
      <w:proofErr w:type="spellEnd"/>
      <w:r w:rsidR="004E4E23">
        <w:rPr>
          <w:sz w:val="16"/>
          <w:szCs w:val="16"/>
        </w:rPr>
        <w:t>;</w:t>
      </w:r>
    </w:p>
    <w:p w:rsidR="00BB09C4" w:rsidRDefault="00E05D31" w:rsidP="00842AEB">
      <w:pPr>
        <w:ind w:left="708" w:firstLine="708"/>
        <w:rPr>
          <w:sz w:val="16"/>
          <w:szCs w:val="16"/>
        </w:rPr>
      </w:pPr>
      <w:r>
        <w:rPr>
          <w:sz w:val="16"/>
          <w:szCs w:val="16"/>
        </w:rPr>
        <w:t xml:space="preserve">symbolem „???“ jsou v tabulce označena místa, kde hodnotitel neidentifikoval vazby mezi </w:t>
      </w:r>
      <w:r w:rsidR="00341004">
        <w:rPr>
          <w:sz w:val="16"/>
          <w:szCs w:val="16"/>
        </w:rPr>
        <w:t xml:space="preserve">výsledky </w:t>
      </w:r>
      <w:r>
        <w:rPr>
          <w:sz w:val="16"/>
          <w:szCs w:val="16"/>
        </w:rPr>
        <w:t xml:space="preserve">OP PIK a </w:t>
      </w:r>
      <w:proofErr w:type="spellStart"/>
      <w:r>
        <w:rPr>
          <w:sz w:val="16"/>
          <w:szCs w:val="16"/>
        </w:rPr>
        <w:t>DoP</w:t>
      </w:r>
      <w:proofErr w:type="spellEnd"/>
    </w:p>
    <w:p w:rsidR="00E05D31" w:rsidRDefault="00E05D31" w:rsidP="00E05D31">
      <w:pPr>
        <w:rPr>
          <w:sz w:val="16"/>
          <w:szCs w:val="16"/>
        </w:rPr>
      </w:pPr>
    </w:p>
    <w:tbl>
      <w:tblPr>
        <w:tblW w:w="14322" w:type="dxa"/>
        <w:tblInd w:w="65" w:type="dxa"/>
        <w:tblCellMar>
          <w:left w:w="70" w:type="dxa"/>
          <w:right w:w="70" w:type="dxa"/>
        </w:tblCellMar>
        <w:tblLook w:val="04A0"/>
      </w:tblPr>
      <w:tblGrid>
        <w:gridCol w:w="1060"/>
        <w:gridCol w:w="2206"/>
        <w:gridCol w:w="4819"/>
        <w:gridCol w:w="1080"/>
        <w:gridCol w:w="5157"/>
      </w:tblGrid>
      <w:tr w:rsidR="00E05D31" w:rsidRPr="00A64D22" w:rsidTr="007D54E8">
        <w:trPr>
          <w:trHeight w:val="375"/>
          <w:tblHeader/>
        </w:trPr>
        <w:tc>
          <w:tcPr>
            <w:tcW w:w="8085" w:type="dxa"/>
            <w:gridSpan w:val="3"/>
            <w:tcBorders>
              <w:top w:val="single" w:sz="4" w:space="0" w:color="auto"/>
              <w:left w:val="single" w:sz="4" w:space="0" w:color="auto"/>
              <w:bottom w:val="single" w:sz="4" w:space="0" w:color="auto"/>
              <w:right w:val="double" w:sz="4" w:space="0" w:color="auto"/>
            </w:tcBorders>
            <w:shd w:val="clear" w:color="000000" w:fill="A5A5A5"/>
            <w:vAlign w:val="center"/>
            <w:hideMark/>
          </w:tcPr>
          <w:p w:rsidR="00E05D31" w:rsidRPr="00A64D22" w:rsidRDefault="006763A2" w:rsidP="004558D4">
            <w:pPr>
              <w:jc w:val="center"/>
              <w:rPr>
                <w:rFonts w:ascii="Times New Roman" w:eastAsia="Times New Roman" w:hAnsi="Times New Roman" w:cs="Times New Roman"/>
                <w:b/>
                <w:bCs/>
                <w:color w:val="FFFFFF"/>
                <w:sz w:val="18"/>
                <w:szCs w:val="18"/>
                <w:lang w:eastAsia="cs-CZ"/>
              </w:rPr>
            </w:pPr>
            <w:r>
              <w:rPr>
                <w:rFonts w:ascii="Times New Roman" w:eastAsia="Times New Roman" w:hAnsi="Times New Roman" w:cs="Times New Roman"/>
                <w:b/>
                <w:bCs/>
                <w:color w:val="FFFFFF"/>
                <w:sz w:val="18"/>
                <w:szCs w:val="18"/>
                <w:lang w:eastAsia="cs-CZ"/>
              </w:rPr>
              <w:t>OP PIK</w:t>
            </w:r>
            <w:r w:rsidR="004558D4">
              <w:rPr>
                <w:rFonts w:ascii="Times New Roman" w:eastAsia="Times New Roman" w:hAnsi="Times New Roman" w:cs="Times New Roman"/>
                <w:b/>
                <w:bCs/>
                <w:color w:val="FFFFFF"/>
                <w:sz w:val="18"/>
                <w:szCs w:val="18"/>
                <w:lang w:eastAsia="cs-CZ"/>
              </w:rPr>
              <w:t xml:space="preserve"> (v</w:t>
            </w:r>
            <w:r w:rsidR="00E05D31" w:rsidRPr="00A64D22">
              <w:rPr>
                <w:rFonts w:ascii="Times New Roman" w:eastAsia="Times New Roman" w:hAnsi="Times New Roman" w:cs="Times New Roman"/>
                <w:b/>
                <w:bCs/>
                <w:color w:val="FFFFFF"/>
                <w:sz w:val="18"/>
                <w:szCs w:val="18"/>
                <w:lang w:eastAsia="cs-CZ"/>
              </w:rPr>
              <w:t>erze</w:t>
            </w:r>
            <w:r w:rsidR="004558D4">
              <w:rPr>
                <w:rFonts w:ascii="Times New Roman" w:eastAsia="Times New Roman" w:hAnsi="Times New Roman" w:cs="Times New Roman"/>
                <w:b/>
                <w:bCs/>
                <w:color w:val="FFFFFF"/>
                <w:sz w:val="18"/>
                <w:szCs w:val="18"/>
                <w:lang w:eastAsia="cs-CZ"/>
              </w:rPr>
              <w:t xml:space="preserve"> 7-2, 11. 6. 2014</w:t>
            </w:r>
            <w:r w:rsidR="00E05D31" w:rsidRPr="00A64D22">
              <w:rPr>
                <w:rFonts w:ascii="Times New Roman" w:eastAsia="Times New Roman" w:hAnsi="Times New Roman" w:cs="Times New Roman"/>
                <w:b/>
                <w:bCs/>
                <w:color w:val="FFFFFF"/>
                <w:sz w:val="18"/>
                <w:szCs w:val="18"/>
                <w:lang w:eastAsia="cs-CZ"/>
              </w:rPr>
              <w:t>)</w:t>
            </w:r>
          </w:p>
        </w:tc>
        <w:tc>
          <w:tcPr>
            <w:tcW w:w="6237" w:type="dxa"/>
            <w:gridSpan w:val="2"/>
            <w:tcBorders>
              <w:top w:val="single" w:sz="4" w:space="0" w:color="auto"/>
              <w:left w:val="double" w:sz="4" w:space="0" w:color="auto"/>
              <w:bottom w:val="single" w:sz="4" w:space="0" w:color="auto"/>
              <w:right w:val="single" w:sz="4" w:space="0" w:color="auto"/>
            </w:tcBorders>
            <w:shd w:val="clear" w:color="000000" w:fill="A5A5A5"/>
            <w:vAlign w:val="center"/>
            <w:hideMark/>
          </w:tcPr>
          <w:p w:rsidR="00E05D31" w:rsidRPr="00A64D22" w:rsidRDefault="00E05D31" w:rsidP="004558D4">
            <w:pPr>
              <w:jc w:val="center"/>
              <w:rPr>
                <w:rFonts w:ascii="Times New Roman" w:eastAsia="Times New Roman" w:hAnsi="Times New Roman" w:cs="Times New Roman"/>
                <w:b/>
                <w:bCs/>
                <w:color w:val="FFFFFF"/>
                <w:sz w:val="18"/>
                <w:szCs w:val="18"/>
                <w:lang w:eastAsia="cs-CZ"/>
              </w:rPr>
            </w:pPr>
            <w:r w:rsidRPr="00A64D22">
              <w:rPr>
                <w:rFonts w:ascii="Times New Roman" w:eastAsia="Times New Roman" w:hAnsi="Times New Roman" w:cs="Times New Roman"/>
                <w:b/>
                <w:bCs/>
                <w:color w:val="FFFFFF"/>
                <w:sz w:val="18"/>
                <w:szCs w:val="18"/>
                <w:lang w:eastAsia="cs-CZ"/>
              </w:rPr>
              <w:t>Dohoda o partnerství (</w:t>
            </w:r>
            <w:r w:rsidR="004558D4">
              <w:rPr>
                <w:rFonts w:ascii="Times New Roman" w:eastAsia="Times New Roman" w:hAnsi="Times New Roman" w:cs="Times New Roman"/>
                <w:b/>
                <w:bCs/>
                <w:color w:val="FFFFFF"/>
                <w:sz w:val="18"/>
                <w:szCs w:val="18"/>
                <w:lang w:eastAsia="cs-CZ"/>
              </w:rPr>
              <w:t xml:space="preserve">17. dubna </w:t>
            </w:r>
            <w:r w:rsidR="006763A2">
              <w:rPr>
                <w:rFonts w:ascii="Times New Roman" w:eastAsia="Times New Roman" w:hAnsi="Times New Roman" w:cs="Times New Roman"/>
                <w:b/>
                <w:bCs/>
                <w:color w:val="FFFFFF"/>
                <w:sz w:val="18"/>
                <w:szCs w:val="18"/>
                <w:lang w:eastAsia="cs-CZ"/>
              </w:rPr>
              <w:t>2014</w:t>
            </w:r>
            <w:r w:rsidRPr="00A64D22">
              <w:rPr>
                <w:rFonts w:ascii="Times New Roman" w:eastAsia="Times New Roman" w:hAnsi="Times New Roman" w:cs="Times New Roman"/>
                <w:b/>
                <w:bCs/>
                <w:color w:val="FFFFFF"/>
                <w:sz w:val="18"/>
                <w:szCs w:val="18"/>
                <w:lang w:eastAsia="cs-CZ"/>
              </w:rPr>
              <w:t>)</w:t>
            </w:r>
          </w:p>
        </w:tc>
      </w:tr>
      <w:tr w:rsidR="00E05D31" w:rsidRPr="00A64D22" w:rsidTr="002921DB">
        <w:trPr>
          <w:trHeight w:val="510"/>
          <w:tblHeader/>
        </w:trPr>
        <w:tc>
          <w:tcPr>
            <w:tcW w:w="1060" w:type="dxa"/>
            <w:tcBorders>
              <w:top w:val="nil"/>
              <w:left w:val="single" w:sz="4" w:space="0" w:color="auto"/>
              <w:bottom w:val="single" w:sz="4" w:space="0" w:color="auto"/>
              <w:right w:val="single" w:sz="4" w:space="0" w:color="auto"/>
            </w:tcBorders>
            <w:shd w:val="clear" w:color="000000" w:fill="D8D8D8"/>
            <w:vAlign w:val="center"/>
            <w:hideMark/>
          </w:tcPr>
          <w:p w:rsidR="00E05D31" w:rsidRPr="00A64D22" w:rsidRDefault="00E05D31" w:rsidP="00E05D31">
            <w:pPr>
              <w:jc w:val="center"/>
              <w:rPr>
                <w:rFonts w:ascii="Times New Roman" w:eastAsia="Times New Roman" w:hAnsi="Times New Roman" w:cs="Times New Roman"/>
                <w:b/>
                <w:bCs/>
                <w:color w:val="000000"/>
                <w:sz w:val="18"/>
                <w:szCs w:val="18"/>
                <w:lang w:eastAsia="cs-CZ"/>
              </w:rPr>
            </w:pPr>
            <w:r w:rsidRPr="00A64D22">
              <w:rPr>
                <w:rFonts w:ascii="Times New Roman" w:eastAsia="Times New Roman" w:hAnsi="Times New Roman" w:cs="Times New Roman"/>
                <w:b/>
                <w:bCs/>
                <w:color w:val="000000"/>
                <w:sz w:val="18"/>
                <w:szCs w:val="18"/>
                <w:lang w:eastAsia="cs-CZ"/>
              </w:rPr>
              <w:t>Tematický cíl</w:t>
            </w:r>
          </w:p>
        </w:tc>
        <w:tc>
          <w:tcPr>
            <w:tcW w:w="2206" w:type="dxa"/>
            <w:tcBorders>
              <w:top w:val="nil"/>
              <w:left w:val="nil"/>
              <w:bottom w:val="single" w:sz="4" w:space="0" w:color="auto"/>
              <w:right w:val="single" w:sz="4" w:space="0" w:color="auto"/>
            </w:tcBorders>
            <w:shd w:val="clear" w:color="000000" w:fill="D8D8D8"/>
            <w:vAlign w:val="center"/>
            <w:hideMark/>
          </w:tcPr>
          <w:p w:rsidR="00E05D31" w:rsidRPr="00A64D22" w:rsidRDefault="00E05D31" w:rsidP="00E05D31">
            <w:pPr>
              <w:jc w:val="center"/>
              <w:rPr>
                <w:rFonts w:ascii="Times New Roman" w:eastAsia="Times New Roman" w:hAnsi="Times New Roman" w:cs="Times New Roman"/>
                <w:b/>
                <w:bCs/>
                <w:color w:val="000000"/>
                <w:sz w:val="18"/>
                <w:szCs w:val="18"/>
                <w:lang w:eastAsia="cs-CZ"/>
              </w:rPr>
            </w:pPr>
            <w:r w:rsidRPr="00A64D22">
              <w:rPr>
                <w:rFonts w:ascii="Times New Roman" w:eastAsia="Times New Roman" w:hAnsi="Times New Roman" w:cs="Times New Roman"/>
                <w:b/>
                <w:bCs/>
                <w:color w:val="000000"/>
                <w:sz w:val="18"/>
                <w:szCs w:val="18"/>
                <w:lang w:eastAsia="cs-CZ"/>
              </w:rPr>
              <w:t>Specifický cíl</w:t>
            </w:r>
          </w:p>
        </w:tc>
        <w:tc>
          <w:tcPr>
            <w:tcW w:w="4819" w:type="dxa"/>
            <w:tcBorders>
              <w:top w:val="nil"/>
              <w:left w:val="nil"/>
              <w:bottom w:val="single" w:sz="4" w:space="0" w:color="auto"/>
              <w:right w:val="double" w:sz="4" w:space="0" w:color="auto"/>
            </w:tcBorders>
            <w:shd w:val="clear" w:color="000000" w:fill="D8D8D8"/>
            <w:vAlign w:val="center"/>
            <w:hideMark/>
          </w:tcPr>
          <w:p w:rsidR="00E05D31" w:rsidRPr="00A64D22" w:rsidRDefault="00E05D31" w:rsidP="00E05D31">
            <w:pPr>
              <w:jc w:val="center"/>
              <w:rPr>
                <w:rFonts w:ascii="Times New Roman" w:eastAsia="Times New Roman" w:hAnsi="Times New Roman" w:cs="Times New Roman"/>
                <w:b/>
                <w:bCs/>
                <w:color w:val="000000"/>
                <w:sz w:val="18"/>
                <w:szCs w:val="18"/>
                <w:lang w:eastAsia="cs-CZ"/>
              </w:rPr>
            </w:pPr>
            <w:r w:rsidRPr="00A64D22">
              <w:rPr>
                <w:rFonts w:ascii="Times New Roman" w:eastAsia="Times New Roman" w:hAnsi="Times New Roman" w:cs="Times New Roman"/>
                <w:b/>
                <w:bCs/>
                <w:color w:val="000000"/>
                <w:sz w:val="18"/>
                <w:szCs w:val="18"/>
                <w:lang w:eastAsia="cs-CZ"/>
              </w:rPr>
              <w:t>Výsledky, jichž chce specifický cíl dosáhnout</w:t>
            </w:r>
          </w:p>
        </w:tc>
        <w:tc>
          <w:tcPr>
            <w:tcW w:w="1080" w:type="dxa"/>
            <w:tcBorders>
              <w:top w:val="nil"/>
              <w:left w:val="double" w:sz="4" w:space="0" w:color="auto"/>
              <w:bottom w:val="single" w:sz="4" w:space="0" w:color="auto"/>
              <w:right w:val="single" w:sz="4" w:space="0" w:color="auto"/>
            </w:tcBorders>
            <w:shd w:val="clear" w:color="000000" w:fill="D8D8D8"/>
            <w:vAlign w:val="center"/>
            <w:hideMark/>
          </w:tcPr>
          <w:p w:rsidR="00E05D31" w:rsidRPr="00A64D22" w:rsidRDefault="00E05D31" w:rsidP="00E05D31">
            <w:pPr>
              <w:jc w:val="center"/>
              <w:rPr>
                <w:rFonts w:ascii="Times New Roman" w:eastAsia="Times New Roman" w:hAnsi="Times New Roman" w:cs="Times New Roman"/>
                <w:b/>
                <w:bCs/>
                <w:color w:val="000000"/>
                <w:sz w:val="18"/>
                <w:szCs w:val="18"/>
                <w:lang w:eastAsia="cs-CZ"/>
              </w:rPr>
            </w:pPr>
            <w:r w:rsidRPr="00A64D22">
              <w:rPr>
                <w:rFonts w:ascii="Times New Roman" w:eastAsia="Times New Roman" w:hAnsi="Times New Roman" w:cs="Times New Roman"/>
                <w:b/>
                <w:bCs/>
                <w:color w:val="000000"/>
                <w:sz w:val="18"/>
                <w:szCs w:val="18"/>
                <w:lang w:eastAsia="cs-CZ"/>
              </w:rPr>
              <w:t>Tematický cíl</w:t>
            </w:r>
          </w:p>
        </w:tc>
        <w:tc>
          <w:tcPr>
            <w:tcW w:w="5157" w:type="dxa"/>
            <w:tcBorders>
              <w:top w:val="nil"/>
              <w:left w:val="nil"/>
              <w:bottom w:val="single" w:sz="4" w:space="0" w:color="auto"/>
              <w:right w:val="single" w:sz="4" w:space="0" w:color="auto"/>
            </w:tcBorders>
            <w:shd w:val="clear" w:color="000000" w:fill="D8D8D8"/>
            <w:vAlign w:val="center"/>
            <w:hideMark/>
          </w:tcPr>
          <w:p w:rsidR="00E05D31" w:rsidRPr="00A64D22" w:rsidRDefault="00E05D31" w:rsidP="00E05D31">
            <w:pPr>
              <w:jc w:val="center"/>
              <w:rPr>
                <w:rFonts w:ascii="Times New Roman" w:eastAsia="Times New Roman" w:hAnsi="Times New Roman" w:cs="Times New Roman"/>
                <w:b/>
                <w:bCs/>
                <w:color w:val="000000"/>
                <w:sz w:val="18"/>
                <w:szCs w:val="18"/>
                <w:lang w:eastAsia="cs-CZ"/>
              </w:rPr>
            </w:pPr>
            <w:r w:rsidRPr="00A64D22">
              <w:rPr>
                <w:rFonts w:ascii="Times New Roman" w:eastAsia="Times New Roman" w:hAnsi="Times New Roman" w:cs="Times New Roman"/>
                <w:b/>
                <w:bCs/>
                <w:color w:val="000000"/>
                <w:sz w:val="18"/>
                <w:szCs w:val="18"/>
                <w:lang w:eastAsia="cs-CZ"/>
              </w:rPr>
              <w:t>Hlavní výsledky relevantní pro OP PIK (EFRR)</w:t>
            </w:r>
          </w:p>
        </w:tc>
      </w:tr>
      <w:tr w:rsidR="00E05D31" w:rsidRPr="00A64D22" w:rsidTr="002921DB">
        <w:trPr>
          <w:trHeight w:val="1020"/>
        </w:trPr>
        <w:tc>
          <w:tcPr>
            <w:tcW w:w="1060" w:type="dxa"/>
            <w:vMerge w:val="restart"/>
            <w:tcBorders>
              <w:top w:val="nil"/>
              <w:left w:val="sing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b/>
                <w:bCs/>
                <w:color w:val="000000"/>
                <w:sz w:val="18"/>
                <w:szCs w:val="18"/>
                <w:lang w:eastAsia="cs-CZ"/>
              </w:rPr>
            </w:pPr>
            <w:r w:rsidRPr="00A64D22">
              <w:rPr>
                <w:rFonts w:ascii="Times New Roman" w:eastAsia="Times New Roman" w:hAnsi="Times New Roman" w:cs="Times New Roman"/>
                <w:b/>
                <w:bCs/>
                <w:color w:val="000000"/>
                <w:sz w:val="18"/>
                <w:szCs w:val="18"/>
                <w:lang w:eastAsia="cs-CZ"/>
              </w:rPr>
              <w:t>TC 1</w:t>
            </w:r>
          </w:p>
        </w:tc>
        <w:tc>
          <w:tcPr>
            <w:tcW w:w="2206" w:type="dxa"/>
            <w:vMerge w:val="restart"/>
            <w:tcBorders>
              <w:top w:val="nil"/>
              <w:left w:val="single" w:sz="4" w:space="0" w:color="auto"/>
              <w:bottom w:val="single" w:sz="4" w:space="0" w:color="auto"/>
              <w:right w:val="sing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r w:rsidRPr="00A64D22">
              <w:rPr>
                <w:rFonts w:ascii="Times New Roman" w:eastAsia="Times New Roman" w:hAnsi="Times New Roman" w:cs="Times New Roman"/>
                <w:b/>
                <w:bCs/>
                <w:color w:val="000000"/>
                <w:sz w:val="18"/>
                <w:szCs w:val="18"/>
                <w:lang w:eastAsia="cs-CZ"/>
              </w:rPr>
              <w:t>1.1 Zvýšit inovační výkonnost podniků</w:t>
            </w: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Posílení sektoru domácích firem schopných posunovat technologické hranice ve svém oboru. S růstem počtu firem místního původu v pozici technologických lídrů a aktivním přístupem k inovacím se tak sníží vysoká závislost hospodářského vývoje ČR na aktivitách zahraničních firem</w:t>
            </w:r>
            <w:r w:rsidR="00306A6B">
              <w:rPr>
                <w:rFonts w:ascii="Times New Roman" w:eastAsia="Times New Roman" w:hAnsi="Times New Roman" w:cs="Times New Roman"/>
                <w:color w:val="000000"/>
                <w:sz w:val="18"/>
                <w:szCs w:val="18"/>
                <w:lang w:eastAsia="cs-CZ"/>
              </w:rPr>
              <w:t>.</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TC 1</w:t>
            </w:r>
          </w:p>
        </w:tc>
        <w:tc>
          <w:tcPr>
            <w:tcW w:w="5157" w:type="dxa"/>
            <w:tcBorders>
              <w:top w:val="nil"/>
              <w:left w:val="nil"/>
              <w:bottom w:val="single" w:sz="4" w:space="0" w:color="auto"/>
              <w:right w:val="sing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r w:rsidRPr="00A64D22">
              <w:rPr>
                <w:rFonts w:ascii="Times New Roman" w:eastAsia="Times New Roman" w:hAnsi="Times New Roman" w:cs="Times New Roman"/>
                <w:b/>
                <w:bCs/>
                <w:color w:val="000000"/>
                <w:sz w:val="18"/>
                <w:szCs w:val="18"/>
                <w:lang w:eastAsia="cs-CZ"/>
              </w:rPr>
              <w:t>Zvýšení počtu firem schopných mezinárodní technologické konkurence v oboru svého podnikání</w:t>
            </w:r>
          </w:p>
        </w:tc>
      </w:tr>
      <w:tr w:rsidR="00E05D31" w:rsidRPr="00A64D22" w:rsidTr="002921DB">
        <w:trPr>
          <w:trHeight w:val="1530"/>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Zvýšení využívání unikátních </w:t>
            </w:r>
            <w:proofErr w:type="spellStart"/>
            <w:r w:rsidRPr="00A64D22">
              <w:rPr>
                <w:rFonts w:ascii="Times New Roman" w:eastAsia="Times New Roman" w:hAnsi="Times New Roman" w:cs="Times New Roman"/>
                <w:color w:val="000000"/>
                <w:sz w:val="18"/>
                <w:szCs w:val="18"/>
                <w:lang w:eastAsia="cs-CZ"/>
              </w:rPr>
              <w:t>know</w:t>
            </w:r>
            <w:proofErr w:type="spellEnd"/>
            <w:r w:rsidRPr="00A64D22">
              <w:rPr>
                <w:rFonts w:ascii="Times New Roman" w:eastAsia="Times New Roman" w:hAnsi="Times New Roman" w:cs="Times New Roman"/>
                <w:color w:val="000000"/>
                <w:sz w:val="18"/>
                <w:szCs w:val="18"/>
                <w:lang w:eastAsia="cs-CZ"/>
              </w:rPr>
              <w:t>-</w:t>
            </w:r>
            <w:proofErr w:type="spellStart"/>
            <w:r w:rsidRPr="00A64D22">
              <w:rPr>
                <w:rFonts w:ascii="Times New Roman" w:eastAsia="Times New Roman" w:hAnsi="Times New Roman" w:cs="Times New Roman"/>
                <w:color w:val="000000"/>
                <w:sz w:val="18"/>
                <w:szCs w:val="18"/>
                <w:lang w:eastAsia="cs-CZ"/>
              </w:rPr>
              <w:t>how</w:t>
            </w:r>
            <w:proofErr w:type="spellEnd"/>
            <w:r w:rsidRPr="00A64D22">
              <w:rPr>
                <w:rFonts w:ascii="Times New Roman" w:eastAsia="Times New Roman" w:hAnsi="Times New Roman" w:cs="Times New Roman"/>
                <w:color w:val="000000"/>
                <w:sz w:val="18"/>
                <w:szCs w:val="18"/>
                <w:lang w:eastAsia="cs-CZ"/>
              </w:rPr>
              <w:t xml:space="preserve"> z větší či menší části vzniklých ve spolupráci s akademickým a výzkumným sektorem, rozšíření </w:t>
            </w:r>
            <w:proofErr w:type="spellStart"/>
            <w:r w:rsidRPr="00A64D22">
              <w:rPr>
                <w:rFonts w:ascii="Times New Roman" w:eastAsia="Times New Roman" w:hAnsi="Times New Roman" w:cs="Times New Roman"/>
                <w:color w:val="000000"/>
                <w:sz w:val="18"/>
                <w:szCs w:val="18"/>
                <w:lang w:eastAsia="cs-CZ"/>
              </w:rPr>
              <w:t>know</w:t>
            </w:r>
            <w:proofErr w:type="spellEnd"/>
            <w:r w:rsidRPr="00A64D22">
              <w:rPr>
                <w:rFonts w:ascii="Times New Roman" w:eastAsia="Times New Roman" w:hAnsi="Times New Roman" w:cs="Times New Roman"/>
                <w:color w:val="000000"/>
                <w:sz w:val="18"/>
                <w:szCs w:val="18"/>
                <w:lang w:eastAsia="cs-CZ"/>
              </w:rPr>
              <w:t>-</w:t>
            </w:r>
            <w:proofErr w:type="spellStart"/>
            <w:r w:rsidRPr="00A64D22">
              <w:rPr>
                <w:rFonts w:ascii="Times New Roman" w:eastAsia="Times New Roman" w:hAnsi="Times New Roman" w:cs="Times New Roman"/>
                <w:color w:val="000000"/>
                <w:sz w:val="18"/>
                <w:szCs w:val="18"/>
                <w:lang w:eastAsia="cs-CZ"/>
              </w:rPr>
              <w:t>how</w:t>
            </w:r>
            <w:proofErr w:type="spellEnd"/>
            <w:r w:rsidRPr="00A64D22">
              <w:rPr>
                <w:rFonts w:ascii="Times New Roman" w:eastAsia="Times New Roman" w:hAnsi="Times New Roman" w:cs="Times New Roman"/>
                <w:color w:val="000000"/>
                <w:sz w:val="18"/>
                <w:szCs w:val="18"/>
                <w:lang w:eastAsia="cs-CZ"/>
              </w:rPr>
              <w:t xml:space="preserve"> firem pro vlastní inovace, zvýšení efektivnosti interních procesů v oblasti řízení inovací a účinnější ochrany duševního vlastnictví, zvláště na zahraničních trzích, což povede k vyšší internacionalizaci firem a možnosti účastí českých firem v evropských programech (např. Horizont 2020)</w:t>
            </w:r>
            <w:r w:rsidR="00306A6B">
              <w:rPr>
                <w:rFonts w:ascii="Times New Roman" w:eastAsia="Times New Roman" w:hAnsi="Times New Roman" w:cs="Times New Roman"/>
                <w:color w:val="000000"/>
                <w:sz w:val="18"/>
                <w:szCs w:val="18"/>
                <w:lang w:eastAsia="cs-CZ"/>
              </w:rPr>
              <w:t>.</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633273" w:rsidRDefault="00E05D31" w:rsidP="00E05D31">
            <w:pPr>
              <w:jc w:val="center"/>
              <w:rPr>
                <w:rFonts w:ascii="Times New Roman" w:eastAsia="Times New Roman" w:hAnsi="Times New Roman" w:cs="Times New Roman"/>
                <w:iCs/>
                <w:color w:val="000000"/>
                <w:sz w:val="18"/>
                <w:szCs w:val="18"/>
                <w:lang w:eastAsia="cs-CZ"/>
              </w:rPr>
            </w:pPr>
            <w:r w:rsidRPr="00633273">
              <w:rPr>
                <w:rFonts w:ascii="Times New Roman" w:eastAsia="Times New Roman" w:hAnsi="Times New Roman" w:cs="Times New Roman"/>
                <w:iCs/>
                <w:color w:val="000000"/>
                <w:sz w:val="18"/>
                <w:szCs w:val="18"/>
                <w:lang w:eastAsia="cs-CZ"/>
              </w:rPr>
              <w:t>TC 1</w:t>
            </w:r>
          </w:p>
        </w:tc>
        <w:tc>
          <w:tcPr>
            <w:tcW w:w="5157" w:type="dxa"/>
            <w:tcBorders>
              <w:top w:val="nil"/>
              <w:left w:val="nil"/>
              <w:bottom w:val="single" w:sz="4" w:space="0" w:color="auto"/>
              <w:right w:val="single" w:sz="4" w:space="0" w:color="auto"/>
            </w:tcBorders>
            <w:shd w:val="clear" w:color="auto" w:fill="auto"/>
            <w:hideMark/>
          </w:tcPr>
          <w:p w:rsidR="00BC0472" w:rsidRPr="00A64D22" w:rsidRDefault="00E05D31" w:rsidP="00E05D31">
            <w:pPr>
              <w:jc w:val="left"/>
              <w:rPr>
                <w:rFonts w:ascii="Times New Roman" w:eastAsia="Times New Roman" w:hAnsi="Times New Roman" w:cs="Times New Roman"/>
                <w:color w:val="000000"/>
                <w:sz w:val="18"/>
                <w:szCs w:val="18"/>
                <w:lang w:eastAsia="cs-CZ"/>
              </w:rPr>
            </w:pPr>
            <w:r w:rsidRPr="00306A6B">
              <w:rPr>
                <w:rFonts w:ascii="Times New Roman" w:eastAsia="Times New Roman" w:hAnsi="Times New Roman" w:cs="Times New Roman"/>
                <w:color w:val="000000"/>
                <w:sz w:val="18"/>
                <w:szCs w:val="18"/>
                <w:lang w:eastAsia="cs-CZ"/>
              </w:rPr>
              <w:t xml:space="preserve">Zvýšení nabídky kvalitních výsledků </w:t>
            </w:r>
            <w:proofErr w:type="spellStart"/>
            <w:r w:rsidRPr="00306A6B">
              <w:rPr>
                <w:rFonts w:ascii="Times New Roman" w:eastAsia="Times New Roman" w:hAnsi="Times New Roman" w:cs="Times New Roman"/>
                <w:color w:val="000000"/>
                <w:sz w:val="18"/>
                <w:szCs w:val="18"/>
                <w:lang w:eastAsia="cs-CZ"/>
              </w:rPr>
              <w:t>VaV</w:t>
            </w:r>
            <w:proofErr w:type="spellEnd"/>
            <w:r w:rsidRPr="00306A6B">
              <w:rPr>
                <w:rFonts w:ascii="Times New Roman" w:eastAsia="Times New Roman" w:hAnsi="Times New Roman" w:cs="Times New Roman"/>
                <w:color w:val="000000"/>
                <w:sz w:val="18"/>
                <w:szCs w:val="18"/>
                <w:lang w:eastAsia="cs-CZ"/>
              </w:rPr>
              <w:t xml:space="preserve"> s aplikačním potenciálem a počtu výsledků dotažených do stadia aplikace a inovace.</w:t>
            </w:r>
            <w:r w:rsidRPr="00A64D22">
              <w:rPr>
                <w:rFonts w:ascii="Times New Roman" w:eastAsia="Times New Roman" w:hAnsi="Times New Roman" w:cs="Times New Roman"/>
                <w:i/>
                <w:iCs/>
                <w:color w:val="000000"/>
                <w:sz w:val="18"/>
                <w:szCs w:val="18"/>
                <w:lang w:eastAsia="cs-CZ"/>
              </w:rPr>
              <w:br/>
            </w:r>
          </w:p>
          <w:p w:rsidR="00E05D31" w:rsidRPr="00A64D22" w:rsidRDefault="00E05D31" w:rsidP="00E05D31">
            <w:pPr>
              <w:jc w:val="left"/>
              <w:rPr>
                <w:rFonts w:ascii="Times New Roman" w:eastAsia="Times New Roman" w:hAnsi="Times New Roman" w:cs="Times New Roman"/>
                <w:i/>
                <w:iCs/>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Zvýšení poptávky po ochraně IPR a zlepšení </w:t>
            </w:r>
            <w:r w:rsidRPr="00306A6B">
              <w:rPr>
                <w:rFonts w:ascii="Times New Roman" w:eastAsia="Times New Roman" w:hAnsi="Times New Roman" w:cs="Times New Roman"/>
                <w:color w:val="000000"/>
                <w:sz w:val="18"/>
                <w:szCs w:val="18"/>
                <w:lang w:eastAsia="cs-CZ"/>
              </w:rPr>
              <w:t>kompetencí</w:t>
            </w:r>
            <w:r w:rsidRPr="00A64D22">
              <w:rPr>
                <w:rFonts w:ascii="Times New Roman" w:eastAsia="Times New Roman" w:hAnsi="Times New Roman" w:cs="Times New Roman"/>
                <w:color w:val="000000"/>
                <w:sz w:val="18"/>
                <w:szCs w:val="18"/>
                <w:lang w:eastAsia="cs-CZ"/>
              </w:rPr>
              <w:t xml:space="preserve"> MSP v této oblasti.</w:t>
            </w:r>
          </w:p>
        </w:tc>
      </w:tr>
      <w:tr w:rsidR="00E05D31" w:rsidRPr="00A64D22" w:rsidTr="002921DB">
        <w:trPr>
          <w:trHeight w:val="510"/>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Tvorba a zavádění nových konkurenceschopných produktů na globální trh, zejména inovací vyšších řádů, posílení schopností firem v oblasti </w:t>
            </w:r>
            <w:proofErr w:type="spellStart"/>
            <w:r w:rsidRPr="00A64D22">
              <w:rPr>
                <w:rFonts w:ascii="Times New Roman" w:eastAsia="Times New Roman" w:hAnsi="Times New Roman" w:cs="Times New Roman"/>
                <w:color w:val="000000"/>
                <w:sz w:val="18"/>
                <w:szCs w:val="18"/>
                <w:lang w:eastAsia="cs-CZ"/>
              </w:rPr>
              <w:t>high</w:t>
            </w:r>
            <w:proofErr w:type="spellEnd"/>
            <w:r w:rsidRPr="00A64D22">
              <w:rPr>
                <w:rFonts w:ascii="Times New Roman" w:eastAsia="Times New Roman" w:hAnsi="Times New Roman" w:cs="Times New Roman"/>
                <w:color w:val="000000"/>
                <w:sz w:val="18"/>
                <w:szCs w:val="18"/>
                <w:lang w:eastAsia="cs-CZ"/>
              </w:rPr>
              <w:t>-</w:t>
            </w:r>
            <w:proofErr w:type="spellStart"/>
            <w:r w:rsidRPr="00A64D22">
              <w:rPr>
                <w:rFonts w:ascii="Times New Roman" w:eastAsia="Times New Roman" w:hAnsi="Times New Roman" w:cs="Times New Roman"/>
                <w:color w:val="000000"/>
                <w:sz w:val="18"/>
                <w:szCs w:val="18"/>
                <w:lang w:eastAsia="cs-CZ"/>
              </w:rPr>
              <w:t>tech</w:t>
            </w:r>
            <w:proofErr w:type="spellEnd"/>
            <w:r w:rsidRPr="00A64D22">
              <w:rPr>
                <w:rFonts w:ascii="Times New Roman" w:eastAsia="Times New Roman" w:hAnsi="Times New Roman" w:cs="Times New Roman"/>
                <w:color w:val="000000"/>
                <w:sz w:val="18"/>
                <w:szCs w:val="18"/>
                <w:lang w:eastAsia="cs-CZ"/>
              </w:rPr>
              <w:t xml:space="preserve"> výroby</w:t>
            </w:r>
            <w:r w:rsidR="00306A6B">
              <w:rPr>
                <w:rFonts w:ascii="Times New Roman" w:eastAsia="Times New Roman" w:hAnsi="Times New Roman" w:cs="Times New Roman"/>
                <w:color w:val="000000"/>
                <w:sz w:val="18"/>
                <w:szCs w:val="18"/>
                <w:lang w:eastAsia="cs-CZ"/>
              </w:rPr>
              <w:t>.</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w:t>
            </w: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6763A2" w:rsidP="00FA7C74">
            <w:pPr>
              <w:jc w:val="left"/>
              <w:rPr>
                <w:rFonts w:ascii="Times New Roman" w:eastAsia="Times New Roman" w:hAnsi="Times New Roman" w:cs="Times New Roman"/>
                <w:color w:val="000000"/>
                <w:sz w:val="18"/>
                <w:szCs w:val="18"/>
                <w:lang w:eastAsia="cs-CZ"/>
              </w:rPr>
            </w:pPr>
            <w:r>
              <w:rPr>
                <w:rFonts w:ascii="Times New Roman" w:eastAsia="Times New Roman" w:hAnsi="Times New Roman" w:cs="Times New Roman"/>
                <w:color w:val="000000"/>
                <w:sz w:val="18"/>
                <w:szCs w:val="18"/>
                <w:lang w:eastAsia="cs-CZ"/>
              </w:rPr>
              <w:t>Zvýšení inovační</w:t>
            </w:r>
            <w:r w:rsidR="00FA7C74">
              <w:rPr>
                <w:rFonts w:ascii="Times New Roman" w:eastAsia="Times New Roman" w:hAnsi="Times New Roman" w:cs="Times New Roman"/>
                <w:color w:val="000000"/>
                <w:sz w:val="18"/>
                <w:szCs w:val="18"/>
                <w:lang w:eastAsia="cs-CZ"/>
              </w:rPr>
              <w:t>ch</w:t>
            </w:r>
            <w:r>
              <w:rPr>
                <w:rFonts w:ascii="Times New Roman" w:eastAsia="Times New Roman" w:hAnsi="Times New Roman" w:cs="Times New Roman"/>
                <w:color w:val="000000"/>
                <w:sz w:val="18"/>
                <w:szCs w:val="18"/>
                <w:lang w:eastAsia="cs-CZ"/>
              </w:rPr>
              <w:t xml:space="preserve"> aktivit firem včetně inovací v </w:t>
            </w:r>
            <w:proofErr w:type="spellStart"/>
            <w:r>
              <w:rPr>
                <w:rFonts w:ascii="Times New Roman" w:eastAsia="Times New Roman" w:hAnsi="Times New Roman" w:cs="Times New Roman"/>
                <w:color w:val="000000"/>
                <w:sz w:val="18"/>
                <w:szCs w:val="18"/>
                <w:lang w:eastAsia="cs-CZ"/>
              </w:rPr>
              <w:t>low</w:t>
            </w:r>
            <w:proofErr w:type="spellEnd"/>
            <w:r>
              <w:rPr>
                <w:rFonts w:ascii="Times New Roman" w:eastAsia="Times New Roman" w:hAnsi="Times New Roman" w:cs="Times New Roman"/>
                <w:color w:val="000000"/>
                <w:sz w:val="18"/>
                <w:szCs w:val="18"/>
                <w:lang w:eastAsia="cs-CZ"/>
              </w:rPr>
              <w:t>-</w:t>
            </w:r>
            <w:proofErr w:type="spellStart"/>
            <w:r>
              <w:rPr>
                <w:rFonts w:ascii="Times New Roman" w:eastAsia="Times New Roman" w:hAnsi="Times New Roman" w:cs="Times New Roman"/>
                <w:color w:val="000000"/>
                <w:sz w:val="18"/>
                <w:szCs w:val="18"/>
                <w:lang w:eastAsia="cs-CZ"/>
              </w:rPr>
              <w:t>tech</w:t>
            </w:r>
            <w:proofErr w:type="spellEnd"/>
            <w:r>
              <w:rPr>
                <w:rFonts w:ascii="Times New Roman" w:eastAsia="Times New Roman" w:hAnsi="Times New Roman" w:cs="Times New Roman"/>
                <w:color w:val="000000"/>
                <w:sz w:val="18"/>
                <w:szCs w:val="18"/>
                <w:lang w:eastAsia="cs-CZ"/>
              </w:rPr>
              <w:t xml:space="preserve"> </w:t>
            </w:r>
            <w:r w:rsidR="00A91D8A">
              <w:rPr>
                <w:rFonts w:ascii="Times New Roman" w:eastAsia="Times New Roman" w:hAnsi="Times New Roman" w:cs="Times New Roman"/>
                <w:color w:val="000000"/>
                <w:sz w:val="18"/>
                <w:szCs w:val="18"/>
                <w:lang w:eastAsia="cs-CZ"/>
              </w:rPr>
              <w:t>oborech, tzn. založených na aplikaci a přizpůsobení moderních technologií (vč. KET) pro využití v tradičních oborech</w:t>
            </w:r>
            <w:r w:rsidR="00306A6B">
              <w:rPr>
                <w:rFonts w:ascii="Times New Roman" w:eastAsia="Times New Roman" w:hAnsi="Times New Roman" w:cs="Times New Roman"/>
                <w:color w:val="000000"/>
                <w:sz w:val="18"/>
                <w:szCs w:val="18"/>
                <w:lang w:eastAsia="cs-CZ"/>
              </w:rPr>
              <w:t>.</w:t>
            </w:r>
          </w:p>
        </w:tc>
      </w:tr>
      <w:tr w:rsidR="00E05D31" w:rsidRPr="00A64D22" w:rsidTr="002921DB">
        <w:trPr>
          <w:trHeight w:val="510"/>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Využití konceptu inteligentní specializace vede k prohlubování </w:t>
            </w:r>
            <w:proofErr w:type="spellStart"/>
            <w:r w:rsidRPr="00A64D22">
              <w:rPr>
                <w:rFonts w:ascii="Times New Roman" w:eastAsia="Times New Roman" w:hAnsi="Times New Roman" w:cs="Times New Roman"/>
                <w:color w:val="000000"/>
                <w:sz w:val="18"/>
                <w:szCs w:val="18"/>
                <w:lang w:eastAsia="cs-CZ"/>
              </w:rPr>
              <w:t>mezisektorové</w:t>
            </w:r>
            <w:proofErr w:type="spellEnd"/>
            <w:r w:rsidRPr="00A64D22">
              <w:rPr>
                <w:rFonts w:ascii="Times New Roman" w:eastAsia="Times New Roman" w:hAnsi="Times New Roman" w:cs="Times New Roman"/>
                <w:color w:val="000000"/>
                <w:sz w:val="18"/>
                <w:szCs w:val="18"/>
                <w:lang w:eastAsia="cs-CZ"/>
              </w:rPr>
              <w:t>, meziregionální a nadnárodní spolupráce</w:t>
            </w:r>
            <w:r w:rsidR="00306A6B">
              <w:rPr>
                <w:rFonts w:ascii="Times New Roman" w:eastAsia="Times New Roman" w:hAnsi="Times New Roman" w:cs="Times New Roman"/>
                <w:color w:val="000000"/>
                <w:sz w:val="18"/>
                <w:szCs w:val="18"/>
                <w:lang w:eastAsia="cs-CZ"/>
              </w:rPr>
              <w:t>.</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w:t>
            </w: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C76403" w:rsidP="00E05D31">
            <w:pPr>
              <w:jc w:val="left"/>
              <w:rPr>
                <w:rFonts w:ascii="Times New Roman" w:eastAsia="Times New Roman" w:hAnsi="Times New Roman" w:cs="Times New Roman"/>
                <w:color w:val="000000"/>
                <w:sz w:val="18"/>
                <w:szCs w:val="18"/>
                <w:lang w:eastAsia="cs-CZ"/>
              </w:rPr>
            </w:pPr>
            <w:r>
              <w:rPr>
                <w:rFonts w:ascii="Times New Roman" w:eastAsia="Times New Roman" w:hAnsi="Times New Roman" w:cs="Times New Roman"/>
                <w:color w:val="000000"/>
                <w:sz w:val="18"/>
                <w:szCs w:val="18"/>
                <w:lang w:eastAsia="cs-CZ"/>
              </w:rPr>
              <w:t>???</w:t>
            </w:r>
          </w:p>
        </w:tc>
      </w:tr>
      <w:tr w:rsidR="00E05D31" w:rsidRPr="00A64D22" w:rsidTr="00A91D8A">
        <w:trPr>
          <w:trHeight w:val="765"/>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6763A2">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Posílení výzkumu, vývoje a </w:t>
            </w:r>
            <w:r w:rsidR="006763A2">
              <w:rPr>
                <w:rFonts w:ascii="Times New Roman" w:eastAsia="Times New Roman" w:hAnsi="Times New Roman" w:cs="Times New Roman"/>
                <w:color w:val="000000"/>
                <w:sz w:val="18"/>
                <w:szCs w:val="18"/>
                <w:lang w:eastAsia="cs-CZ"/>
              </w:rPr>
              <w:t>uvádění</w:t>
            </w:r>
            <w:r w:rsidRPr="00A64D22">
              <w:rPr>
                <w:rFonts w:ascii="Times New Roman" w:eastAsia="Times New Roman" w:hAnsi="Times New Roman" w:cs="Times New Roman"/>
                <w:color w:val="000000"/>
                <w:sz w:val="18"/>
                <w:szCs w:val="18"/>
                <w:lang w:eastAsia="cs-CZ"/>
              </w:rPr>
              <w:t xml:space="preserve"> </w:t>
            </w:r>
            <w:proofErr w:type="spellStart"/>
            <w:r w:rsidRPr="00A64D22">
              <w:rPr>
                <w:rFonts w:ascii="Times New Roman" w:eastAsia="Times New Roman" w:hAnsi="Times New Roman" w:cs="Times New Roman"/>
                <w:color w:val="000000"/>
                <w:sz w:val="18"/>
                <w:szCs w:val="18"/>
                <w:lang w:eastAsia="cs-CZ"/>
              </w:rPr>
              <w:t>ekoinovací</w:t>
            </w:r>
            <w:proofErr w:type="spellEnd"/>
            <w:r w:rsidRPr="00A64D22">
              <w:rPr>
                <w:rFonts w:ascii="Times New Roman" w:eastAsia="Times New Roman" w:hAnsi="Times New Roman" w:cs="Times New Roman"/>
                <w:color w:val="000000"/>
                <w:sz w:val="18"/>
                <w:szCs w:val="18"/>
                <w:lang w:eastAsia="cs-CZ"/>
              </w:rPr>
              <w:t xml:space="preserve"> </w:t>
            </w:r>
            <w:r w:rsidR="006763A2">
              <w:rPr>
                <w:rFonts w:ascii="Times New Roman" w:eastAsia="Times New Roman" w:hAnsi="Times New Roman" w:cs="Times New Roman"/>
                <w:color w:val="000000"/>
                <w:sz w:val="18"/>
                <w:szCs w:val="18"/>
                <w:lang w:eastAsia="cs-CZ"/>
              </w:rPr>
              <w:t>na trh</w:t>
            </w:r>
            <w:r w:rsidRPr="00A64D22">
              <w:rPr>
                <w:rFonts w:ascii="Times New Roman" w:eastAsia="Times New Roman" w:hAnsi="Times New Roman" w:cs="Times New Roman"/>
                <w:color w:val="000000"/>
                <w:sz w:val="18"/>
                <w:szCs w:val="18"/>
                <w:lang w:eastAsia="cs-CZ"/>
              </w:rPr>
              <w:t xml:space="preserve"> přispěje k optimálnímu využití zdrojů a ke snížení dopadů výroby či produktu na životní prostředí</w:t>
            </w:r>
            <w:r w:rsidR="00306A6B">
              <w:rPr>
                <w:rFonts w:ascii="Times New Roman" w:eastAsia="Times New Roman" w:hAnsi="Times New Roman" w:cs="Times New Roman"/>
                <w:color w:val="000000"/>
                <w:sz w:val="18"/>
                <w:szCs w:val="18"/>
                <w:lang w:eastAsia="cs-CZ"/>
              </w:rPr>
              <w:t>.</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91D8A" w:rsidRDefault="00E05D31" w:rsidP="00A91D8A">
            <w:pPr>
              <w:jc w:val="center"/>
              <w:rPr>
                <w:rFonts w:ascii="Times New Roman" w:eastAsia="Times New Roman" w:hAnsi="Times New Roman" w:cs="Times New Roman"/>
                <w:color w:val="000000"/>
                <w:sz w:val="18"/>
                <w:szCs w:val="18"/>
                <w:lang w:eastAsia="cs-CZ"/>
              </w:rPr>
            </w:pPr>
            <w:r w:rsidRPr="00A91D8A">
              <w:rPr>
                <w:rFonts w:ascii="Times New Roman" w:eastAsia="Times New Roman" w:hAnsi="Times New Roman" w:cs="Times New Roman"/>
                <w:color w:val="000000"/>
                <w:sz w:val="18"/>
                <w:szCs w:val="18"/>
                <w:lang w:eastAsia="cs-CZ"/>
              </w:rPr>
              <w:t xml:space="preserve">TC </w:t>
            </w:r>
            <w:r w:rsidR="00A91D8A" w:rsidRPr="00A91D8A">
              <w:rPr>
                <w:rFonts w:ascii="Times New Roman" w:eastAsia="Times New Roman" w:hAnsi="Times New Roman" w:cs="Times New Roman"/>
                <w:color w:val="000000"/>
                <w:sz w:val="18"/>
                <w:szCs w:val="18"/>
                <w:lang w:eastAsia="cs-CZ"/>
              </w:rPr>
              <w:t>1</w:t>
            </w:r>
          </w:p>
        </w:tc>
        <w:tc>
          <w:tcPr>
            <w:tcW w:w="5157" w:type="dxa"/>
            <w:tcBorders>
              <w:top w:val="nil"/>
              <w:left w:val="nil"/>
              <w:bottom w:val="single" w:sz="4" w:space="0" w:color="auto"/>
              <w:right w:val="single" w:sz="4" w:space="0" w:color="auto"/>
            </w:tcBorders>
            <w:shd w:val="clear" w:color="auto" w:fill="auto"/>
            <w:hideMark/>
          </w:tcPr>
          <w:p w:rsidR="00E05D31" w:rsidRPr="00A64D22" w:rsidRDefault="00A91D8A" w:rsidP="00E05D31">
            <w:pPr>
              <w:jc w:val="left"/>
              <w:rPr>
                <w:rFonts w:ascii="Times New Roman" w:eastAsia="Times New Roman" w:hAnsi="Times New Roman" w:cs="Times New Roman"/>
                <w:color w:val="000000"/>
                <w:sz w:val="18"/>
                <w:szCs w:val="18"/>
                <w:lang w:eastAsia="cs-CZ"/>
              </w:rPr>
            </w:pPr>
            <w:r>
              <w:rPr>
                <w:rFonts w:ascii="Times New Roman" w:eastAsia="Times New Roman" w:hAnsi="Times New Roman" w:cs="Times New Roman"/>
                <w:color w:val="000000"/>
                <w:sz w:val="18"/>
                <w:szCs w:val="18"/>
                <w:lang w:eastAsia="cs-CZ"/>
              </w:rPr>
              <w:t>Zvýšení inovační aktivity firem včetně inovací v </w:t>
            </w:r>
            <w:proofErr w:type="spellStart"/>
            <w:r>
              <w:rPr>
                <w:rFonts w:ascii="Times New Roman" w:eastAsia="Times New Roman" w:hAnsi="Times New Roman" w:cs="Times New Roman"/>
                <w:color w:val="000000"/>
                <w:sz w:val="18"/>
                <w:szCs w:val="18"/>
                <w:lang w:eastAsia="cs-CZ"/>
              </w:rPr>
              <w:t>low</w:t>
            </w:r>
            <w:proofErr w:type="spellEnd"/>
            <w:r>
              <w:rPr>
                <w:rFonts w:ascii="Times New Roman" w:eastAsia="Times New Roman" w:hAnsi="Times New Roman" w:cs="Times New Roman"/>
                <w:color w:val="000000"/>
                <w:sz w:val="18"/>
                <w:szCs w:val="18"/>
                <w:lang w:eastAsia="cs-CZ"/>
              </w:rPr>
              <w:t>-</w:t>
            </w:r>
            <w:proofErr w:type="spellStart"/>
            <w:r>
              <w:rPr>
                <w:rFonts w:ascii="Times New Roman" w:eastAsia="Times New Roman" w:hAnsi="Times New Roman" w:cs="Times New Roman"/>
                <w:color w:val="000000"/>
                <w:sz w:val="18"/>
                <w:szCs w:val="18"/>
                <w:lang w:eastAsia="cs-CZ"/>
              </w:rPr>
              <w:t>tech</w:t>
            </w:r>
            <w:proofErr w:type="spellEnd"/>
            <w:r>
              <w:rPr>
                <w:rFonts w:ascii="Times New Roman" w:eastAsia="Times New Roman" w:hAnsi="Times New Roman" w:cs="Times New Roman"/>
                <w:color w:val="000000"/>
                <w:sz w:val="18"/>
                <w:szCs w:val="18"/>
                <w:lang w:eastAsia="cs-CZ"/>
              </w:rPr>
              <w:t xml:space="preserve"> oborech, tzn. založených na aplikaci a přizpůsobení moderních technologií (vč. KET) pro využití v tradičních oborech</w:t>
            </w:r>
            <w:r w:rsidR="00306A6B">
              <w:rPr>
                <w:rFonts w:ascii="Times New Roman" w:eastAsia="Times New Roman" w:hAnsi="Times New Roman" w:cs="Times New Roman"/>
                <w:color w:val="000000"/>
                <w:sz w:val="18"/>
                <w:szCs w:val="18"/>
                <w:lang w:eastAsia="cs-CZ"/>
              </w:rPr>
              <w:t>.</w:t>
            </w:r>
          </w:p>
        </w:tc>
      </w:tr>
      <w:tr w:rsidR="00E05D31" w:rsidRPr="00A64D22" w:rsidTr="002921DB">
        <w:trPr>
          <w:trHeight w:val="765"/>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Zvýšení počtu firem disponujících moderní </w:t>
            </w:r>
            <w:proofErr w:type="spellStart"/>
            <w:r w:rsidRPr="00A64D22">
              <w:rPr>
                <w:rFonts w:ascii="Times New Roman" w:eastAsia="Times New Roman" w:hAnsi="Times New Roman" w:cs="Times New Roman"/>
                <w:color w:val="000000"/>
                <w:sz w:val="18"/>
                <w:szCs w:val="18"/>
                <w:lang w:eastAsia="cs-CZ"/>
              </w:rPr>
              <w:t>VaV</w:t>
            </w:r>
            <w:proofErr w:type="spellEnd"/>
            <w:r w:rsidRPr="00A64D22">
              <w:rPr>
                <w:rFonts w:ascii="Times New Roman" w:eastAsia="Times New Roman" w:hAnsi="Times New Roman" w:cs="Times New Roman"/>
                <w:color w:val="000000"/>
                <w:sz w:val="18"/>
                <w:szCs w:val="18"/>
                <w:lang w:eastAsia="cs-CZ"/>
              </w:rPr>
              <w:t xml:space="preserve"> infrastrukturou, jejíž využití povede k dalším investicím soukromých subjektů a realizaci navazujících projektů ve spolupráci s dalšími účastníky inovačního systému. </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633273" w:rsidRDefault="00E05D31" w:rsidP="00E05D31">
            <w:pPr>
              <w:jc w:val="center"/>
              <w:rPr>
                <w:rFonts w:ascii="Times New Roman" w:eastAsia="Times New Roman" w:hAnsi="Times New Roman" w:cs="Times New Roman"/>
                <w:iCs/>
                <w:color w:val="000000"/>
                <w:sz w:val="18"/>
                <w:szCs w:val="18"/>
                <w:lang w:eastAsia="cs-CZ"/>
              </w:rPr>
            </w:pPr>
            <w:r w:rsidRPr="00633273">
              <w:rPr>
                <w:rFonts w:ascii="Times New Roman" w:eastAsia="Times New Roman" w:hAnsi="Times New Roman" w:cs="Times New Roman"/>
                <w:iCs/>
                <w:color w:val="000000"/>
                <w:sz w:val="18"/>
                <w:szCs w:val="18"/>
                <w:lang w:eastAsia="cs-CZ"/>
              </w:rPr>
              <w:t>TC 1</w:t>
            </w:r>
          </w:p>
        </w:tc>
        <w:tc>
          <w:tcPr>
            <w:tcW w:w="5157" w:type="dxa"/>
            <w:tcBorders>
              <w:top w:val="nil"/>
              <w:left w:val="nil"/>
              <w:bottom w:val="single" w:sz="4" w:space="0" w:color="auto"/>
              <w:right w:val="single" w:sz="4" w:space="0" w:color="auto"/>
            </w:tcBorders>
            <w:shd w:val="clear" w:color="auto" w:fill="auto"/>
            <w:hideMark/>
          </w:tcPr>
          <w:p w:rsidR="00E05D31" w:rsidRPr="00C76403" w:rsidRDefault="00E05D31" w:rsidP="00E05D31">
            <w:pPr>
              <w:jc w:val="left"/>
              <w:rPr>
                <w:rFonts w:ascii="Times New Roman" w:eastAsia="Times New Roman" w:hAnsi="Times New Roman" w:cs="Times New Roman"/>
                <w:iCs/>
                <w:color w:val="000000"/>
                <w:sz w:val="18"/>
                <w:szCs w:val="18"/>
                <w:lang w:eastAsia="cs-CZ"/>
              </w:rPr>
            </w:pPr>
            <w:r w:rsidRPr="00C76403">
              <w:rPr>
                <w:rFonts w:ascii="Times New Roman" w:eastAsia="Times New Roman" w:hAnsi="Times New Roman" w:cs="Times New Roman"/>
                <w:iCs/>
                <w:color w:val="000000"/>
                <w:sz w:val="18"/>
                <w:szCs w:val="18"/>
                <w:lang w:eastAsia="cs-CZ"/>
              </w:rPr>
              <w:t>Posílení interních inovačních kapacit firem (vč. firem s více než 250 zaměstnanci prostřednictvím rozvoje průmyslového výzkumu)</w:t>
            </w:r>
          </w:p>
        </w:tc>
      </w:tr>
      <w:tr w:rsidR="00E05D31" w:rsidRPr="00A64D22" w:rsidTr="002921DB">
        <w:trPr>
          <w:trHeight w:val="1530"/>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vAlign w:val="bottom"/>
            <w:hideMark/>
          </w:tcPr>
          <w:p w:rsidR="00A8598D" w:rsidRPr="00A64D22" w:rsidRDefault="00A8598D" w:rsidP="00E05D31">
            <w:pPr>
              <w:jc w:val="left"/>
              <w:rPr>
                <w:rFonts w:ascii="Times New Roman" w:eastAsia="Times New Roman" w:hAnsi="Times New Roman" w:cs="Times New Roman"/>
                <w:color w:val="000000"/>
                <w:sz w:val="18"/>
                <w:szCs w:val="18"/>
                <w:lang w:eastAsia="cs-CZ"/>
              </w:rPr>
            </w:pPr>
            <w:r w:rsidRPr="00A8598D">
              <w:rPr>
                <w:rFonts w:ascii="Times New Roman" w:eastAsia="Times New Roman" w:hAnsi="Times New Roman" w:cs="Times New Roman"/>
                <w:color w:val="000000"/>
                <w:sz w:val="18"/>
                <w:szCs w:val="18"/>
                <w:lang w:eastAsia="cs-CZ"/>
              </w:rPr>
              <w:t>Realizace projektů průmyslového výzkumu a experimentálního vývoje bude významným impulsem pro zvýšení vlastních podnikových výdajů na výzkum a vývoj, povede k tvorbě nových konkurenceschopných produktů a služeb, bude stimulovat výzkumné organizace k tvorbě výsledků využitelných v průmyslu a podpoří využívání nově vybudovaných výzkumných infrastruktur ve veřejném sektoru s důrazem na oblast klíčových průřezových technologií (</w:t>
            </w:r>
            <w:proofErr w:type="spellStart"/>
            <w:r w:rsidRPr="00A8598D">
              <w:rPr>
                <w:rFonts w:ascii="Times New Roman" w:eastAsia="Times New Roman" w:hAnsi="Times New Roman" w:cs="Times New Roman"/>
                <w:color w:val="000000"/>
                <w:sz w:val="18"/>
                <w:szCs w:val="18"/>
                <w:lang w:eastAsia="cs-CZ"/>
              </w:rPr>
              <w:t>KETs</w:t>
            </w:r>
            <w:proofErr w:type="spellEnd"/>
            <w:r w:rsidRPr="00A8598D">
              <w:rPr>
                <w:rFonts w:ascii="Times New Roman" w:eastAsia="Times New Roman" w:hAnsi="Times New Roman" w:cs="Times New Roman"/>
                <w:color w:val="000000"/>
                <w:sz w:val="18"/>
                <w:szCs w:val="18"/>
                <w:lang w:eastAsia="cs-CZ"/>
              </w:rPr>
              <w:t>). V rámci průmyslového výzkumu bude podporován také kreativní průmysl.</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C76403" w:rsidRDefault="00E05D31" w:rsidP="00E05D31">
            <w:pPr>
              <w:jc w:val="center"/>
              <w:rPr>
                <w:rFonts w:ascii="Times New Roman" w:eastAsia="Times New Roman" w:hAnsi="Times New Roman" w:cs="Times New Roman"/>
                <w:iCs/>
                <w:color w:val="000000"/>
                <w:sz w:val="18"/>
                <w:szCs w:val="18"/>
                <w:lang w:eastAsia="cs-CZ"/>
              </w:rPr>
            </w:pPr>
            <w:r w:rsidRPr="00C76403">
              <w:rPr>
                <w:rFonts w:ascii="Times New Roman" w:eastAsia="Times New Roman" w:hAnsi="Times New Roman" w:cs="Times New Roman"/>
                <w:iCs/>
                <w:color w:val="000000"/>
                <w:sz w:val="18"/>
                <w:szCs w:val="18"/>
                <w:lang w:eastAsia="cs-CZ"/>
              </w:rPr>
              <w:t>TC 1</w:t>
            </w:r>
          </w:p>
        </w:tc>
        <w:tc>
          <w:tcPr>
            <w:tcW w:w="5157" w:type="dxa"/>
            <w:tcBorders>
              <w:top w:val="nil"/>
              <w:left w:val="nil"/>
              <w:bottom w:val="single" w:sz="4" w:space="0" w:color="auto"/>
              <w:right w:val="single" w:sz="4" w:space="0" w:color="auto"/>
            </w:tcBorders>
            <w:shd w:val="clear" w:color="auto" w:fill="auto"/>
            <w:hideMark/>
          </w:tcPr>
          <w:p w:rsidR="00C76403" w:rsidRDefault="00C76403" w:rsidP="00E05D31">
            <w:pPr>
              <w:jc w:val="left"/>
              <w:rPr>
                <w:rFonts w:ascii="Times New Roman" w:eastAsia="Times New Roman" w:hAnsi="Times New Roman" w:cs="Times New Roman"/>
                <w:color w:val="000000"/>
                <w:sz w:val="18"/>
                <w:szCs w:val="18"/>
                <w:lang w:eastAsia="cs-CZ"/>
              </w:rPr>
            </w:pPr>
            <w:r>
              <w:rPr>
                <w:rFonts w:ascii="Times New Roman" w:eastAsia="Times New Roman" w:hAnsi="Times New Roman" w:cs="Times New Roman"/>
                <w:color w:val="000000"/>
                <w:sz w:val="18"/>
                <w:szCs w:val="18"/>
                <w:lang w:eastAsia="cs-CZ"/>
              </w:rPr>
              <w:t>Zvýšení inovační aktivity firem včetně inovací v </w:t>
            </w:r>
            <w:proofErr w:type="spellStart"/>
            <w:r>
              <w:rPr>
                <w:rFonts w:ascii="Times New Roman" w:eastAsia="Times New Roman" w:hAnsi="Times New Roman" w:cs="Times New Roman"/>
                <w:color w:val="000000"/>
                <w:sz w:val="18"/>
                <w:szCs w:val="18"/>
                <w:lang w:eastAsia="cs-CZ"/>
              </w:rPr>
              <w:t>low</w:t>
            </w:r>
            <w:proofErr w:type="spellEnd"/>
            <w:r>
              <w:rPr>
                <w:rFonts w:ascii="Times New Roman" w:eastAsia="Times New Roman" w:hAnsi="Times New Roman" w:cs="Times New Roman"/>
                <w:color w:val="000000"/>
                <w:sz w:val="18"/>
                <w:szCs w:val="18"/>
                <w:lang w:eastAsia="cs-CZ"/>
              </w:rPr>
              <w:t>-</w:t>
            </w:r>
            <w:proofErr w:type="spellStart"/>
            <w:r>
              <w:rPr>
                <w:rFonts w:ascii="Times New Roman" w:eastAsia="Times New Roman" w:hAnsi="Times New Roman" w:cs="Times New Roman"/>
                <w:color w:val="000000"/>
                <w:sz w:val="18"/>
                <w:szCs w:val="18"/>
                <w:lang w:eastAsia="cs-CZ"/>
              </w:rPr>
              <w:t>tech</w:t>
            </w:r>
            <w:proofErr w:type="spellEnd"/>
            <w:r>
              <w:rPr>
                <w:rFonts w:ascii="Times New Roman" w:eastAsia="Times New Roman" w:hAnsi="Times New Roman" w:cs="Times New Roman"/>
                <w:color w:val="000000"/>
                <w:sz w:val="18"/>
                <w:szCs w:val="18"/>
                <w:lang w:eastAsia="cs-CZ"/>
              </w:rPr>
              <w:t xml:space="preserve"> oborech, tzn. založených na aplikaci a přizpůsobení moderních technologií (vč. KET) pro využití v tradičních oborech.</w:t>
            </w:r>
          </w:p>
          <w:p w:rsidR="00C76403" w:rsidRDefault="00C76403" w:rsidP="00E05D31">
            <w:pPr>
              <w:jc w:val="left"/>
              <w:rPr>
                <w:rFonts w:ascii="Times New Roman" w:eastAsia="Times New Roman" w:hAnsi="Times New Roman" w:cs="Times New Roman"/>
                <w:i/>
                <w:iCs/>
                <w:color w:val="000000"/>
                <w:sz w:val="18"/>
                <w:szCs w:val="18"/>
                <w:lang w:eastAsia="cs-CZ"/>
              </w:rPr>
            </w:pPr>
          </w:p>
          <w:p w:rsidR="00E05D31" w:rsidRDefault="00E05D31" w:rsidP="00C76403">
            <w:pPr>
              <w:jc w:val="left"/>
              <w:rPr>
                <w:rFonts w:ascii="Times New Roman" w:eastAsia="Times New Roman" w:hAnsi="Times New Roman" w:cs="Times New Roman"/>
                <w:i/>
                <w:iCs/>
                <w:color w:val="000000"/>
                <w:sz w:val="18"/>
                <w:szCs w:val="18"/>
                <w:lang w:eastAsia="cs-CZ"/>
              </w:rPr>
            </w:pPr>
            <w:r w:rsidRPr="00A64D22">
              <w:rPr>
                <w:rFonts w:ascii="Times New Roman" w:eastAsia="Times New Roman" w:hAnsi="Times New Roman" w:cs="Times New Roman"/>
                <w:i/>
                <w:iCs/>
                <w:color w:val="000000"/>
                <w:sz w:val="18"/>
                <w:szCs w:val="18"/>
                <w:lang w:eastAsia="cs-CZ"/>
              </w:rPr>
              <w:t xml:space="preserve">Zvýšení produkce výsledků výzkumu orientovaného na řešení </w:t>
            </w:r>
            <w:proofErr w:type="spellStart"/>
            <w:r w:rsidRPr="00A64D22">
              <w:rPr>
                <w:rFonts w:ascii="Times New Roman" w:eastAsia="Times New Roman" w:hAnsi="Times New Roman" w:cs="Times New Roman"/>
                <w:i/>
                <w:iCs/>
                <w:color w:val="000000"/>
                <w:sz w:val="18"/>
                <w:szCs w:val="18"/>
                <w:lang w:eastAsia="cs-CZ"/>
              </w:rPr>
              <w:t>socio</w:t>
            </w:r>
            <w:proofErr w:type="spellEnd"/>
            <w:r w:rsidRPr="00A64D22">
              <w:rPr>
                <w:rFonts w:ascii="Times New Roman" w:eastAsia="Times New Roman" w:hAnsi="Times New Roman" w:cs="Times New Roman"/>
                <w:i/>
                <w:iCs/>
                <w:color w:val="000000"/>
                <w:sz w:val="18"/>
                <w:szCs w:val="18"/>
                <w:lang w:eastAsia="cs-CZ"/>
              </w:rPr>
              <w:t>-ekonomických potřeb</w:t>
            </w:r>
            <w:r w:rsidR="00C76403">
              <w:rPr>
                <w:rFonts w:ascii="Times New Roman" w:eastAsia="Times New Roman" w:hAnsi="Times New Roman" w:cs="Times New Roman"/>
                <w:i/>
                <w:iCs/>
                <w:color w:val="000000"/>
                <w:sz w:val="18"/>
                <w:szCs w:val="18"/>
                <w:lang w:eastAsia="cs-CZ"/>
              </w:rPr>
              <w:t>.</w:t>
            </w:r>
            <w:r w:rsidRPr="00A64D22">
              <w:rPr>
                <w:rFonts w:ascii="Times New Roman" w:eastAsia="Times New Roman" w:hAnsi="Times New Roman" w:cs="Times New Roman"/>
                <w:i/>
                <w:iCs/>
                <w:color w:val="000000"/>
                <w:sz w:val="18"/>
                <w:szCs w:val="18"/>
                <w:lang w:eastAsia="cs-CZ"/>
              </w:rPr>
              <w:t xml:space="preserve"> </w:t>
            </w:r>
          </w:p>
          <w:p w:rsidR="00C76403" w:rsidRPr="00A64D22" w:rsidRDefault="00C76403" w:rsidP="00C76403">
            <w:pPr>
              <w:jc w:val="left"/>
              <w:rPr>
                <w:rFonts w:ascii="Times New Roman" w:eastAsia="Times New Roman" w:hAnsi="Times New Roman" w:cs="Times New Roman"/>
                <w:i/>
                <w:iCs/>
                <w:color w:val="000000"/>
                <w:sz w:val="18"/>
                <w:szCs w:val="18"/>
                <w:lang w:eastAsia="cs-CZ"/>
              </w:rPr>
            </w:pPr>
            <w:r w:rsidRPr="00C76403">
              <w:rPr>
                <w:rFonts w:ascii="Times New Roman" w:eastAsia="Times New Roman" w:hAnsi="Times New Roman" w:cs="Times New Roman"/>
                <w:i/>
                <w:iCs/>
                <w:color w:val="000000"/>
                <w:sz w:val="18"/>
                <w:szCs w:val="18"/>
                <w:lang w:eastAsia="cs-CZ"/>
              </w:rPr>
              <w:t>Zvýšení poptávky po inovacích ve veřejném sektoru</w:t>
            </w:r>
            <w:r>
              <w:rPr>
                <w:rFonts w:ascii="Times New Roman" w:eastAsia="Times New Roman" w:hAnsi="Times New Roman" w:cs="Times New Roman"/>
                <w:i/>
                <w:iCs/>
                <w:color w:val="000000"/>
                <w:sz w:val="18"/>
                <w:szCs w:val="18"/>
                <w:lang w:eastAsia="cs-CZ"/>
              </w:rPr>
              <w:t>.</w:t>
            </w:r>
          </w:p>
        </w:tc>
      </w:tr>
      <w:tr w:rsidR="00E05D31" w:rsidRPr="00A64D22" w:rsidTr="00306A6B">
        <w:trPr>
          <w:trHeight w:val="678"/>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A8598D">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Zlepšení ekonomických výsledků firem v p</w:t>
            </w:r>
            <w:r w:rsidR="00A91D8A">
              <w:rPr>
                <w:rFonts w:ascii="Times New Roman" w:eastAsia="Times New Roman" w:hAnsi="Times New Roman" w:cs="Times New Roman"/>
                <w:color w:val="000000"/>
                <w:sz w:val="18"/>
                <w:szCs w:val="18"/>
                <w:lang w:eastAsia="cs-CZ"/>
              </w:rPr>
              <w:t>o</w:t>
            </w:r>
            <w:r w:rsidRPr="00A64D22">
              <w:rPr>
                <w:rFonts w:ascii="Times New Roman" w:eastAsia="Times New Roman" w:hAnsi="Times New Roman" w:cs="Times New Roman"/>
                <w:color w:val="000000"/>
                <w:sz w:val="18"/>
                <w:szCs w:val="18"/>
                <w:lang w:eastAsia="cs-CZ"/>
              </w:rPr>
              <w:t>době růstu tržeb z inovativních produktů a vytvoří prostor pro další rozvoj klíčových kompetencí</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w:t>
            </w: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C76403" w:rsidP="00E05D31">
            <w:pPr>
              <w:jc w:val="left"/>
              <w:rPr>
                <w:rFonts w:ascii="Times New Roman" w:eastAsia="Times New Roman" w:hAnsi="Times New Roman" w:cs="Times New Roman"/>
                <w:color w:val="000000"/>
                <w:sz w:val="18"/>
                <w:szCs w:val="18"/>
                <w:lang w:eastAsia="cs-CZ"/>
              </w:rPr>
            </w:pPr>
            <w:r>
              <w:rPr>
                <w:rFonts w:ascii="Times New Roman" w:eastAsia="Times New Roman" w:hAnsi="Times New Roman" w:cs="Times New Roman"/>
                <w:color w:val="000000"/>
                <w:sz w:val="18"/>
                <w:szCs w:val="18"/>
                <w:lang w:eastAsia="cs-CZ"/>
              </w:rPr>
              <w:t>???</w:t>
            </w:r>
          </w:p>
        </w:tc>
      </w:tr>
      <w:tr w:rsidR="00E05D31" w:rsidRPr="00A64D22" w:rsidTr="002921DB">
        <w:trPr>
          <w:trHeight w:val="1530"/>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val="restart"/>
            <w:tcBorders>
              <w:top w:val="nil"/>
              <w:left w:val="single" w:sz="4" w:space="0" w:color="auto"/>
              <w:bottom w:val="single" w:sz="4" w:space="0" w:color="auto"/>
              <w:right w:val="sing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r w:rsidRPr="00A64D22">
              <w:rPr>
                <w:rFonts w:ascii="Times New Roman" w:eastAsia="Times New Roman" w:hAnsi="Times New Roman" w:cs="Times New Roman"/>
                <w:b/>
                <w:bCs/>
                <w:color w:val="000000"/>
                <w:sz w:val="18"/>
                <w:szCs w:val="18"/>
                <w:lang w:eastAsia="cs-CZ"/>
              </w:rPr>
              <w:t>1.2 Zvýšit intenzitu a účinnost spolupráce ve výzkumu, vývoji a inovacích</w:t>
            </w:r>
          </w:p>
        </w:tc>
        <w:tc>
          <w:tcPr>
            <w:tcW w:w="4819" w:type="dxa"/>
            <w:tcBorders>
              <w:top w:val="nil"/>
              <w:left w:val="nil"/>
              <w:bottom w:val="single" w:sz="4" w:space="0" w:color="auto"/>
              <w:right w:val="double" w:sz="4" w:space="0" w:color="auto"/>
            </w:tcBorders>
            <w:shd w:val="clear" w:color="auto" w:fill="auto"/>
            <w:hideMark/>
          </w:tcPr>
          <w:p w:rsidR="00E05D31" w:rsidRPr="00A64D22" w:rsidRDefault="00A8598D" w:rsidP="00A8598D">
            <w:pPr>
              <w:jc w:val="left"/>
              <w:rPr>
                <w:rFonts w:ascii="Times New Roman" w:eastAsia="Times New Roman" w:hAnsi="Times New Roman" w:cs="Times New Roman"/>
                <w:color w:val="000000"/>
                <w:sz w:val="18"/>
                <w:szCs w:val="18"/>
                <w:lang w:eastAsia="cs-CZ"/>
              </w:rPr>
            </w:pPr>
            <w:r>
              <w:rPr>
                <w:rFonts w:ascii="Times New Roman" w:eastAsia="Times New Roman" w:hAnsi="Times New Roman" w:cs="Times New Roman"/>
                <w:color w:val="000000"/>
                <w:sz w:val="18"/>
                <w:szCs w:val="18"/>
                <w:lang w:eastAsia="cs-CZ"/>
              </w:rPr>
              <w:t>Širší spektrum a vyšší kvalita</w:t>
            </w:r>
            <w:r w:rsidR="00E05D31" w:rsidRPr="00A64D22">
              <w:rPr>
                <w:rFonts w:ascii="Times New Roman" w:eastAsia="Times New Roman" w:hAnsi="Times New Roman" w:cs="Times New Roman"/>
                <w:color w:val="000000"/>
                <w:sz w:val="18"/>
                <w:szCs w:val="18"/>
                <w:lang w:eastAsia="cs-CZ"/>
              </w:rPr>
              <w:t xml:space="preserve"> služeb poskytovaných podpůrnou infrastrukturou (vědeckotechnickými parky, inkubátory a inovačními centry) inovačním firmám a dalším aktérům v inovačním systému. Naplňování poslání podpůrné infrastruktury povede k úzkému propojení a efektivní spolupráci privátní sféry s veřejným výzkumným sektorem a přispěje k vytvoření mechanismů dlouhodobé spolupráce různých účastníků inovačního systému</w:t>
            </w:r>
            <w:r w:rsidR="00306A6B">
              <w:rPr>
                <w:rFonts w:ascii="Times New Roman" w:eastAsia="Times New Roman" w:hAnsi="Times New Roman" w:cs="Times New Roman"/>
                <w:color w:val="000000"/>
                <w:sz w:val="18"/>
                <w:szCs w:val="18"/>
                <w:lang w:eastAsia="cs-CZ"/>
              </w:rPr>
              <w:t>.</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C76403" w:rsidRDefault="00E05D31" w:rsidP="00E05D31">
            <w:pPr>
              <w:jc w:val="center"/>
              <w:rPr>
                <w:rFonts w:ascii="Times New Roman" w:eastAsia="Times New Roman" w:hAnsi="Times New Roman" w:cs="Times New Roman"/>
                <w:i/>
                <w:color w:val="000000"/>
                <w:sz w:val="18"/>
                <w:szCs w:val="18"/>
                <w:lang w:eastAsia="cs-CZ"/>
              </w:rPr>
            </w:pPr>
            <w:r w:rsidRPr="00C76403">
              <w:rPr>
                <w:rFonts w:ascii="Times New Roman" w:eastAsia="Times New Roman" w:hAnsi="Times New Roman" w:cs="Times New Roman"/>
                <w:i/>
                <w:color w:val="000000"/>
                <w:sz w:val="18"/>
                <w:szCs w:val="18"/>
                <w:lang w:eastAsia="cs-CZ"/>
              </w:rPr>
              <w:t>TC 1</w:t>
            </w:r>
          </w:p>
        </w:tc>
        <w:tc>
          <w:tcPr>
            <w:tcW w:w="5157" w:type="dxa"/>
            <w:tcBorders>
              <w:top w:val="nil"/>
              <w:left w:val="nil"/>
              <w:bottom w:val="single" w:sz="4" w:space="0" w:color="auto"/>
              <w:right w:val="single" w:sz="4" w:space="0" w:color="auto"/>
            </w:tcBorders>
            <w:shd w:val="clear" w:color="auto" w:fill="auto"/>
            <w:hideMark/>
          </w:tcPr>
          <w:p w:rsidR="00E05D31" w:rsidRPr="00C76403" w:rsidRDefault="00C76403" w:rsidP="00E05D31">
            <w:pPr>
              <w:jc w:val="left"/>
              <w:rPr>
                <w:rFonts w:ascii="Times New Roman" w:eastAsia="Times New Roman" w:hAnsi="Times New Roman" w:cs="Times New Roman"/>
                <w:i/>
                <w:color w:val="000000"/>
                <w:sz w:val="18"/>
                <w:szCs w:val="18"/>
                <w:lang w:eastAsia="cs-CZ"/>
              </w:rPr>
            </w:pPr>
            <w:r w:rsidRPr="00C76403">
              <w:rPr>
                <w:rFonts w:ascii="Times New Roman" w:eastAsia="Times New Roman" w:hAnsi="Times New Roman" w:cs="Times New Roman"/>
                <w:i/>
                <w:color w:val="000000"/>
                <w:sz w:val="18"/>
                <w:szCs w:val="18"/>
                <w:lang w:eastAsia="cs-CZ"/>
              </w:rPr>
              <w:t>Zvýšení všestranné spolupráce (firma-firma i firma-akademie) v oblasti výzkumu, vývoje a inovací, včetně zvýšení aplikace principů open-</w:t>
            </w:r>
            <w:proofErr w:type="spellStart"/>
            <w:r w:rsidRPr="00C76403">
              <w:rPr>
                <w:rFonts w:ascii="Times New Roman" w:eastAsia="Times New Roman" w:hAnsi="Times New Roman" w:cs="Times New Roman"/>
                <w:i/>
                <w:color w:val="000000"/>
                <w:sz w:val="18"/>
                <w:szCs w:val="18"/>
                <w:lang w:eastAsia="cs-CZ"/>
              </w:rPr>
              <w:t>innovation</w:t>
            </w:r>
            <w:proofErr w:type="spellEnd"/>
            <w:r w:rsidRPr="00C76403">
              <w:rPr>
                <w:rFonts w:ascii="Times New Roman" w:eastAsia="Times New Roman" w:hAnsi="Times New Roman" w:cs="Times New Roman"/>
                <w:i/>
                <w:color w:val="000000"/>
                <w:sz w:val="18"/>
                <w:szCs w:val="18"/>
                <w:lang w:eastAsia="cs-CZ"/>
              </w:rPr>
              <w:t xml:space="preserve"> na řízení inovací ve firmách.</w:t>
            </w:r>
          </w:p>
        </w:tc>
      </w:tr>
      <w:tr w:rsidR="00E05D31" w:rsidRPr="00A64D22" w:rsidTr="002921DB">
        <w:trPr>
          <w:trHeight w:val="1275"/>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A8598D">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Efektivn</w:t>
            </w:r>
            <w:r w:rsidR="00A8598D">
              <w:rPr>
                <w:rFonts w:ascii="Times New Roman" w:eastAsia="Times New Roman" w:hAnsi="Times New Roman" w:cs="Times New Roman"/>
                <w:color w:val="000000"/>
                <w:sz w:val="18"/>
                <w:szCs w:val="18"/>
                <w:lang w:eastAsia="cs-CZ"/>
              </w:rPr>
              <w:t>ější</w:t>
            </w:r>
            <w:r w:rsidRPr="00A64D22">
              <w:rPr>
                <w:rFonts w:ascii="Times New Roman" w:eastAsia="Times New Roman" w:hAnsi="Times New Roman" w:cs="Times New Roman"/>
                <w:color w:val="000000"/>
                <w:sz w:val="18"/>
                <w:szCs w:val="18"/>
                <w:lang w:eastAsia="cs-CZ"/>
              </w:rPr>
              <w:t xml:space="preserve"> zapojení klastrů a dalších inovačních sítí do inovačního systému přispěje ke zlepšení vzájemné spolupráce firem v oblasti </w:t>
            </w:r>
            <w:proofErr w:type="spellStart"/>
            <w:r w:rsidRPr="00A64D22">
              <w:rPr>
                <w:rFonts w:ascii="Times New Roman" w:eastAsia="Times New Roman" w:hAnsi="Times New Roman" w:cs="Times New Roman"/>
                <w:color w:val="000000"/>
                <w:sz w:val="18"/>
                <w:szCs w:val="18"/>
                <w:lang w:eastAsia="cs-CZ"/>
              </w:rPr>
              <w:t>VaVaI</w:t>
            </w:r>
            <w:proofErr w:type="spellEnd"/>
            <w:r w:rsidRPr="00A64D22">
              <w:rPr>
                <w:rFonts w:ascii="Times New Roman" w:eastAsia="Times New Roman" w:hAnsi="Times New Roman" w:cs="Times New Roman"/>
                <w:color w:val="000000"/>
                <w:sz w:val="18"/>
                <w:szCs w:val="18"/>
                <w:lang w:eastAsia="cs-CZ"/>
              </w:rPr>
              <w:t xml:space="preserve">, definovaní a řešení společných potřeb MSP ve spolupráci s vědeckovýzkumnou sférou. Excelentní klastry budou generovat kvalitní výstupy v oblasti </w:t>
            </w:r>
            <w:proofErr w:type="spellStart"/>
            <w:r w:rsidRPr="00A64D22">
              <w:rPr>
                <w:rFonts w:ascii="Times New Roman" w:eastAsia="Times New Roman" w:hAnsi="Times New Roman" w:cs="Times New Roman"/>
                <w:color w:val="000000"/>
                <w:sz w:val="18"/>
                <w:szCs w:val="18"/>
                <w:lang w:eastAsia="cs-CZ"/>
              </w:rPr>
              <w:t>VaV</w:t>
            </w:r>
            <w:proofErr w:type="spellEnd"/>
            <w:r w:rsidRPr="00A64D22">
              <w:rPr>
                <w:rFonts w:ascii="Times New Roman" w:eastAsia="Times New Roman" w:hAnsi="Times New Roman" w:cs="Times New Roman"/>
                <w:color w:val="000000"/>
                <w:sz w:val="18"/>
                <w:szCs w:val="18"/>
                <w:lang w:eastAsia="cs-CZ"/>
              </w:rPr>
              <w:t xml:space="preserve"> a budou schopny se úspěšně zapojovat do evropských výzkumných projektů</w:t>
            </w:r>
            <w:r w:rsidR="00306A6B">
              <w:rPr>
                <w:rFonts w:ascii="Times New Roman" w:eastAsia="Times New Roman" w:hAnsi="Times New Roman" w:cs="Times New Roman"/>
                <w:color w:val="000000"/>
                <w:sz w:val="18"/>
                <w:szCs w:val="18"/>
                <w:lang w:eastAsia="cs-CZ"/>
              </w:rPr>
              <w:t>.</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TC 1</w:t>
            </w:r>
          </w:p>
        </w:tc>
        <w:tc>
          <w:tcPr>
            <w:tcW w:w="5157" w:type="dxa"/>
            <w:tcBorders>
              <w:top w:val="nil"/>
              <w:left w:val="nil"/>
              <w:bottom w:val="single" w:sz="4" w:space="0" w:color="auto"/>
              <w:right w:val="single" w:sz="4" w:space="0" w:color="auto"/>
            </w:tcBorders>
            <w:shd w:val="clear" w:color="auto" w:fill="auto"/>
            <w:hideMark/>
          </w:tcPr>
          <w:p w:rsidR="00E05D31" w:rsidRPr="00A64D22" w:rsidRDefault="00E05D31" w:rsidP="00C76403">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Zvýšení </w:t>
            </w:r>
            <w:r w:rsidR="00C76403">
              <w:rPr>
                <w:rFonts w:ascii="Times New Roman" w:eastAsia="Times New Roman" w:hAnsi="Times New Roman" w:cs="Times New Roman"/>
                <w:color w:val="000000"/>
                <w:sz w:val="18"/>
                <w:szCs w:val="18"/>
                <w:lang w:eastAsia="cs-CZ"/>
              </w:rPr>
              <w:t>inovační výkonnosti v jednotlivých odvětvích rozvojem klastrů a sítí, které rozvíjí proces inteligentní specializace</w:t>
            </w:r>
            <w:r w:rsidR="00BD44B0">
              <w:rPr>
                <w:rFonts w:ascii="Times New Roman" w:eastAsia="Times New Roman" w:hAnsi="Times New Roman" w:cs="Times New Roman"/>
                <w:color w:val="000000"/>
                <w:sz w:val="18"/>
                <w:szCs w:val="18"/>
                <w:lang w:eastAsia="cs-CZ"/>
              </w:rPr>
              <w:t>.</w:t>
            </w:r>
          </w:p>
        </w:tc>
      </w:tr>
      <w:tr w:rsidR="00E05D31" w:rsidRPr="00A64D22" w:rsidTr="002921DB">
        <w:trPr>
          <w:trHeight w:val="510"/>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Využití konceptu inteligentní specializace </w:t>
            </w:r>
            <w:r w:rsidR="00A8598D">
              <w:rPr>
                <w:rFonts w:ascii="Times New Roman" w:eastAsia="Times New Roman" w:hAnsi="Times New Roman" w:cs="Times New Roman"/>
                <w:color w:val="000000"/>
                <w:sz w:val="18"/>
                <w:szCs w:val="18"/>
                <w:lang w:eastAsia="cs-CZ"/>
              </w:rPr>
              <w:t>po</w:t>
            </w:r>
            <w:r w:rsidRPr="00A64D22">
              <w:rPr>
                <w:rFonts w:ascii="Times New Roman" w:eastAsia="Times New Roman" w:hAnsi="Times New Roman" w:cs="Times New Roman"/>
                <w:color w:val="000000"/>
                <w:sz w:val="18"/>
                <w:szCs w:val="18"/>
                <w:lang w:eastAsia="cs-CZ"/>
              </w:rPr>
              <w:t>vede</w:t>
            </w:r>
            <w:r w:rsidR="00A8598D">
              <w:rPr>
                <w:rFonts w:ascii="Times New Roman" w:eastAsia="Times New Roman" w:hAnsi="Times New Roman" w:cs="Times New Roman"/>
                <w:color w:val="000000"/>
                <w:sz w:val="18"/>
                <w:szCs w:val="18"/>
                <w:lang w:eastAsia="cs-CZ"/>
              </w:rPr>
              <w:t xml:space="preserve"> rovněž</w:t>
            </w:r>
            <w:r w:rsidRPr="00A64D22">
              <w:rPr>
                <w:rFonts w:ascii="Times New Roman" w:eastAsia="Times New Roman" w:hAnsi="Times New Roman" w:cs="Times New Roman"/>
                <w:color w:val="000000"/>
                <w:sz w:val="18"/>
                <w:szCs w:val="18"/>
                <w:lang w:eastAsia="cs-CZ"/>
              </w:rPr>
              <w:t xml:space="preserve"> k prohlubování </w:t>
            </w:r>
            <w:proofErr w:type="spellStart"/>
            <w:r w:rsidRPr="00A64D22">
              <w:rPr>
                <w:rFonts w:ascii="Times New Roman" w:eastAsia="Times New Roman" w:hAnsi="Times New Roman" w:cs="Times New Roman"/>
                <w:color w:val="000000"/>
                <w:sz w:val="18"/>
                <w:szCs w:val="18"/>
                <w:lang w:eastAsia="cs-CZ"/>
              </w:rPr>
              <w:t>mezisektorové</w:t>
            </w:r>
            <w:proofErr w:type="spellEnd"/>
            <w:r w:rsidRPr="00A64D22">
              <w:rPr>
                <w:rFonts w:ascii="Times New Roman" w:eastAsia="Times New Roman" w:hAnsi="Times New Roman" w:cs="Times New Roman"/>
                <w:color w:val="000000"/>
                <w:sz w:val="18"/>
                <w:szCs w:val="18"/>
                <w:lang w:eastAsia="cs-CZ"/>
              </w:rPr>
              <w:t>, meziregionální a nadnárodní spolupráce</w:t>
            </w:r>
            <w:r w:rsidR="00306A6B">
              <w:rPr>
                <w:rFonts w:ascii="Times New Roman" w:eastAsia="Times New Roman" w:hAnsi="Times New Roman" w:cs="Times New Roman"/>
                <w:color w:val="000000"/>
                <w:sz w:val="18"/>
                <w:szCs w:val="18"/>
                <w:lang w:eastAsia="cs-CZ"/>
              </w:rPr>
              <w:t>.</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w:t>
            </w: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C76403" w:rsidP="00E05D31">
            <w:pPr>
              <w:jc w:val="left"/>
              <w:rPr>
                <w:rFonts w:ascii="Times New Roman" w:eastAsia="Times New Roman" w:hAnsi="Times New Roman" w:cs="Times New Roman"/>
                <w:color w:val="000000"/>
                <w:sz w:val="18"/>
                <w:szCs w:val="18"/>
                <w:lang w:eastAsia="cs-CZ"/>
              </w:rPr>
            </w:pPr>
            <w:r>
              <w:rPr>
                <w:rFonts w:ascii="Times New Roman" w:eastAsia="Times New Roman" w:hAnsi="Times New Roman" w:cs="Times New Roman"/>
                <w:color w:val="000000"/>
                <w:sz w:val="18"/>
                <w:szCs w:val="18"/>
                <w:lang w:eastAsia="cs-CZ"/>
              </w:rPr>
              <w:t>???</w:t>
            </w:r>
          </w:p>
        </w:tc>
      </w:tr>
      <w:tr w:rsidR="00E05D31" w:rsidRPr="00A64D22" w:rsidTr="00306A6B">
        <w:trPr>
          <w:trHeight w:val="224"/>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Vytvoření a naplňování střednědobých až dlouhodobých vizí technologického vývoje v návaznosti na otázky budoucího hospodářského růstu, konkurenceschopnosti a trvale udržitelného rozvoje v České republice i v Evropě prostřednictvím technologických platforem povede ke zkvalitnění podnikatelského prostředí a strategického zacílení výzkumu a vývoje ve významných technologických oblastech </w:t>
            </w:r>
            <w:r w:rsidRPr="00A64D22">
              <w:rPr>
                <w:rFonts w:ascii="Times New Roman" w:eastAsia="Times New Roman" w:hAnsi="Times New Roman" w:cs="Times New Roman"/>
                <w:color w:val="000000"/>
                <w:sz w:val="18"/>
                <w:szCs w:val="18"/>
                <w:lang w:eastAsia="cs-CZ"/>
              </w:rPr>
              <w:lastRenderedPageBreak/>
              <w:t>na národní nebo mezinárodní úrovni</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lastRenderedPageBreak/>
              <w:t>TC 1</w:t>
            </w:r>
          </w:p>
        </w:tc>
        <w:tc>
          <w:tcPr>
            <w:tcW w:w="5157" w:type="dxa"/>
            <w:tcBorders>
              <w:top w:val="nil"/>
              <w:left w:val="nil"/>
              <w:bottom w:val="single" w:sz="4" w:space="0" w:color="auto"/>
              <w:right w:val="single" w:sz="4" w:space="0" w:color="auto"/>
            </w:tcBorders>
            <w:shd w:val="clear" w:color="auto" w:fill="auto"/>
            <w:hideMark/>
          </w:tcPr>
          <w:p w:rsidR="00E05D31" w:rsidRPr="00A64D22" w:rsidRDefault="00E05D31" w:rsidP="00C76403">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Zvýšení produkce výsledků výzkumu orientovaného na řešení </w:t>
            </w:r>
            <w:proofErr w:type="spellStart"/>
            <w:r w:rsidRPr="00A64D22">
              <w:rPr>
                <w:rFonts w:ascii="Times New Roman" w:eastAsia="Times New Roman" w:hAnsi="Times New Roman" w:cs="Times New Roman"/>
                <w:color w:val="000000"/>
                <w:sz w:val="18"/>
                <w:szCs w:val="18"/>
                <w:lang w:eastAsia="cs-CZ"/>
              </w:rPr>
              <w:t>socio</w:t>
            </w:r>
            <w:proofErr w:type="spellEnd"/>
            <w:r w:rsidRPr="00A64D22">
              <w:rPr>
                <w:rFonts w:ascii="Times New Roman" w:eastAsia="Times New Roman" w:hAnsi="Times New Roman" w:cs="Times New Roman"/>
                <w:color w:val="000000"/>
                <w:sz w:val="18"/>
                <w:szCs w:val="18"/>
                <w:lang w:eastAsia="cs-CZ"/>
              </w:rPr>
              <w:t>-ekonomických potřeb</w:t>
            </w:r>
            <w:r w:rsidR="00C76403">
              <w:rPr>
                <w:rFonts w:ascii="Times New Roman" w:eastAsia="Times New Roman" w:hAnsi="Times New Roman" w:cs="Times New Roman"/>
                <w:color w:val="000000"/>
                <w:sz w:val="18"/>
                <w:szCs w:val="18"/>
                <w:lang w:eastAsia="cs-CZ"/>
              </w:rPr>
              <w:t>.</w:t>
            </w:r>
          </w:p>
        </w:tc>
      </w:tr>
      <w:tr w:rsidR="00E05D31" w:rsidRPr="00A64D22" w:rsidTr="002921DB">
        <w:trPr>
          <w:trHeight w:val="765"/>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vAlign w:val="bottom"/>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Vyšší využití výsledků výzkumu s potenciálem komerčního využití založeného na předpokladu intenzivní spolupráce výzkumných organizací se subjekty aplikační sféry prostřednictvím tzv. </w:t>
            </w:r>
            <w:proofErr w:type="spellStart"/>
            <w:r w:rsidRPr="00A64D22">
              <w:rPr>
                <w:rFonts w:ascii="Times New Roman" w:eastAsia="Times New Roman" w:hAnsi="Times New Roman" w:cs="Times New Roman"/>
                <w:color w:val="000000"/>
                <w:sz w:val="18"/>
                <w:szCs w:val="18"/>
                <w:lang w:eastAsia="cs-CZ"/>
              </w:rPr>
              <w:t>proof</w:t>
            </w:r>
            <w:proofErr w:type="spellEnd"/>
            <w:r w:rsidRPr="00A64D22">
              <w:rPr>
                <w:rFonts w:ascii="Times New Roman" w:eastAsia="Times New Roman" w:hAnsi="Times New Roman" w:cs="Times New Roman"/>
                <w:color w:val="000000"/>
                <w:sz w:val="18"/>
                <w:szCs w:val="18"/>
                <w:lang w:eastAsia="cs-CZ"/>
              </w:rPr>
              <w:t>-</w:t>
            </w:r>
            <w:proofErr w:type="spellStart"/>
            <w:r w:rsidRPr="00A64D22">
              <w:rPr>
                <w:rFonts w:ascii="Times New Roman" w:eastAsia="Times New Roman" w:hAnsi="Times New Roman" w:cs="Times New Roman"/>
                <w:color w:val="000000"/>
                <w:sz w:val="18"/>
                <w:szCs w:val="18"/>
                <w:lang w:eastAsia="cs-CZ"/>
              </w:rPr>
              <w:t>of</w:t>
            </w:r>
            <w:proofErr w:type="spellEnd"/>
            <w:r w:rsidRPr="00A64D22">
              <w:rPr>
                <w:rFonts w:ascii="Times New Roman" w:eastAsia="Times New Roman" w:hAnsi="Times New Roman" w:cs="Times New Roman"/>
                <w:color w:val="000000"/>
                <w:sz w:val="18"/>
                <w:szCs w:val="18"/>
                <w:lang w:eastAsia="cs-CZ"/>
              </w:rPr>
              <w:t>-</w:t>
            </w:r>
            <w:proofErr w:type="spellStart"/>
            <w:r w:rsidRPr="00A64D22">
              <w:rPr>
                <w:rFonts w:ascii="Times New Roman" w:eastAsia="Times New Roman" w:hAnsi="Times New Roman" w:cs="Times New Roman"/>
                <w:color w:val="000000"/>
                <w:sz w:val="18"/>
                <w:szCs w:val="18"/>
                <w:lang w:eastAsia="cs-CZ"/>
              </w:rPr>
              <w:t>concept</w:t>
            </w:r>
            <w:proofErr w:type="spellEnd"/>
            <w:r w:rsidRPr="00A64D22">
              <w:rPr>
                <w:rFonts w:ascii="Times New Roman" w:eastAsia="Times New Roman" w:hAnsi="Times New Roman" w:cs="Times New Roman"/>
                <w:color w:val="000000"/>
                <w:sz w:val="18"/>
                <w:szCs w:val="18"/>
                <w:lang w:eastAsia="cs-CZ"/>
              </w:rPr>
              <w:t xml:space="preserve">. </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TC 1</w:t>
            </w:r>
          </w:p>
        </w:tc>
        <w:tc>
          <w:tcPr>
            <w:tcW w:w="5157" w:type="dxa"/>
            <w:tcBorders>
              <w:top w:val="nil"/>
              <w:left w:val="nil"/>
              <w:bottom w:val="single" w:sz="4" w:space="0" w:color="auto"/>
              <w:right w:val="sing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Zvýšení nabídky kvalitních výsledků </w:t>
            </w:r>
            <w:proofErr w:type="spellStart"/>
            <w:r w:rsidRPr="00A64D22">
              <w:rPr>
                <w:rFonts w:ascii="Times New Roman" w:eastAsia="Times New Roman" w:hAnsi="Times New Roman" w:cs="Times New Roman"/>
                <w:color w:val="000000"/>
                <w:sz w:val="18"/>
                <w:szCs w:val="18"/>
                <w:lang w:eastAsia="cs-CZ"/>
              </w:rPr>
              <w:t>VaV</w:t>
            </w:r>
            <w:proofErr w:type="spellEnd"/>
            <w:r w:rsidRPr="00A64D22">
              <w:rPr>
                <w:rFonts w:ascii="Times New Roman" w:eastAsia="Times New Roman" w:hAnsi="Times New Roman" w:cs="Times New Roman"/>
                <w:color w:val="000000"/>
                <w:sz w:val="18"/>
                <w:szCs w:val="18"/>
                <w:lang w:eastAsia="cs-CZ"/>
              </w:rPr>
              <w:t xml:space="preserve"> s aplikačním potenciálem a počtu výsledků dotažených do stadia aplikace a inovace.</w:t>
            </w:r>
          </w:p>
        </w:tc>
      </w:tr>
      <w:tr w:rsidR="00E05D31" w:rsidRPr="00A64D22" w:rsidTr="002921DB">
        <w:trPr>
          <w:trHeight w:val="1530"/>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Posílení mobility a transferu znalostí mezi podnikovou a akademickou sférou s cílem zavádění produktových a procesních inovací v podnicích a sblížení výzkumných témat prováděných ve veřejném sektoru s potřebami podniků. Nárůst interakcí mezi podniky a veřejnými </w:t>
            </w:r>
            <w:proofErr w:type="spellStart"/>
            <w:r w:rsidRPr="00A64D22">
              <w:rPr>
                <w:rFonts w:ascii="Times New Roman" w:eastAsia="Times New Roman" w:hAnsi="Times New Roman" w:cs="Times New Roman"/>
                <w:color w:val="000000"/>
                <w:sz w:val="18"/>
                <w:szCs w:val="18"/>
                <w:lang w:eastAsia="cs-CZ"/>
              </w:rPr>
              <w:t>VaV</w:t>
            </w:r>
            <w:proofErr w:type="spellEnd"/>
            <w:r w:rsidRPr="00A64D22">
              <w:rPr>
                <w:rFonts w:ascii="Times New Roman" w:eastAsia="Times New Roman" w:hAnsi="Times New Roman" w:cs="Times New Roman"/>
                <w:color w:val="000000"/>
                <w:sz w:val="18"/>
                <w:szCs w:val="18"/>
                <w:lang w:eastAsia="cs-CZ"/>
              </w:rPr>
              <w:t xml:space="preserve"> a vzdělávacími institucemi povede k lepšímu porozumění jejich skutečným přínosům na obou stranách a většímu otevření univerzit ke spolupráci s podnikatelskou sférou.</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C76403" w:rsidRDefault="00E05D31" w:rsidP="00E05D31">
            <w:pPr>
              <w:jc w:val="center"/>
              <w:rPr>
                <w:rFonts w:ascii="Times New Roman" w:eastAsia="Times New Roman" w:hAnsi="Times New Roman" w:cs="Times New Roman"/>
                <w:iCs/>
                <w:color w:val="000000"/>
                <w:sz w:val="18"/>
                <w:szCs w:val="18"/>
                <w:lang w:eastAsia="cs-CZ"/>
              </w:rPr>
            </w:pPr>
            <w:r w:rsidRPr="00C76403">
              <w:rPr>
                <w:rFonts w:ascii="Times New Roman" w:eastAsia="Times New Roman" w:hAnsi="Times New Roman" w:cs="Times New Roman"/>
                <w:iCs/>
                <w:color w:val="000000"/>
                <w:sz w:val="18"/>
                <w:szCs w:val="18"/>
                <w:lang w:eastAsia="cs-CZ"/>
              </w:rPr>
              <w:t>TC 1</w:t>
            </w:r>
          </w:p>
        </w:tc>
        <w:tc>
          <w:tcPr>
            <w:tcW w:w="5157" w:type="dxa"/>
            <w:tcBorders>
              <w:top w:val="nil"/>
              <w:left w:val="nil"/>
              <w:bottom w:val="single" w:sz="4" w:space="0" w:color="auto"/>
              <w:right w:val="single" w:sz="4" w:space="0" w:color="auto"/>
            </w:tcBorders>
            <w:shd w:val="clear" w:color="auto" w:fill="auto"/>
            <w:hideMark/>
          </w:tcPr>
          <w:p w:rsidR="00BD44B0" w:rsidRPr="00A64D22" w:rsidRDefault="00BD44B0" w:rsidP="00E05D31">
            <w:pPr>
              <w:jc w:val="left"/>
              <w:rPr>
                <w:rFonts w:ascii="Times New Roman" w:eastAsia="Times New Roman" w:hAnsi="Times New Roman" w:cs="Times New Roman"/>
                <w:i/>
                <w:iCs/>
                <w:color w:val="000000"/>
                <w:sz w:val="18"/>
                <w:szCs w:val="18"/>
                <w:lang w:eastAsia="cs-CZ"/>
              </w:rPr>
            </w:pPr>
            <w:r w:rsidRPr="00A64D22">
              <w:rPr>
                <w:rFonts w:ascii="Times New Roman" w:eastAsia="Times New Roman" w:hAnsi="Times New Roman" w:cs="Times New Roman"/>
                <w:color w:val="000000"/>
                <w:sz w:val="18"/>
                <w:szCs w:val="18"/>
                <w:lang w:eastAsia="cs-CZ"/>
              </w:rPr>
              <w:t>Zvýšení všestranné spolupráce (firma – firma i firma – akademie) v oblasti výzkumu, vývoje a inovací, včetně zvýšení aplikace principů open-</w:t>
            </w:r>
            <w:proofErr w:type="spellStart"/>
            <w:r w:rsidRPr="00A64D22">
              <w:rPr>
                <w:rFonts w:ascii="Times New Roman" w:eastAsia="Times New Roman" w:hAnsi="Times New Roman" w:cs="Times New Roman"/>
                <w:color w:val="000000"/>
                <w:sz w:val="18"/>
                <w:szCs w:val="18"/>
                <w:lang w:eastAsia="cs-CZ"/>
              </w:rPr>
              <w:t>innovation</w:t>
            </w:r>
            <w:proofErr w:type="spellEnd"/>
            <w:r w:rsidRPr="00A64D22">
              <w:rPr>
                <w:rFonts w:ascii="Times New Roman" w:eastAsia="Times New Roman" w:hAnsi="Times New Roman" w:cs="Times New Roman"/>
                <w:color w:val="000000"/>
                <w:sz w:val="18"/>
                <w:szCs w:val="18"/>
                <w:lang w:eastAsia="cs-CZ"/>
              </w:rPr>
              <w:t xml:space="preserve"> na řízení inovací ve firmách</w:t>
            </w:r>
          </w:p>
        </w:tc>
      </w:tr>
      <w:tr w:rsidR="00E05D31" w:rsidRPr="00A64D22" w:rsidTr="002921DB">
        <w:trPr>
          <w:trHeight w:val="1020"/>
        </w:trPr>
        <w:tc>
          <w:tcPr>
            <w:tcW w:w="1060" w:type="dxa"/>
            <w:vMerge w:val="restart"/>
            <w:tcBorders>
              <w:top w:val="nil"/>
              <w:left w:val="sing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b/>
                <w:bCs/>
                <w:color w:val="000000"/>
                <w:sz w:val="18"/>
                <w:szCs w:val="18"/>
                <w:lang w:eastAsia="cs-CZ"/>
              </w:rPr>
            </w:pPr>
            <w:r w:rsidRPr="00A64D22">
              <w:rPr>
                <w:rFonts w:ascii="Times New Roman" w:eastAsia="Times New Roman" w:hAnsi="Times New Roman" w:cs="Times New Roman"/>
                <w:b/>
                <w:bCs/>
                <w:color w:val="000000"/>
                <w:sz w:val="18"/>
                <w:szCs w:val="18"/>
                <w:lang w:eastAsia="cs-CZ"/>
              </w:rPr>
              <w:t>TC 2</w:t>
            </w:r>
          </w:p>
        </w:tc>
        <w:tc>
          <w:tcPr>
            <w:tcW w:w="2206" w:type="dxa"/>
            <w:vMerge w:val="restart"/>
            <w:tcBorders>
              <w:top w:val="nil"/>
              <w:left w:val="single" w:sz="4" w:space="0" w:color="auto"/>
              <w:bottom w:val="single" w:sz="4" w:space="0" w:color="auto"/>
              <w:right w:val="sing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4</w:t>
            </w:r>
            <w:r w:rsidRPr="00A83F96">
              <w:rPr>
                <w:rFonts w:ascii="Times New Roman" w:eastAsia="Times New Roman" w:hAnsi="Times New Roman" w:cs="Times New Roman"/>
                <w:b/>
                <w:color w:val="000000"/>
                <w:sz w:val="18"/>
                <w:szCs w:val="18"/>
                <w:lang w:eastAsia="cs-CZ"/>
              </w:rPr>
              <w:t>.1 Zvětšit pokrytí vysokorychlostním přístupem k internetu</w:t>
            </w: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BD1B5B">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Vybudování dostatečně rozvinuté a dostupné technologické základny v ČR v podobě adekvátní infrastruktury umožňující vysokorychlostní přístup k internetu na území bez stávající možnosti přístupu k vysokorychlostnímu internetu nebo s možností </w:t>
            </w:r>
            <w:r w:rsidR="00BD1B5B">
              <w:rPr>
                <w:rFonts w:ascii="Times New Roman" w:eastAsia="Times New Roman" w:hAnsi="Times New Roman" w:cs="Times New Roman"/>
                <w:color w:val="000000"/>
                <w:sz w:val="18"/>
                <w:szCs w:val="18"/>
                <w:lang w:eastAsia="cs-CZ"/>
              </w:rPr>
              <w:t xml:space="preserve">vysokorychlostního přístupu k </w:t>
            </w:r>
            <w:r w:rsidRPr="00A64D22">
              <w:rPr>
                <w:rFonts w:ascii="Times New Roman" w:eastAsia="Times New Roman" w:hAnsi="Times New Roman" w:cs="Times New Roman"/>
                <w:color w:val="000000"/>
                <w:sz w:val="18"/>
                <w:szCs w:val="18"/>
                <w:lang w:eastAsia="cs-CZ"/>
              </w:rPr>
              <w:t>internetu prostřednictvím pouze jednoho poskytovatele.</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TC 2</w:t>
            </w:r>
          </w:p>
        </w:tc>
        <w:tc>
          <w:tcPr>
            <w:tcW w:w="5157" w:type="dxa"/>
            <w:tcBorders>
              <w:top w:val="nil"/>
              <w:left w:val="nil"/>
              <w:bottom w:val="single" w:sz="4" w:space="0" w:color="auto"/>
              <w:right w:val="sing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Zvýšení kvality a dostupnosti infrastruktury pro vysokorychlostní přístup k internetu (umožňující přenosové rychlosti 30 </w:t>
            </w:r>
            <w:proofErr w:type="spellStart"/>
            <w:r w:rsidRPr="00A64D22">
              <w:rPr>
                <w:rFonts w:ascii="Times New Roman" w:eastAsia="Times New Roman" w:hAnsi="Times New Roman" w:cs="Times New Roman"/>
                <w:color w:val="000000"/>
                <w:sz w:val="18"/>
                <w:szCs w:val="18"/>
                <w:lang w:eastAsia="cs-CZ"/>
              </w:rPr>
              <w:t>Mbit</w:t>
            </w:r>
            <w:proofErr w:type="spellEnd"/>
            <w:r w:rsidRPr="00A64D22">
              <w:rPr>
                <w:rFonts w:ascii="Times New Roman" w:eastAsia="Times New Roman" w:hAnsi="Times New Roman" w:cs="Times New Roman"/>
                <w:color w:val="000000"/>
                <w:sz w:val="18"/>
                <w:szCs w:val="18"/>
                <w:lang w:eastAsia="cs-CZ"/>
              </w:rPr>
              <w:t xml:space="preserve">/s do roku 2020 pro všechny obyvatele a 100 </w:t>
            </w:r>
            <w:proofErr w:type="spellStart"/>
            <w:r w:rsidRPr="00A64D22">
              <w:rPr>
                <w:rFonts w:ascii="Times New Roman" w:eastAsia="Times New Roman" w:hAnsi="Times New Roman" w:cs="Times New Roman"/>
                <w:color w:val="000000"/>
                <w:sz w:val="18"/>
                <w:szCs w:val="18"/>
                <w:lang w:eastAsia="cs-CZ"/>
              </w:rPr>
              <w:t>Mbit</w:t>
            </w:r>
            <w:proofErr w:type="spellEnd"/>
            <w:r w:rsidRPr="00A64D22">
              <w:rPr>
                <w:rFonts w:ascii="Times New Roman" w:eastAsia="Times New Roman" w:hAnsi="Times New Roman" w:cs="Times New Roman"/>
                <w:color w:val="000000"/>
                <w:sz w:val="18"/>
                <w:szCs w:val="18"/>
                <w:lang w:eastAsia="cs-CZ"/>
              </w:rPr>
              <w:t>/s minimálně pro polovinu domácností).</w:t>
            </w:r>
          </w:p>
        </w:tc>
      </w:tr>
      <w:tr w:rsidR="00E05D31" w:rsidRPr="00A64D22" w:rsidTr="002921DB">
        <w:trPr>
          <w:trHeight w:val="765"/>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Zlepšení parametrů této infrastruktury jako jsou rychlost, kapacita a bezpečnost</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TC 2</w:t>
            </w:r>
          </w:p>
        </w:tc>
        <w:tc>
          <w:tcPr>
            <w:tcW w:w="5157" w:type="dxa"/>
            <w:tcBorders>
              <w:top w:val="nil"/>
              <w:left w:val="nil"/>
              <w:bottom w:val="single" w:sz="4" w:space="0" w:color="auto"/>
              <w:right w:val="sing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Zvýšení kvality a dostupnosti infrastruktury pro vysokorychlostní přístup k internetu (umožňující přenosové rychlosti 30 </w:t>
            </w:r>
            <w:proofErr w:type="spellStart"/>
            <w:r w:rsidRPr="00A64D22">
              <w:rPr>
                <w:rFonts w:ascii="Times New Roman" w:eastAsia="Times New Roman" w:hAnsi="Times New Roman" w:cs="Times New Roman"/>
                <w:color w:val="000000"/>
                <w:sz w:val="18"/>
                <w:szCs w:val="18"/>
                <w:lang w:eastAsia="cs-CZ"/>
              </w:rPr>
              <w:t>Mbit</w:t>
            </w:r>
            <w:proofErr w:type="spellEnd"/>
            <w:r w:rsidRPr="00A64D22">
              <w:rPr>
                <w:rFonts w:ascii="Times New Roman" w:eastAsia="Times New Roman" w:hAnsi="Times New Roman" w:cs="Times New Roman"/>
                <w:color w:val="000000"/>
                <w:sz w:val="18"/>
                <w:szCs w:val="18"/>
                <w:lang w:eastAsia="cs-CZ"/>
              </w:rPr>
              <w:t xml:space="preserve">/s do roku 2020 pro všechny obyvatele a 100 </w:t>
            </w:r>
            <w:proofErr w:type="spellStart"/>
            <w:r w:rsidRPr="00A64D22">
              <w:rPr>
                <w:rFonts w:ascii="Times New Roman" w:eastAsia="Times New Roman" w:hAnsi="Times New Roman" w:cs="Times New Roman"/>
                <w:color w:val="000000"/>
                <w:sz w:val="18"/>
                <w:szCs w:val="18"/>
                <w:lang w:eastAsia="cs-CZ"/>
              </w:rPr>
              <w:t>Mbit</w:t>
            </w:r>
            <w:proofErr w:type="spellEnd"/>
            <w:r w:rsidRPr="00A64D22">
              <w:rPr>
                <w:rFonts w:ascii="Times New Roman" w:eastAsia="Times New Roman" w:hAnsi="Times New Roman" w:cs="Times New Roman"/>
                <w:color w:val="000000"/>
                <w:sz w:val="18"/>
                <w:szCs w:val="18"/>
                <w:lang w:eastAsia="cs-CZ"/>
              </w:rPr>
              <w:t>/s minimálně pro polovinu domácností).</w:t>
            </w:r>
          </w:p>
        </w:tc>
      </w:tr>
      <w:tr w:rsidR="00E05D31" w:rsidRPr="00A64D22" w:rsidTr="002921DB">
        <w:trPr>
          <w:trHeight w:val="765"/>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Usnadnění rozvoje podnikání a přístupu ke službám státu jak pro obyvatelstvo, tak pro podnikatelský sektor. S tím souvisí růst hrubého domácího produktu a zvyšování zaměstnanosti v ekonomice jako celku</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w:t>
            </w: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w:t>
            </w:r>
          </w:p>
        </w:tc>
      </w:tr>
      <w:tr w:rsidR="00E05D31" w:rsidRPr="00A64D22" w:rsidTr="002921DB">
        <w:trPr>
          <w:trHeight w:val="510"/>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Rozšíření nabídky digitálních služeb např. v oblasti komunikace, zábavy, obchodování, vzdělávání, zdravotnictví či přístupu k zaměstnání</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FA7C74" w:rsidP="00E05D31">
            <w:pPr>
              <w:jc w:val="center"/>
              <w:rPr>
                <w:rFonts w:ascii="Times New Roman" w:eastAsia="Times New Roman" w:hAnsi="Times New Roman" w:cs="Times New Roman"/>
                <w:color w:val="000000"/>
                <w:sz w:val="18"/>
                <w:szCs w:val="18"/>
                <w:lang w:eastAsia="cs-CZ"/>
              </w:rPr>
            </w:pPr>
            <w:r>
              <w:rPr>
                <w:rFonts w:ascii="Times New Roman" w:eastAsia="Times New Roman" w:hAnsi="Times New Roman" w:cs="Times New Roman"/>
                <w:color w:val="000000"/>
                <w:sz w:val="18"/>
                <w:szCs w:val="18"/>
                <w:lang w:eastAsia="cs-CZ"/>
              </w:rPr>
              <w:t>TC 2</w:t>
            </w:r>
            <w:r w:rsidR="00E05D31" w:rsidRPr="00A64D22">
              <w:rPr>
                <w:rFonts w:ascii="Times New Roman" w:eastAsia="Times New Roman" w:hAnsi="Times New Roman" w:cs="Times New Roman"/>
                <w:color w:val="000000"/>
                <w:sz w:val="18"/>
                <w:szCs w:val="18"/>
                <w:lang w:eastAsia="cs-CZ"/>
              </w:rPr>
              <w:t> </w:t>
            </w: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FA7C74" w:rsidP="00E05D31">
            <w:pPr>
              <w:jc w:val="left"/>
              <w:rPr>
                <w:rFonts w:ascii="Times New Roman" w:eastAsia="Times New Roman" w:hAnsi="Times New Roman" w:cs="Times New Roman"/>
                <w:color w:val="000000"/>
                <w:sz w:val="18"/>
                <w:szCs w:val="18"/>
                <w:lang w:eastAsia="cs-CZ"/>
              </w:rPr>
            </w:pPr>
            <w:r>
              <w:rPr>
                <w:rFonts w:ascii="Times New Roman" w:eastAsia="Times New Roman" w:hAnsi="Times New Roman" w:cs="Times New Roman"/>
                <w:color w:val="000000"/>
                <w:sz w:val="18"/>
                <w:szCs w:val="18"/>
                <w:lang w:eastAsia="cs-CZ"/>
              </w:rPr>
              <w:t>Posílení tvorby (vývoje) a fungování ICT aplikací a služeb, včetně sdílených služeb zahrnujících budování a modernizaci datových center.</w:t>
            </w:r>
          </w:p>
        </w:tc>
      </w:tr>
      <w:tr w:rsidR="00E05D31" w:rsidRPr="00A64D22" w:rsidTr="002921DB">
        <w:trPr>
          <w:trHeight w:val="1020"/>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BD1B5B">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Překonání tzv. „digitální propasti“ mezi městskými a venkovskými oblastmi z hledis</w:t>
            </w:r>
            <w:r w:rsidR="00BD1B5B">
              <w:rPr>
                <w:rFonts w:ascii="Times New Roman" w:eastAsia="Times New Roman" w:hAnsi="Times New Roman" w:cs="Times New Roman"/>
                <w:color w:val="000000"/>
                <w:sz w:val="18"/>
                <w:szCs w:val="18"/>
                <w:lang w:eastAsia="cs-CZ"/>
              </w:rPr>
              <w:t>e</w:t>
            </w:r>
            <w:r w:rsidRPr="00A64D22">
              <w:rPr>
                <w:rFonts w:ascii="Times New Roman" w:eastAsia="Times New Roman" w:hAnsi="Times New Roman" w:cs="Times New Roman"/>
                <w:color w:val="000000"/>
                <w:sz w:val="18"/>
                <w:szCs w:val="18"/>
                <w:lang w:eastAsia="cs-CZ"/>
              </w:rPr>
              <w:t>k, ve kterých nelze soukromé investice na komerční bázi očekávat. Výsledkem bude zvýšení konkurenceschopnosti periferních regionů, které bude současně působit jako prevence proti přemísťování hospodářské činnosti.</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w:t>
            </w: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w:t>
            </w:r>
          </w:p>
        </w:tc>
      </w:tr>
      <w:tr w:rsidR="00E05D31" w:rsidRPr="00A64D22" w:rsidTr="00FA7C74">
        <w:trPr>
          <w:trHeight w:val="224"/>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Zvýšení dostupnosti ICT pro všechny bez ohledu na lokalitu, sociální postavení nebo zdravotní postižení a dále podpora celoživotního vzdělávání za účelem posílení digitální </w:t>
            </w:r>
            <w:r w:rsidRPr="00A64D22">
              <w:rPr>
                <w:rFonts w:ascii="Times New Roman" w:eastAsia="Times New Roman" w:hAnsi="Times New Roman" w:cs="Times New Roman"/>
                <w:color w:val="000000"/>
                <w:sz w:val="18"/>
                <w:szCs w:val="18"/>
                <w:lang w:eastAsia="cs-CZ"/>
              </w:rPr>
              <w:lastRenderedPageBreak/>
              <w:t>gramotnosti a snazší začlenění se do informační společnosti</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FA7C74" w:rsidRDefault="00E05D31" w:rsidP="00E05D31">
            <w:pPr>
              <w:jc w:val="center"/>
              <w:rPr>
                <w:rFonts w:ascii="Times New Roman" w:eastAsia="Times New Roman" w:hAnsi="Times New Roman" w:cs="Times New Roman"/>
                <w:iCs/>
                <w:color w:val="000000"/>
                <w:sz w:val="18"/>
                <w:szCs w:val="18"/>
                <w:lang w:eastAsia="cs-CZ"/>
              </w:rPr>
            </w:pPr>
            <w:r w:rsidRPr="00FA7C74">
              <w:rPr>
                <w:rFonts w:ascii="Times New Roman" w:eastAsia="Times New Roman" w:hAnsi="Times New Roman" w:cs="Times New Roman"/>
                <w:iCs/>
                <w:color w:val="000000"/>
                <w:sz w:val="18"/>
                <w:szCs w:val="18"/>
                <w:lang w:eastAsia="cs-CZ"/>
              </w:rPr>
              <w:lastRenderedPageBreak/>
              <w:t>TC 2</w:t>
            </w:r>
          </w:p>
        </w:tc>
        <w:tc>
          <w:tcPr>
            <w:tcW w:w="5157" w:type="dxa"/>
            <w:tcBorders>
              <w:top w:val="nil"/>
              <w:left w:val="nil"/>
              <w:bottom w:val="single" w:sz="4" w:space="0" w:color="auto"/>
              <w:right w:val="single" w:sz="4" w:space="0" w:color="auto"/>
            </w:tcBorders>
            <w:shd w:val="clear" w:color="auto" w:fill="auto"/>
            <w:hideMark/>
          </w:tcPr>
          <w:p w:rsidR="00E05D31" w:rsidRPr="00FA7C74" w:rsidRDefault="00E05D31" w:rsidP="00E05D31">
            <w:pPr>
              <w:jc w:val="left"/>
              <w:rPr>
                <w:rFonts w:ascii="Times New Roman" w:eastAsia="Times New Roman" w:hAnsi="Times New Roman" w:cs="Times New Roman"/>
                <w:iCs/>
                <w:color w:val="000000"/>
                <w:sz w:val="18"/>
                <w:szCs w:val="18"/>
                <w:lang w:eastAsia="cs-CZ"/>
              </w:rPr>
            </w:pPr>
            <w:r w:rsidRPr="00FA7C74">
              <w:rPr>
                <w:rFonts w:ascii="Times New Roman" w:eastAsia="Times New Roman" w:hAnsi="Times New Roman" w:cs="Times New Roman"/>
                <w:iCs/>
                <w:color w:val="000000"/>
                <w:sz w:val="18"/>
                <w:szCs w:val="18"/>
                <w:lang w:eastAsia="cs-CZ"/>
              </w:rPr>
              <w:t xml:space="preserve">Zvýšení kvality a dostupnosti infrastruktury pro vysokorychlostní přístup k internetu (umožňující přenosové rychlosti 30 </w:t>
            </w:r>
            <w:proofErr w:type="spellStart"/>
            <w:r w:rsidRPr="00FA7C74">
              <w:rPr>
                <w:rFonts w:ascii="Times New Roman" w:eastAsia="Times New Roman" w:hAnsi="Times New Roman" w:cs="Times New Roman"/>
                <w:iCs/>
                <w:color w:val="000000"/>
                <w:sz w:val="18"/>
                <w:szCs w:val="18"/>
                <w:lang w:eastAsia="cs-CZ"/>
              </w:rPr>
              <w:t>Mbit</w:t>
            </w:r>
            <w:proofErr w:type="spellEnd"/>
            <w:r w:rsidRPr="00FA7C74">
              <w:rPr>
                <w:rFonts w:ascii="Times New Roman" w:eastAsia="Times New Roman" w:hAnsi="Times New Roman" w:cs="Times New Roman"/>
                <w:iCs/>
                <w:color w:val="000000"/>
                <w:sz w:val="18"/>
                <w:szCs w:val="18"/>
                <w:lang w:eastAsia="cs-CZ"/>
              </w:rPr>
              <w:t xml:space="preserve">/s do roku 2020 pro všechny obyvatele a 100 </w:t>
            </w:r>
            <w:proofErr w:type="spellStart"/>
            <w:r w:rsidRPr="00FA7C74">
              <w:rPr>
                <w:rFonts w:ascii="Times New Roman" w:eastAsia="Times New Roman" w:hAnsi="Times New Roman" w:cs="Times New Roman"/>
                <w:iCs/>
                <w:color w:val="000000"/>
                <w:sz w:val="18"/>
                <w:szCs w:val="18"/>
                <w:lang w:eastAsia="cs-CZ"/>
              </w:rPr>
              <w:t>Mbit</w:t>
            </w:r>
            <w:proofErr w:type="spellEnd"/>
            <w:r w:rsidRPr="00FA7C74">
              <w:rPr>
                <w:rFonts w:ascii="Times New Roman" w:eastAsia="Times New Roman" w:hAnsi="Times New Roman" w:cs="Times New Roman"/>
                <w:iCs/>
                <w:color w:val="000000"/>
                <w:sz w:val="18"/>
                <w:szCs w:val="18"/>
                <w:lang w:eastAsia="cs-CZ"/>
              </w:rPr>
              <w:t xml:space="preserve">/s minimálně pro </w:t>
            </w:r>
            <w:r w:rsidRPr="00FA7C74">
              <w:rPr>
                <w:rFonts w:ascii="Times New Roman" w:eastAsia="Times New Roman" w:hAnsi="Times New Roman" w:cs="Times New Roman"/>
                <w:iCs/>
                <w:color w:val="000000"/>
                <w:sz w:val="18"/>
                <w:szCs w:val="18"/>
                <w:lang w:eastAsia="cs-CZ"/>
              </w:rPr>
              <w:lastRenderedPageBreak/>
              <w:t>polovinu domácností).</w:t>
            </w:r>
          </w:p>
        </w:tc>
      </w:tr>
      <w:tr w:rsidR="00E05D31" w:rsidRPr="00A64D22" w:rsidTr="002921DB">
        <w:trPr>
          <w:trHeight w:val="510"/>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val="restart"/>
            <w:tcBorders>
              <w:top w:val="nil"/>
              <w:left w:val="single" w:sz="4" w:space="0" w:color="auto"/>
              <w:bottom w:val="single" w:sz="4" w:space="0" w:color="auto"/>
              <w:right w:val="single" w:sz="4" w:space="0" w:color="auto"/>
            </w:tcBorders>
            <w:shd w:val="clear" w:color="auto" w:fill="auto"/>
            <w:hideMark/>
          </w:tcPr>
          <w:p w:rsidR="00E05D31" w:rsidRPr="00A64D22" w:rsidRDefault="00E05D31" w:rsidP="00A83F96">
            <w:pPr>
              <w:jc w:val="left"/>
              <w:rPr>
                <w:rFonts w:ascii="Times New Roman" w:eastAsia="Times New Roman" w:hAnsi="Times New Roman" w:cs="Times New Roman"/>
                <w:b/>
                <w:bCs/>
                <w:color w:val="000000"/>
                <w:sz w:val="18"/>
                <w:szCs w:val="18"/>
                <w:lang w:eastAsia="cs-CZ"/>
              </w:rPr>
            </w:pPr>
            <w:r w:rsidRPr="00A64D22">
              <w:rPr>
                <w:rFonts w:ascii="Times New Roman" w:eastAsia="Times New Roman" w:hAnsi="Times New Roman" w:cs="Times New Roman"/>
                <w:b/>
                <w:bCs/>
                <w:color w:val="000000"/>
                <w:sz w:val="18"/>
                <w:szCs w:val="18"/>
                <w:lang w:eastAsia="cs-CZ"/>
              </w:rPr>
              <w:t>4.2 Zvýšit úroveň nejmodernějších a pokročilých ICT</w:t>
            </w:r>
          </w:p>
        </w:tc>
        <w:tc>
          <w:tcPr>
            <w:tcW w:w="4819" w:type="dxa"/>
            <w:tcBorders>
              <w:top w:val="nil"/>
              <w:left w:val="nil"/>
              <w:bottom w:val="single" w:sz="4" w:space="0" w:color="auto"/>
              <w:right w:val="double" w:sz="4" w:space="0" w:color="auto"/>
            </w:tcBorders>
            <w:shd w:val="clear" w:color="auto" w:fill="auto"/>
            <w:hideMark/>
          </w:tcPr>
          <w:p w:rsidR="00306A6B" w:rsidRPr="00A64D22" w:rsidRDefault="00306A6B" w:rsidP="00E05D31">
            <w:pPr>
              <w:jc w:val="left"/>
              <w:rPr>
                <w:rFonts w:ascii="Times New Roman" w:eastAsia="Times New Roman" w:hAnsi="Times New Roman" w:cs="Times New Roman"/>
                <w:color w:val="000000"/>
                <w:sz w:val="18"/>
                <w:szCs w:val="18"/>
                <w:lang w:eastAsia="cs-CZ"/>
              </w:rPr>
            </w:pPr>
            <w:r w:rsidRPr="00306A6B">
              <w:rPr>
                <w:rFonts w:ascii="Times New Roman" w:eastAsia="Times New Roman" w:hAnsi="Times New Roman" w:cs="Times New Roman"/>
                <w:color w:val="000000"/>
                <w:sz w:val="18"/>
                <w:szCs w:val="18"/>
                <w:lang w:eastAsia="cs-CZ"/>
              </w:rPr>
              <w:t xml:space="preserve">Rozšíření a zvýšení a nabídky nových informačních systémů, ICT řešení a vysoce sofistikovaných ICT nástrojů, </w:t>
            </w:r>
            <w:proofErr w:type="spellStart"/>
            <w:r w:rsidRPr="00306A6B">
              <w:rPr>
                <w:rFonts w:ascii="Times New Roman" w:eastAsia="Times New Roman" w:hAnsi="Times New Roman" w:cs="Times New Roman"/>
                <w:color w:val="000000"/>
                <w:sz w:val="18"/>
                <w:szCs w:val="18"/>
                <w:lang w:eastAsia="cs-CZ"/>
              </w:rPr>
              <w:t>cloudových</w:t>
            </w:r>
            <w:proofErr w:type="spellEnd"/>
            <w:r w:rsidRPr="00306A6B">
              <w:rPr>
                <w:rFonts w:ascii="Times New Roman" w:eastAsia="Times New Roman" w:hAnsi="Times New Roman" w:cs="Times New Roman"/>
                <w:color w:val="000000"/>
                <w:sz w:val="18"/>
                <w:szCs w:val="18"/>
                <w:lang w:eastAsia="cs-CZ"/>
              </w:rPr>
              <w:t xml:space="preserve"> řešení a </w:t>
            </w:r>
            <w:r w:rsidRPr="00C76403">
              <w:rPr>
                <w:rFonts w:ascii="Times New Roman" w:eastAsia="Times New Roman" w:hAnsi="Times New Roman" w:cs="Times New Roman"/>
                <w:color w:val="000000"/>
                <w:sz w:val="18"/>
                <w:szCs w:val="18"/>
                <w:lang w:eastAsia="cs-CZ"/>
              </w:rPr>
              <w:t>služeb a nových softwarových produktů a služeb, moderních a pokrokových digitálních služeb a aplikací např. v oblasti komunikace, zábavy, obchodování, vzdělávání, zdravotnictví nebo přístupu k zaměstnání. Očekávanou změnou je zvýšení nabídky ICT řešení, sdílených služeb a služeb datových center. Podpora je tedy orientována na nabídkovou stranu tzn. na ICT firmy, které vytvářejí vlastní ICT řešení. Smyslem tohoto specifického cíle není prosté vybavení podniků hardwarem či softwarem. Zákazníci, tj. podnikatelské subjekty a obyvatelé využívající IT, budou tato řešení a služby poptávat, což v konečném důsledku povede ke snížení jejich nákladů a zvýšení konkurenceschopnosti.</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TC 2</w:t>
            </w:r>
          </w:p>
        </w:tc>
        <w:tc>
          <w:tcPr>
            <w:tcW w:w="5157" w:type="dxa"/>
            <w:tcBorders>
              <w:top w:val="nil"/>
              <w:left w:val="nil"/>
              <w:bottom w:val="single" w:sz="4" w:space="0" w:color="auto"/>
              <w:right w:val="sing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Posílení tvorby (vývoje) a fungování ICT aplikací a služeb, včetně sdílených služeb zahrnujících budování a modernizaci datových center.</w:t>
            </w:r>
          </w:p>
        </w:tc>
      </w:tr>
      <w:tr w:rsidR="00E05D31" w:rsidRPr="00A64D22" w:rsidTr="002921DB">
        <w:trPr>
          <w:trHeight w:val="765"/>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Symbol" w:hAnsi="Times New Roman" w:cs="Times New Roman"/>
                <w:color w:val="000000"/>
                <w:sz w:val="18"/>
                <w:szCs w:val="18"/>
                <w:lang w:eastAsia="cs-CZ"/>
              </w:rPr>
              <w:t>Lepší uplatnění produktů českých IT podniků na globálním trhu. Specifický cíl pomůže českým podnikům dostat se do povědomí zahraničních zákazníků jako dodavatelé kvalitních ICT řešení.</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w:t>
            </w:r>
            <w:r w:rsidR="00284EE0">
              <w:rPr>
                <w:rFonts w:ascii="Times New Roman" w:eastAsia="Times New Roman" w:hAnsi="Times New Roman" w:cs="Times New Roman"/>
                <w:color w:val="000000"/>
                <w:sz w:val="18"/>
                <w:szCs w:val="18"/>
                <w:lang w:eastAsia="cs-CZ"/>
              </w:rPr>
              <w:t>TC 2</w:t>
            </w: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C76403"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Posílení tvorby (vývoje) a fungování ICT aplikací a služeb, včetně sdílených služeb zahrnujících budování a modernizaci datových center.</w:t>
            </w:r>
          </w:p>
        </w:tc>
      </w:tr>
      <w:tr w:rsidR="00E05D31" w:rsidRPr="00A64D22" w:rsidTr="002921DB">
        <w:trPr>
          <w:trHeight w:val="765"/>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306A6B" w:rsidRPr="00306A6B" w:rsidRDefault="00306A6B" w:rsidP="00306A6B">
            <w:pPr>
              <w:jc w:val="left"/>
              <w:rPr>
                <w:rFonts w:ascii="Times New Roman" w:eastAsia="Symbol" w:hAnsi="Times New Roman" w:cs="Times New Roman"/>
                <w:color w:val="000000"/>
                <w:sz w:val="18"/>
                <w:szCs w:val="18"/>
                <w:lang w:eastAsia="cs-CZ"/>
              </w:rPr>
            </w:pPr>
            <w:r w:rsidRPr="00306A6B">
              <w:rPr>
                <w:rFonts w:ascii="Times New Roman" w:eastAsia="Symbol" w:hAnsi="Times New Roman" w:cs="Times New Roman"/>
                <w:color w:val="000000"/>
                <w:sz w:val="18"/>
                <w:szCs w:val="18"/>
                <w:lang w:eastAsia="cs-CZ"/>
              </w:rPr>
              <w:t>Vývojem nových ICT řešení dojde sekundárně k rozvoji znalostí a dovedností IT odborníků, kteří tak budou schopni pružně reagovat na velmi dynamicky se vyvíjející trendy v tomto odvětví. Obecně potom dojde k rozvoji lidských zdrojů, zejména s ohledem na jejich mobilitu, což přispěje ke tvorbě vysoce kvalifikovaných pracovních míst v sektoru služeb.</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w:t>
            </w: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w:t>
            </w:r>
          </w:p>
        </w:tc>
      </w:tr>
      <w:tr w:rsidR="00E05D31" w:rsidRPr="00A64D22" w:rsidTr="00306A6B">
        <w:trPr>
          <w:trHeight w:val="1217"/>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306A6B" w:rsidRDefault="00306A6B" w:rsidP="00E05D31">
            <w:pPr>
              <w:jc w:val="left"/>
              <w:rPr>
                <w:rFonts w:ascii="Times New Roman" w:eastAsia="Symbol" w:hAnsi="Times New Roman" w:cs="Times New Roman"/>
                <w:color w:val="000000"/>
                <w:sz w:val="18"/>
                <w:szCs w:val="18"/>
                <w:lang w:eastAsia="cs-CZ"/>
              </w:rPr>
            </w:pPr>
            <w:r w:rsidRPr="00306A6B">
              <w:rPr>
                <w:rFonts w:ascii="Times New Roman" w:eastAsia="Symbol" w:hAnsi="Times New Roman" w:cs="Times New Roman"/>
                <w:color w:val="000000"/>
                <w:sz w:val="18"/>
                <w:szCs w:val="18"/>
                <w:lang w:eastAsia="cs-CZ"/>
              </w:rPr>
              <w:t>Prostřednictvím sdílených služeb přispět ke snižování investičních nákladů a nákladovosti procesů a zvyšování efektivity činností v podnicích, a tím ke zvyšování jejich konkurenceschopnosti. Dojde k úsporám z rozsahu, kdy sdílené služby mohou být nabízeny a poskytovány více uživatelům současně</w:t>
            </w:r>
            <w:r>
              <w:rPr>
                <w:rFonts w:ascii="Times New Roman" w:eastAsia="Symbol" w:hAnsi="Times New Roman" w:cs="Times New Roman"/>
                <w:color w:val="000000"/>
                <w:sz w:val="18"/>
                <w:szCs w:val="18"/>
                <w:lang w:eastAsia="cs-CZ"/>
              </w:rPr>
              <w:t>.</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w:t>
            </w:r>
            <w:r w:rsidR="00FA7C74">
              <w:rPr>
                <w:rFonts w:ascii="Times New Roman" w:eastAsia="Times New Roman" w:hAnsi="Times New Roman" w:cs="Times New Roman"/>
                <w:color w:val="000000"/>
                <w:sz w:val="18"/>
                <w:szCs w:val="18"/>
                <w:lang w:eastAsia="cs-CZ"/>
              </w:rPr>
              <w:t>TC 2</w:t>
            </w:r>
          </w:p>
        </w:tc>
        <w:tc>
          <w:tcPr>
            <w:tcW w:w="5157" w:type="dxa"/>
            <w:tcBorders>
              <w:top w:val="nil"/>
              <w:left w:val="nil"/>
              <w:bottom w:val="single" w:sz="4" w:space="0" w:color="auto"/>
              <w:right w:val="single" w:sz="4" w:space="0" w:color="auto"/>
            </w:tcBorders>
            <w:shd w:val="clear" w:color="auto" w:fill="auto"/>
            <w:hideMark/>
          </w:tcPr>
          <w:p w:rsidR="00E05D31" w:rsidRPr="00A64D22" w:rsidRDefault="00FF1A19" w:rsidP="00FA7C74">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Posílení tvorby (vývoje) a fungování ICT aplikací a služeb, včetně sdílených služeb zahrnujících budování a modernizaci datových center.</w:t>
            </w:r>
          </w:p>
        </w:tc>
      </w:tr>
      <w:tr w:rsidR="00E05D31" w:rsidRPr="00A64D22" w:rsidTr="002921DB">
        <w:trPr>
          <w:trHeight w:val="765"/>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306A6B" w:rsidRPr="00306A6B" w:rsidRDefault="00E05D31" w:rsidP="00306A6B">
            <w:pPr>
              <w:jc w:val="left"/>
              <w:rPr>
                <w:rFonts w:ascii="Times New Roman" w:eastAsia="Symbol" w:hAnsi="Times New Roman" w:cs="Times New Roman"/>
                <w:color w:val="000000"/>
                <w:sz w:val="18"/>
                <w:szCs w:val="18"/>
                <w:lang w:eastAsia="cs-CZ"/>
              </w:rPr>
            </w:pPr>
            <w:r w:rsidRPr="00A64D22">
              <w:rPr>
                <w:rFonts w:ascii="Times New Roman" w:eastAsia="Symbol" w:hAnsi="Times New Roman" w:cs="Times New Roman"/>
                <w:color w:val="000000"/>
                <w:sz w:val="18"/>
                <w:szCs w:val="18"/>
                <w:lang w:eastAsia="cs-CZ"/>
              </w:rPr>
              <w:t>V oblasti sdílených služeb specifický cíl rovněž přispěje k potvrzení pozice Č</w:t>
            </w:r>
            <w:r w:rsidR="00306A6B">
              <w:rPr>
                <w:rFonts w:ascii="Times New Roman" w:eastAsia="Symbol" w:hAnsi="Times New Roman" w:cs="Times New Roman"/>
                <w:color w:val="000000"/>
                <w:sz w:val="18"/>
                <w:szCs w:val="18"/>
                <w:lang w:eastAsia="cs-CZ"/>
              </w:rPr>
              <w:t>R</w:t>
            </w:r>
            <w:r w:rsidRPr="00A64D22">
              <w:rPr>
                <w:rFonts w:ascii="Times New Roman" w:eastAsia="Symbol" w:hAnsi="Times New Roman" w:cs="Times New Roman"/>
                <w:color w:val="000000"/>
                <w:sz w:val="18"/>
                <w:szCs w:val="18"/>
                <w:lang w:eastAsia="cs-CZ"/>
              </w:rPr>
              <w:t xml:space="preserve"> jako ideální lokace pro umístění velkých center sdílených služeb a budování datových center.</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w:t>
            </w:r>
            <w:r w:rsidR="00284EE0">
              <w:rPr>
                <w:rFonts w:ascii="Times New Roman" w:eastAsia="Times New Roman" w:hAnsi="Times New Roman" w:cs="Times New Roman"/>
                <w:color w:val="000000"/>
                <w:sz w:val="18"/>
                <w:szCs w:val="18"/>
                <w:lang w:eastAsia="cs-CZ"/>
              </w:rPr>
              <w:t>TC 2</w:t>
            </w: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284EE0"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Posílení tvorby (vývoje) a fungování ICT aplikací a služeb, včetně sdílených služeb zahrnujících budování a modernizaci datových center.</w:t>
            </w:r>
          </w:p>
        </w:tc>
      </w:tr>
      <w:tr w:rsidR="00E05D31" w:rsidRPr="00A64D22" w:rsidTr="002921DB">
        <w:trPr>
          <w:trHeight w:val="255"/>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Rozvoj informační a znalostní společnosti</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w:t>
            </w: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w:t>
            </w:r>
          </w:p>
        </w:tc>
      </w:tr>
      <w:tr w:rsidR="005B094E" w:rsidRPr="00A64D22" w:rsidTr="005B094E">
        <w:trPr>
          <w:trHeight w:val="510"/>
        </w:trPr>
        <w:tc>
          <w:tcPr>
            <w:tcW w:w="1060" w:type="dxa"/>
            <w:vMerge w:val="restart"/>
            <w:tcBorders>
              <w:top w:val="nil"/>
              <w:left w:val="single" w:sz="4" w:space="0" w:color="auto"/>
              <w:bottom w:val="single" w:sz="4" w:space="0" w:color="auto"/>
              <w:right w:val="single" w:sz="4" w:space="0" w:color="auto"/>
            </w:tcBorders>
            <w:shd w:val="clear" w:color="auto" w:fill="auto"/>
            <w:hideMark/>
          </w:tcPr>
          <w:p w:rsidR="005B094E" w:rsidRPr="00A64D22" w:rsidRDefault="005B094E" w:rsidP="00E05D31">
            <w:pPr>
              <w:jc w:val="center"/>
              <w:rPr>
                <w:rFonts w:ascii="Times New Roman" w:eastAsia="Times New Roman" w:hAnsi="Times New Roman" w:cs="Times New Roman"/>
                <w:b/>
                <w:bCs/>
                <w:color w:val="000000"/>
                <w:sz w:val="18"/>
                <w:szCs w:val="18"/>
                <w:lang w:eastAsia="cs-CZ"/>
              </w:rPr>
            </w:pPr>
            <w:r w:rsidRPr="00A64D22">
              <w:rPr>
                <w:rFonts w:ascii="Times New Roman" w:eastAsia="Times New Roman" w:hAnsi="Times New Roman" w:cs="Times New Roman"/>
                <w:b/>
                <w:bCs/>
                <w:color w:val="000000"/>
                <w:sz w:val="18"/>
                <w:szCs w:val="18"/>
                <w:lang w:eastAsia="cs-CZ"/>
              </w:rPr>
              <w:t>TC 3</w:t>
            </w:r>
          </w:p>
        </w:tc>
        <w:tc>
          <w:tcPr>
            <w:tcW w:w="2206" w:type="dxa"/>
            <w:vMerge w:val="restart"/>
            <w:tcBorders>
              <w:top w:val="nil"/>
              <w:left w:val="single" w:sz="4" w:space="0" w:color="auto"/>
              <w:right w:val="single" w:sz="4" w:space="0" w:color="auto"/>
            </w:tcBorders>
            <w:shd w:val="clear" w:color="auto" w:fill="auto"/>
            <w:hideMark/>
          </w:tcPr>
          <w:p w:rsidR="005B094E" w:rsidRPr="00A64D22" w:rsidRDefault="005B094E" w:rsidP="00E05D31">
            <w:pPr>
              <w:jc w:val="left"/>
              <w:rPr>
                <w:rFonts w:ascii="Times New Roman" w:eastAsia="Times New Roman" w:hAnsi="Times New Roman" w:cs="Times New Roman"/>
                <w:b/>
                <w:bCs/>
                <w:color w:val="000000"/>
                <w:sz w:val="18"/>
                <w:szCs w:val="18"/>
                <w:lang w:eastAsia="cs-CZ"/>
              </w:rPr>
            </w:pPr>
            <w:r w:rsidRPr="00A64D22">
              <w:rPr>
                <w:rFonts w:ascii="Times New Roman" w:eastAsia="Times New Roman" w:hAnsi="Times New Roman" w:cs="Times New Roman"/>
                <w:b/>
                <w:bCs/>
                <w:color w:val="000000"/>
                <w:sz w:val="18"/>
                <w:szCs w:val="18"/>
                <w:lang w:eastAsia="cs-CZ"/>
              </w:rPr>
              <w:t xml:space="preserve">2.1 Zvýšit počet nových podnikatelských záměrů </w:t>
            </w:r>
            <w:r w:rsidRPr="00A64D22">
              <w:rPr>
                <w:rFonts w:ascii="Times New Roman" w:eastAsia="Times New Roman" w:hAnsi="Times New Roman" w:cs="Times New Roman"/>
                <w:b/>
                <w:bCs/>
                <w:color w:val="000000"/>
                <w:sz w:val="18"/>
                <w:szCs w:val="18"/>
                <w:lang w:eastAsia="cs-CZ"/>
              </w:rPr>
              <w:lastRenderedPageBreak/>
              <w:t>začínajících a rozvojových podniků</w:t>
            </w:r>
          </w:p>
        </w:tc>
        <w:tc>
          <w:tcPr>
            <w:tcW w:w="4819" w:type="dxa"/>
            <w:tcBorders>
              <w:top w:val="nil"/>
              <w:left w:val="nil"/>
              <w:bottom w:val="single" w:sz="4" w:space="0" w:color="auto"/>
              <w:right w:val="double" w:sz="4" w:space="0" w:color="auto"/>
            </w:tcBorders>
            <w:shd w:val="clear" w:color="auto" w:fill="auto"/>
            <w:hideMark/>
          </w:tcPr>
          <w:p w:rsidR="005B094E" w:rsidRPr="00A64D22" w:rsidRDefault="005B094E" w:rsidP="00A8598D">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lastRenderedPageBreak/>
              <w:t>Rozvoj a posílení endogenního podnikatelského sektoru, vznik nových podniků</w:t>
            </w:r>
            <w:r w:rsidR="00A8598D">
              <w:rPr>
                <w:rFonts w:ascii="Times New Roman" w:eastAsia="Times New Roman" w:hAnsi="Times New Roman" w:cs="Times New Roman"/>
                <w:color w:val="000000"/>
                <w:sz w:val="18"/>
                <w:szCs w:val="18"/>
                <w:lang w:eastAsia="cs-CZ"/>
              </w:rPr>
              <w:t>.</w:t>
            </w:r>
          </w:p>
        </w:tc>
        <w:tc>
          <w:tcPr>
            <w:tcW w:w="1080" w:type="dxa"/>
            <w:tcBorders>
              <w:top w:val="nil"/>
              <w:left w:val="double" w:sz="4" w:space="0" w:color="auto"/>
              <w:bottom w:val="single" w:sz="4" w:space="0" w:color="auto"/>
              <w:right w:val="single" w:sz="4" w:space="0" w:color="auto"/>
            </w:tcBorders>
            <w:shd w:val="clear" w:color="auto" w:fill="auto"/>
            <w:hideMark/>
          </w:tcPr>
          <w:p w:rsidR="005B094E" w:rsidRPr="00A64D22" w:rsidRDefault="005B094E"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TC 3</w:t>
            </w:r>
          </w:p>
        </w:tc>
        <w:tc>
          <w:tcPr>
            <w:tcW w:w="5157" w:type="dxa"/>
            <w:tcBorders>
              <w:top w:val="nil"/>
              <w:left w:val="nil"/>
              <w:bottom w:val="single" w:sz="4" w:space="0" w:color="auto"/>
              <w:right w:val="single" w:sz="4" w:space="0" w:color="auto"/>
            </w:tcBorders>
            <w:shd w:val="clear" w:color="auto" w:fill="auto"/>
            <w:hideMark/>
          </w:tcPr>
          <w:p w:rsidR="005B094E" w:rsidRPr="00A64D22" w:rsidRDefault="005B094E" w:rsidP="00E05D31">
            <w:pPr>
              <w:jc w:val="left"/>
              <w:rPr>
                <w:rFonts w:ascii="Times New Roman" w:eastAsia="Times New Roman" w:hAnsi="Times New Roman" w:cs="Times New Roman"/>
                <w:b/>
                <w:bCs/>
                <w:color w:val="000000"/>
                <w:sz w:val="18"/>
                <w:szCs w:val="18"/>
                <w:lang w:eastAsia="cs-CZ"/>
              </w:rPr>
            </w:pPr>
            <w:r w:rsidRPr="00A64D22">
              <w:rPr>
                <w:rFonts w:ascii="Times New Roman" w:eastAsia="Times New Roman" w:hAnsi="Times New Roman" w:cs="Times New Roman"/>
                <w:b/>
                <w:bCs/>
                <w:color w:val="000000"/>
                <w:sz w:val="18"/>
                <w:szCs w:val="18"/>
                <w:lang w:eastAsia="cs-CZ"/>
              </w:rPr>
              <w:t>Zvýšení počtu nových firem, zejména ve znalostně intenzivních oblastech</w:t>
            </w:r>
          </w:p>
        </w:tc>
      </w:tr>
      <w:tr w:rsidR="005B094E" w:rsidRPr="00A64D22" w:rsidTr="005B094E">
        <w:trPr>
          <w:trHeight w:val="765"/>
        </w:trPr>
        <w:tc>
          <w:tcPr>
            <w:tcW w:w="1060" w:type="dxa"/>
            <w:vMerge/>
            <w:tcBorders>
              <w:top w:val="nil"/>
              <w:left w:val="single" w:sz="4" w:space="0" w:color="auto"/>
              <w:bottom w:val="single" w:sz="4" w:space="0" w:color="auto"/>
              <w:right w:val="single" w:sz="4" w:space="0" w:color="auto"/>
            </w:tcBorders>
            <w:vAlign w:val="center"/>
            <w:hideMark/>
          </w:tcPr>
          <w:p w:rsidR="005B094E" w:rsidRPr="00A64D22" w:rsidRDefault="005B094E" w:rsidP="00E05D31">
            <w:pPr>
              <w:jc w:val="left"/>
              <w:rPr>
                <w:rFonts w:ascii="Times New Roman" w:eastAsia="Times New Roman" w:hAnsi="Times New Roman" w:cs="Times New Roman"/>
                <w:b/>
                <w:bCs/>
                <w:color w:val="000000"/>
                <w:sz w:val="18"/>
                <w:szCs w:val="18"/>
                <w:lang w:eastAsia="cs-CZ"/>
              </w:rPr>
            </w:pPr>
          </w:p>
        </w:tc>
        <w:tc>
          <w:tcPr>
            <w:tcW w:w="2206" w:type="dxa"/>
            <w:vMerge/>
            <w:tcBorders>
              <w:left w:val="single" w:sz="4" w:space="0" w:color="auto"/>
              <w:right w:val="single" w:sz="4" w:space="0" w:color="auto"/>
            </w:tcBorders>
            <w:vAlign w:val="center"/>
            <w:hideMark/>
          </w:tcPr>
          <w:p w:rsidR="005B094E" w:rsidRPr="00A64D22" w:rsidRDefault="005B094E"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single" w:sz="4" w:space="0" w:color="auto"/>
              <w:bottom w:val="single" w:sz="4" w:space="0" w:color="auto"/>
              <w:right w:val="double" w:sz="4" w:space="0" w:color="auto"/>
            </w:tcBorders>
            <w:shd w:val="clear" w:color="auto" w:fill="auto"/>
            <w:hideMark/>
          </w:tcPr>
          <w:p w:rsidR="005B094E" w:rsidRPr="00A64D22" w:rsidRDefault="005B094E"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Zvýšení dostupnosti vnějšího financování pro začínající podnikatele a inovační podniky (zvýšení nabídky zvýhodněného financování), včetně rizikového kapitálu</w:t>
            </w:r>
          </w:p>
        </w:tc>
        <w:tc>
          <w:tcPr>
            <w:tcW w:w="1080" w:type="dxa"/>
            <w:tcBorders>
              <w:top w:val="single" w:sz="4" w:space="0" w:color="auto"/>
              <w:left w:val="double" w:sz="4" w:space="0" w:color="auto"/>
              <w:bottom w:val="single" w:sz="4" w:space="0" w:color="auto"/>
              <w:right w:val="single" w:sz="4" w:space="0" w:color="auto"/>
            </w:tcBorders>
            <w:shd w:val="clear" w:color="auto" w:fill="auto"/>
            <w:hideMark/>
          </w:tcPr>
          <w:p w:rsidR="005B094E" w:rsidRPr="00A64D22" w:rsidRDefault="005B094E"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TC 3</w:t>
            </w:r>
          </w:p>
        </w:tc>
        <w:tc>
          <w:tcPr>
            <w:tcW w:w="5157" w:type="dxa"/>
            <w:tcBorders>
              <w:top w:val="single" w:sz="4" w:space="0" w:color="auto"/>
              <w:left w:val="nil"/>
              <w:bottom w:val="single" w:sz="4" w:space="0" w:color="auto"/>
              <w:right w:val="single" w:sz="4" w:space="0" w:color="auto"/>
            </w:tcBorders>
            <w:shd w:val="clear" w:color="auto" w:fill="auto"/>
            <w:hideMark/>
          </w:tcPr>
          <w:p w:rsidR="005B094E" w:rsidRPr="00A64D22" w:rsidRDefault="005B094E" w:rsidP="00284EE0">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Zvýšení </w:t>
            </w:r>
            <w:r w:rsidR="00284EE0">
              <w:rPr>
                <w:rFonts w:ascii="Times New Roman" w:eastAsia="Times New Roman" w:hAnsi="Times New Roman" w:cs="Times New Roman"/>
                <w:color w:val="000000"/>
                <w:sz w:val="18"/>
                <w:szCs w:val="18"/>
                <w:lang w:eastAsia="cs-CZ"/>
              </w:rPr>
              <w:t>využití finančních nástrojů včetně rizikového kapitálu a jiných zdrojů vnějšího financování pro začínající i rozvíjející se firmy.</w:t>
            </w:r>
          </w:p>
        </w:tc>
      </w:tr>
      <w:tr w:rsidR="005B094E" w:rsidRPr="00A64D22" w:rsidTr="005B094E">
        <w:trPr>
          <w:trHeight w:val="765"/>
        </w:trPr>
        <w:tc>
          <w:tcPr>
            <w:tcW w:w="1060" w:type="dxa"/>
            <w:vMerge/>
            <w:tcBorders>
              <w:top w:val="nil"/>
              <w:left w:val="single" w:sz="4" w:space="0" w:color="auto"/>
              <w:bottom w:val="single" w:sz="4" w:space="0" w:color="auto"/>
              <w:right w:val="single" w:sz="4" w:space="0" w:color="auto"/>
            </w:tcBorders>
            <w:vAlign w:val="center"/>
            <w:hideMark/>
          </w:tcPr>
          <w:p w:rsidR="005B094E" w:rsidRPr="00A64D22" w:rsidRDefault="005B094E" w:rsidP="00E05D31">
            <w:pPr>
              <w:jc w:val="left"/>
              <w:rPr>
                <w:rFonts w:ascii="Times New Roman" w:eastAsia="Times New Roman" w:hAnsi="Times New Roman" w:cs="Times New Roman"/>
                <w:b/>
                <w:bCs/>
                <w:color w:val="000000"/>
                <w:sz w:val="18"/>
                <w:szCs w:val="18"/>
                <w:lang w:eastAsia="cs-CZ"/>
              </w:rPr>
            </w:pPr>
          </w:p>
        </w:tc>
        <w:tc>
          <w:tcPr>
            <w:tcW w:w="2206" w:type="dxa"/>
            <w:vMerge/>
            <w:tcBorders>
              <w:left w:val="single" w:sz="4" w:space="0" w:color="auto"/>
              <w:right w:val="single" w:sz="4" w:space="0" w:color="auto"/>
            </w:tcBorders>
            <w:vAlign w:val="center"/>
            <w:hideMark/>
          </w:tcPr>
          <w:p w:rsidR="005B094E" w:rsidRPr="00A64D22" w:rsidRDefault="005B094E"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5B094E" w:rsidRPr="00A64D22" w:rsidRDefault="005B094E" w:rsidP="00787899">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Vytvoření nových pracovních míst realizací podpořených podnikatelských záměrů povede ke stabilizaci </w:t>
            </w:r>
            <w:r w:rsidR="00787899">
              <w:rPr>
                <w:rFonts w:ascii="Times New Roman" w:eastAsia="Times New Roman" w:hAnsi="Times New Roman" w:cs="Times New Roman"/>
                <w:color w:val="000000"/>
                <w:sz w:val="18"/>
                <w:szCs w:val="18"/>
                <w:lang w:eastAsia="cs-CZ"/>
              </w:rPr>
              <w:t xml:space="preserve">trhu práce a souvisejícího </w:t>
            </w:r>
            <w:r w:rsidRPr="00A64D22">
              <w:rPr>
                <w:rFonts w:ascii="Times New Roman" w:eastAsia="Times New Roman" w:hAnsi="Times New Roman" w:cs="Times New Roman"/>
                <w:color w:val="000000"/>
                <w:sz w:val="18"/>
                <w:szCs w:val="18"/>
                <w:lang w:eastAsia="cs-CZ"/>
              </w:rPr>
              <w:t xml:space="preserve">podnikatelského prostředí </w:t>
            </w:r>
            <w:r w:rsidR="00787899">
              <w:rPr>
                <w:rFonts w:ascii="Times New Roman" w:eastAsia="Times New Roman" w:hAnsi="Times New Roman" w:cs="Times New Roman"/>
                <w:color w:val="000000"/>
                <w:sz w:val="18"/>
                <w:szCs w:val="18"/>
                <w:lang w:eastAsia="cs-CZ"/>
              </w:rPr>
              <w:t>MSP.</w:t>
            </w:r>
          </w:p>
        </w:tc>
        <w:tc>
          <w:tcPr>
            <w:tcW w:w="1080" w:type="dxa"/>
            <w:tcBorders>
              <w:top w:val="single" w:sz="4" w:space="0" w:color="auto"/>
              <w:left w:val="double" w:sz="4" w:space="0" w:color="auto"/>
              <w:bottom w:val="single" w:sz="4" w:space="0" w:color="auto"/>
              <w:right w:val="single" w:sz="4" w:space="0" w:color="auto"/>
            </w:tcBorders>
            <w:shd w:val="clear" w:color="auto" w:fill="auto"/>
            <w:hideMark/>
          </w:tcPr>
          <w:p w:rsidR="005B094E" w:rsidRPr="00A64D22" w:rsidRDefault="005B094E"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w:t>
            </w:r>
          </w:p>
        </w:tc>
        <w:tc>
          <w:tcPr>
            <w:tcW w:w="5157" w:type="dxa"/>
            <w:tcBorders>
              <w:top w:val="single" w:sz="4" w:space="0" w:color="auto"/>
              <w:left w:val="nil"/>
              <w:bottom w:val="single" w:sz="4" w:space="0" w:color="auto"/>
              <w:right w:val="single" w:sz="4" w:space="0" w:color="auto"/>
            </w:tcBorders>
            <w:shd w:val="clear" w:color="auto" w:fill="auto"/>
            <w:vAlign w:val="center"/>
            <w:hideMark/>
          </w:tcPr>
          <w:p w:rsidR="005B094E" w:rsidRPr="00A64D22" w:rsidRDefault="005B094E"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w:t>
            </w:r>
          </w:p>
        </w:tc>
      </w:tr>
      <w:tr w:rsidR="005B094E" w:rsidRPr="00A64D22" w:rsidTr="00C23A04">
        <w:trPr>
          <w:trHeight w:val="510"/>
        </w:trPr>
        <w:tc>
          <w:tcPr>
            <w:tcW w:w="1060" w:type="dxa"/>
            <w:vMerge/>
            <w:tcBorders>
              <w:top w:val="nil"/>
              <w:left w:val="single" w:sz="4" w:space="0" w:color="auto"/>
              <w:bottom w:val="single" w:sz="4" w:space="0" w:color="auto"/>
              <w:right w:val="single" w:sz="4" w:space="0" w:color="auto"/>
            </w:tcBorders>
            <w:vAlign w:val="center"/>
            <w:hideMark/>
          </w:tcPr>
          <w:p w:rsidR="005B094E" w:rsidRPr="00A64D22" w:rsidRDefault="005B094E" w:rsidP="00E05D31">
            <w:pPr>
              <w:jc w:val="left"/>
              <w:rPr>
                <w:rFonts w:ascii="Times New Roman" w:eastAsia="Times New Roman" w:hAnsi="Times New Roman" w:cs="Times New Roman"/>
                <w:b/>
                <w:bCs/>
                <w:color w:val="000000"/>
                <w:sz w:val="18"/>
                <w:szCs w:val="18"/>
                <w:lang w:eastAsia="cs-CZ"/>
              </w:rPr>
            </w:pPr>
          </w:p>
        </w:tc>
        <w:tc>
          <w:tcPr>
            <w:tcW w:w="2206" w:type="dxa"/>
            <w:vMerge/>
            <w:tcBorders>
              <w:left w:val="single" w:sz="4" w:space="0" w:color="auto"/>
              <w:right w:val="single" w:sz="4" w:space="0" w:color="auto"/>
            </w:tcBorders>
            <w:vAlign w:val="center"/>
            <w:hideMark/>
          </w:tcPr>
          <w:p w:rsidR="005B094E" w:rsidRPr="00A64D22" w:rsidRDefault="005B094E"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5B094E" w:rsidRPr="00A64D22" w:rsidRDefault="005B094E"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Rozvoj podnikatelské kultury, podnikavosti a podnikatelství vedoucí k vyšší tvorbě nových podniků </w:t>
            </w:r>
          </w:p>
        </w:tc>
        <w:tc>
          <w:tcPr>
            <w:tcW w:w="1080" w:type="dxa"/>
            <w:tcBorders>
              <w:top w:val="nil"/>
              <w:left w:val="double" w:sz="4" w:space="0" w:color="auto"/>
              <w:bottom w:val="single" w:sz="4" w:space="0" w:color="auto"/>
              <w:right w:val="single" w:sz="4" w:space="0" w:color="auto"/>
            </w:tcBorders>
            <w:shd w:val="clear" w:color="auto" w:fill="auto"/>
            <w:hideMark/>
          </w:tcPr>
          <w:p w:rsidR="005B094E" w:rsidRPr="00A64D22" w:rsidRDefault="005B094E" w:rsidP="00E05D31">
            <w:pPr>
              <w:jc w:val="center"/>
              <w:rPr>
                <w:rFonts w:ascii="Times New Roman" w:eastAsia="Times New Roman" w:hAnsi="Times New Roman" w:cs="Times New Roman"/>
                <w:i/>
                <w:iCs/>
                <w:color w:val="000000"/>
                <w:sz w:val="18"/>
                <w:szCs w:val="18"/>
                <w:lang w:eastAsia="cs-CZ"/>
              </w:rPr>
            </w:pPr>
            <w:r w:rsidRPr="00A64D22">
              <w:rPr>
                <w:rFonts w:ascii="Times New Roman" w:eastAsia="Times New Roman" w:hAnsi="Times New Roman" w:cs="Times New Roman"/>
                <w:i/>
                <w:iCs/>
                <w:color w:val="000000"/>
                <w:sz w:val="18"/>
                <w:szCs w:val="18"/>
                <w:lang w:eastAsia="cs-CZ"/>
              </w:rPr>
              <w:t>TC 3</w:t>
            </w:r>
          </w:p>
        </w:tc>
        <w:tc>
          <w:tcPr>
            <w:tcW w:w="5157" w:type="dxa"/>
            <w:tcBorders>
              <w:top w:val="nil"/>
              <w:left w:val="nil"/>
              <w:bottom w:val="single" w:sz="4" w:space="0" w:color="auto"/>
              <w:right w:val="single" w:sz="4" w:space="0" w:color="auto"/>
            </w:tcBorders>
            <w:shd w:val="clear" w:color="auto" w:fill="auto"/>
            <w:hideMark/>
          </w:tcPr>
          <w:p w:rsidR="005B094E" w:rsidRPr="00A64D22" w:rsidRDefault="005B094E" w:rsidP="00E05D31">
            <w:pPr>
              <w:jc w:val="left"/>
              <w:rPr>
                <w:rFonts w:ascii="Times New Roman" w:eastAsia="Times New Roman" w:hAnsi="Times New Roman" w:cs="Times New Roman"/>
                <w:i/>
                <w:iCs/>
                <w:color w:val="000000"/>
                <w:sz w:val="18"/>
                <w:szCs w:val="18"/>
                <w:lang w:eastAsia="cs-CZ"/>
              </w:rPr>
            </w:pPr>
            <w:r w:rsidRPr="00A64D22">
              <w:rPr>
                <w:rFonts w:ascii="Times New Roman" w:eastAsia="Times New Roman" w:hAnsi="Times New Roman" w:cs="Times New Roman"/>
                <w:i/>
                <w:iCs/>
                <w:color w:val="000000"/>
                <w:sz w:val="18"/>
                <w:szCs w:val="18"/>
                <w:lang w:eastAsia="cs-CZ"/>
              </w:rPr>
              <w:t>Zlepšení image podnikání a podnikatelů ve společnosti</w:t>
            </w:r>
          </w:p>
          <w:p w:rsidR="005B094E" w:rsidRPr="00A64D22" w:rsidRDefault="005B094E" w:rsidP="00E05D31">
            <w:pPr>
              <w:jc w:val="left"/>
              <w:rPr>
                <w:rFonts w:ascii="Times New Roman" w:eastAsia="Times New Roman" w:hAnsi="Times New Roman" w:cs="Times New Roman"/>
                <w:i/>
                <w:iCs/>
                <w:color w:val="000000"/>
                <w:sz w:val="18"/>
                <w:szCs w:val="18"/>
                <w:lang w:eastAsia="cs-CZ"/>
              </w:rPr>
            </w:pPr>
          </w:p>
          <w:p w:rsidR="005B094E" w:rsidRPr="00A64D22" w:rsidRDefault="005B094E" w:rsidP="00E05D31">
            <w:pPr>
              <w:jc w:val="left"/>
              <w:rPr>
                <w:rFonts w:ascii="Times New Roman" w:eastAsia="Times New Roman" w:hAnsi="Times New Roman" w:cs="Times New Roman"/>
                <w:i/>
                <w:iCs/>
                <w:color w:val="000000"/>
                <w:sz w:val="18"/>
                <w:szCs w:val="18"/>
                <w:lang w:eastAsia="cs-CZ"/>
              </w:rPr>
            </w:pPr>
            <w:r w:rsidRPr="00A64D22">
              <w:rPr>
                <w:rFonts w:ascii="Times New Roman" w:eastAsia="Times New Roman" w:hAnsi="Times New Roman" w:cs="Times New Roman"/>
                <w:color w:val="000000"/>
                <w:sz w:val="18"/>
                <w:szCs w:val="18"/>
                <w:lang w:eastAsia="cs-CZ"/>
              </w:rPr>
              <w:t>Zvýšení počtu lidí zahajujících vlastní podnikání</w:t>
            </w:r>
          </w:p>
        </w:tc>
      </w:tr>
      <w:tr w:rsidR="00787899" w:rsidRPr="00A64D22" w:rsidTr="00284EE0">
        <w:trPr>
          <w:trHeight w:val="765"/>
        </w:trPr>
        <w:tc>
          <w:tcPr>
            <w:tcW w:w="1060" w:type="dxa"/>
            <w:vMerge/>
            <w:tcBorders>
              <w:top w:val="nil"/>
              <w:left w:val="single" w:sz="4" w:space="0" w:color="auto"/>
              <w:bottom w:val="single" w:sz="4" w:space="0" w:color="auto"/>
              <w:right w:val="single" w:sz="4" w:space="0" w:color="auto"/>
            </w:tcBorders>
            <w:vAlign w:val="center"/>
            <w:hideMark/>
          </w:tcPr>
          <w:p w:rsidR="00787899" w:rsidRPr="00A64D22" w:rsidRDefault="00787899" w:rsidP="00E05D31">
            <w:pPr>
              <w:jc w:val="left"/>
              <w:rPr>
                <w:rFonts w:ascii="Times New Roman" w:eastAsia="Times New Roman" w:hAnsi="Times New Roman" w:cs="Times New Roman"/>
                <w:b/>
                <w:bCs/>
                <w:color w:val="000000"/>
                <w:sz w:val="18"/>
                <w:szCs w:val="18"/>
                <w:lang w:eastAsia="cs-CZ"/>
              </w:rPr>
            </w:pPr>
          </w:p>
        </w:tc>
        <w:tc>
          <w:tcPr>
            <w:tcW w:w="2206" w:type="dxa"/>
            <w:vMerge/>
            <w:tcBorders>
              <w:left w:val="single" w:sz="4" w:space="0" w:color="auto"/>
              <w:right w:val="single" w:sz="4" w:space="0" w:color="auto"/>
            </w:tcBorders>
            <w:vAlign w:val="center"/>
            <w:hideMark/>
          </w:tcPr>
          <w:p w:rsidR="00787899" w:rsidRPr="00A64D22" w:rsidRDefault="00787899"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787899" w:rsidRPr="00284EE0" w:rsidRDefault="00787899" w:rsidP="00787899">
            <w:pPr>
              <w:jc w:val="left"/>
              <w:rPr>
                <w:rFonts w:ascii="Times New Roman" w:eastAsia="Times New Roman" w:hAnsi="Times New Roman" w:cs="Times New Roman"/>
                <w:color w:val="000000"/>
                <w:sz w:val="18"/>
                <w:szCs w:val="18"/>
                <w:lang w:eastAsia="cs-CZ"/>
              </w:rPr>
            </w:pPr>
            <w:r w:rsidRPr="00284EE0">
              <w:rPr>
                <w:rFonts w:ascii="Times New Roman" w:eastAsia="Times New Roman" w:hAnsi="Times New Roman" w:cs="Times New Roman"/>
                <w:color w:val="000000"/>
                <w:sz w:val="18"/>
                <w:szCs w:val="18"/>
                <w:lang w:eastAsia="cs-CZ"/>
              </w:rPr>
              <w:t>Rozvoj kreativních odvětví, která jsou rychle rostoucími odvětvími s velkým růstovým potenciálem, a která pozitivně ovlivňují konkurenceschopnost produktů, služeb a rozvoj dalších odvětví (tzv. kreativní či nová ekonomika).</w:t>
            </w:r>
          </w:p>
        </w:tc>
        <w:tc>
          <w:tcPr>
            <w:tcW w:w="1080" w:type="dxa"/>
            <w:tcBorders>
              <w:top w:val="nil"/>
              <w:left w:val="double" w:sz="4" w:space="0" w:color="auto"/>
              <w:bottom w:val="single" w:sz="4" w:space="0" w:color="auto"/>
              <w:right w:val="single" w:sz="4" w:space="0" w:color="auto"/>
            </w:tcBorders>
            <w:shd w:val="clear" w:color="auto" w:fill="auto"/>
            <w:hideMark/>
          </w:tcPr>
          <w:p w:rsidR="00787899" w:rsidRPr="00A64D22" w:rsidRDefault="00787899" w:rsidP="00E05D31">
            <w:pPr>
              <w:jc w:val="center"/>
              <w:rPr>
                <w:rFonts w:ascii="Times New Roman" w:eastAsia="Times New Roman" w:hAnsi="Times New Roman" w:cs="Times New Roman"/>
                <w:color w:val="000000"/>
                <w:sz w:val="18"/>
                <w:szCs w:val="18"/>
                <w:lang w:eastAsia="cs-CZ"/>
              </w:rPr>
            </w:pPr>
          </w:p>
        </w:tc>
        <w:tc>
          <w:tcPr>
            <w:tcW w:w="5157" w:type="dxa"/>
            <w:tcBorders>
              <w:top w:val="nil"/>
              <w:left w:val="nil"/>
              <w:bottom w:val="single" w:sz="4" w:space="0" w:color="auto"/>
              <w:right w:val="single" w:sz="4" w:space="0" w:color="auto"/>
            </w:tcBorders>
            <w:shd w:val="clear" w:color="auto" w:fill="auto"/>
            <w:vAlign w:val="center"/>
            <w:hideMark/>
          </w:tcPr>
          <w:p w:rsidR="00787899" w:rsidRPr="00A64D22" w:rsidRDefault="00284EE0" w:rsidP="00284EE0">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w:t>
            </w:r>
          </w:p>
        </w:tc>
      </w:tr>
      <w:tr w:rsidR="005B094E" w:rsidRPr="00A64D22" w:rsidTr="00C23A04">
        <w:trPr>
          <w:trHeight w:val="765"/>
        </w:trPr>
        <w:tc>
          <w:tcPr>
            <w:tcW w:w="1060" w:type="dxa"/>
            <w:vMerge/>
            <w:tcBorders>
              <w:top w:val="nil"/>
              <w:left w:val="single" w:sz="4" w:space="0" w:color="auto"/>
              <w:bottom w:val="single" w:sz="4" w:space="0" w:color="auto"/>
              <w:right w:val="single" w:sz="4" w:space="0" w:color="auto"/>
            </w:tcBorders>
            <w:vAlign w:val="center"/>
            <w:hideMark/>
          </w:tcPr>
          <w:p w:rsidR="005B094E" w:rsidRPr="00A64D22" w:rsidRDefault="005B094E" w:rsidP="00E05D31">
            <w:pPr>
              <w:jc w:val="left"/>
              <w:rPr>
                <w:rFonts w:ascii="Times New Roman" w:eastAsia="Times New Roman" w:hAnsi="Times New Roman" w:cs="Times New Roman"/>
                <w:b/>
                <w:bCs/>
                <w:color w:val="000000"/>
                <w:sz w:val="18"/>
                <w:szCs w:val="18"/>
                <w:lang w:eastAsia="cs-CZ"/>
              </w:rPr>
            </w:pPr>
          </w:p>
        </w:tc>
        <w:tc>
          <w:tcPr>
            <w:tcW w:w="2206" w:type="dxa"/>
            <w:vMerge/>
            <w:tcBorders>
              <w:left w:val="single" w:sz="4" w:space="0" w:color="auto"/>
              <w:right w:val="single" w:sz="4" w:space="0" w:color="auto"/>
            </w:tcBorders>
            <w:vAlign w:val="center"/>
            <w:hideMark/>
          </w:tcPr>
          <w:p w:rsidR="005B094E" w:rsidRPr="00A64D22" w:rsidRDefault="005B094E"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5B094E" w:rsidRPr="00A64D22" w:rsidRDefault="005B094E"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Vyšší kvalita a dostupnost poradenských služeb podnikatelských inkubátorů pro začínající podnikatele, které napomohou podnikům se lépe orientovat na trhu a využít všechny tržních příležitosti</w:t>
            </w:r>
          </w:p>
        </w:tc>
        <w:tc>
          <w:tcPr>
            <w:tcW w:w="1080" w:type="dxa"/>
            <w:tcBorders>
              <w:top w:val="nil"/>
              <w:left w:val="double" w:sz="4" w:space="0" w:color="auto"/>
              <w:bottom w:val="single" w:sz="4" w:space="0" w:color="auto"/>
              <w:right w:val="single" w:sz="4" w:space="0" w:color="auto"/>
            </w:tcBorders>
            <w:shd w:val="clear" w:color="auto" w:fill="auto"/>
            <w:hideMark/>
          </w:tcPr>
          <w:p w:rsidR="005B094E" w:rsidRPr="00A64D22" w:rsidRDefault="005B094E"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TC 3</w:t>
            </w:r>
          </w:p>
        </w:tc>
        <w:tc>
          <w:tcPr>
            <w:tcW w:w="5157" w:type="dxa"/>
            <w:tcBorders>
              <w:top w:val="nil"/>
              <w:left w:val="nil"/>
              <w:bottom w:val="single" w:sz="4" w:space="0" w:color="auto"/>
              <w:right w:val="single" w:sz="4" w:space="0" w:color="auto"/>
            </w:tcBorders>
            <w:shd w:val="clear" w:color="auto" w:fill="auto"/>
            <w:hideMark/>
          </w:tcPr>
          <w:p w:rsidR="005B094E" w:rsidRPr="00A64D22" w:rsidRDefault="005B094E"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Podstatné zlepšení kvality a rozšíření spektra specializovaných poradenských služeb jak pro začínající podnikatele, tak podporující přechod existujících firem ke znalostně intenzivnějšímu podnikání</w:t>
            </w:r>
          </w:p>
        </w:tc>
      </w:tr>
      <w:tr w:rsidR="005B094E" w:rsidRPr="00A64D22" w:rsidTr="00C23A04">
        <w:trPr>
          <w:trHeight w:val="510"/>
        </w:trPr>
        <w:tc>
          <w:tcPr>
            <w:tcW w:w="1060" w:type="dxa"/>
            <w:vMerge/>
            <w:tcBorders>
              <w:top w:val="nil"/>
              <w:left w:val="single" w:sz="4" w:space="0" w:color="auto"/>
              <w:bottom w:val="single" w:sz="4" w:space="0" w:color="auto"/>
              <w:right w:val="single" w:sz="4" w:space="0" w:color="auto"/>
            </w:tcBorders>
            <w:vAlign w:val="center"/>
            <w:hideMark/>
          </w:tcPr>
          <w:p w:rsidR="005B094E" w:rsidRPr="00A64D22" w:rsidRDefault="005B094E" w:rsidP="00E05D31">
            <w:pPr>
              <w:jc w:val="left"/>
              <w:rPr>
                <w:rFonts w:ascii="Times New Roman" w:eastAsia="Times New Roman" w:hAnsi="Times New Roman" w:cs="Times New Roman"/>
                <w:b/>
                <w:bCs/>
                <w:color w:val="000000"/>
                <w:sz w:val="18"/>
                <w:szCs w:val="18"/>
                <w:lang w:eastAsia="cs-CZ"/>
              </w:rPr>
            </w:pPr>
          </w:p>
        </w:tc>
        <w:tc>
          <w:tcPr>
            <w:tcW w:w="2206" w:type="dxa"/>
            <w:vMerge/>
            <w:tcBorders>
              <w:left w:val="single" w:sz="4" w:space="0" w:color="auto"/>
              <w:right w:val="single" w:sz="4" w:space="0" w:color="auto"/>
            </w:tcBorders>
            <w:vAlign w:val="center"/>
            <w:hideMark/>
          </w:tcPr>
          <w:p w:rsidR="005B094E" w:rsidRPr="00A64D22" w:rsidRDefault="005B094E"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5B094E" w:rsidRPr="00A64D22" w:rsidRDefault="005B094E" w:rsidP="005B094E">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Zlepšení netechnických kompetencí malých a středních podniků (strategické řízení, marketing, inovační management, zahraniční obchod ad.)</w:t>
            </w:r>
          </w:p>
        </w:tc>
        <w:tc>
          <w:tcPr>
            <w:tcW w:w="1080" w:type="dxa"/>
            <w:tcBorders>
              <w:top w:val="nil"/>
              <w:left w:val="double" w:sz="4" w:space="0" w:color="auto"/>
              <w:bottom w:val="single" w:sz="4" w:space="0" w:color="auto"/>
              <w:right w:val="single" w:sz="4" w:space="0" w:color="auto"/>
            </w:tcBorders>
            <w:shd w:val="clear" w:color="auto" w:fill="auto"/>
            <w:hideMark/>
          </w:tcPr>
          <w:p w:rsidR="005B094E" w:rsidRPr="00A64D22" w:rsidRDefault="005B094E"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TC 3</w:t>
            </w:r>
          </w:p>
        </w:tc>
        <w:tc>
          <w:tcPr>
            <w:tcW w:w="5157" w:type="dxa"/>
            <w:tcBorders>
              <w:top w:val="nil"/>
              <w:left w:val="nil"/>
              <w:bottom w:val="single" w:sz="4" w:space="0" w:color="auto"/>
              <w:right w:val="single" w:sz="4" w:space="0" w:color="auto"/>
            </w:tcBorders>
            <w:shd w:val="clear" w:color="auto" w:fill="auto"/>
            <w:hideMark/>
          </w:tcPr>
          <w:p w:rsidR="005B094E" w:rsidRPr="00A64D22" w:rsidRDefault="005B094E"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Zvýšení netechnických kompetencí firem, zejména zvýšení kvality řízení a účinnosti strategických procesů (marketing, inovační management)</w:t>
            </w:r>
          </w:p>
        </w:tc>
      </w:tr>
      <w:tr w:rsidR="005B094E" w:rsidRPr="00A64D22" w:rsidTr="005B094E">
        <w:trPr>
          <w:trHeight w:val="510"/>
        </w:trPr>
        <w:tc>
          <w:tcPr>
            <w:tcW w:w="1060" w:type="dxa"/>
            <w:vMerge/>
            <w:tcBorders>
              <w:top w:val="nil"/>
              <w:left w:val="single" w:sz="4" w:space="0" w:color="auto"/>
              <w:bottom w:val="single" w:sz="4" w:space="0" w:color="auto"/>
              <w:right w:val="single" w:sz="4" w:space="0" w:color="auto"/>
            </w:tcBorders>
            <w:vAlign w:val="center"/>
            <w:hideMark/>
          </w:tcPr>
          <w:p w:rsidR="005B094E" w:rsidRPr="00A64D22" w:rsidRDefault="005B094E" w:rsidP="00E05D31">
            <w:pPr>
              <w:jc w:val="left"/>
              <w:rPr>
                <w:rFonts w:ascii="Times New Roman" w:eastAsia="Times New Roman" w:hAnsi="Times New Roman" w:cs="Times New Roman"/>
                <w:b/>
                <w:bCs/>
                <w:color w:val="000000"/>
                <w:sz w:val="18"/>
                <w:szCs w:val="18"/>
                <w:lang w:eastAsia="cs-CZ"/>
              </w:rPr>
            </w:pPr>
          </w:p>
        </w:tc>
        <w:tc>
          <w:tcPr>
            <w:tcW w:w="2206" w:type="dxa"/>
            <w:vMerge/>
            <w:tcBorders>
              <w:left w:val="single" w:sz="4" w:space="0" w:color="auto"/>
              <w:bottom w:val="single" w:sz="4" w:space="0" w:color="auto"/>
              <w:right w:val="single" w:sz="4" w:space="0" w:color="auto"/>
            </w:tcBorders>
            <w:vAlign w:val="center"/>
            <w:hideMark/>
          </w:tcPr>
          <w:p w:rsidR="005B094E" w:rsidRPr="00A64D22" w:rsidRDefault="005B094E"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5B094E" w:rsidRPr="00A64D22" w:rsidRDefault="005B094E" w:rsidP="005B094E">
            <w:pPr>
              <w:jc w:val="left"/>
              <w:rPr>
                <w:rFonts w:ascii="Times New Roman" w:eastAsia="Times New Roman" w:hAnsi="Times New Roman" w:cs="Times New Roman"/>
                <w:color w:val="000000"/>
                <w:sz w:val="18"/>
                <w:szCs w:val="18"/>
                <w:lang w:eastAsia="cs-CZ"/>
              </w:rPr>
            </w:pPr>
            <w:r>
              <w:rPr>
                <w:rFonts w:ascii="Times New Roman" w:eastAsia="Times New Roman" w:hAnsi="Times New Roman" w:cs="Times New Roman"/>
                <w:color w:val="000000"/>
                <w:sz w:val="18"/>
                <w:szCs w:val="18"/>
                <w:lang w:eastAsia="cs-CZ"/>
              </w:rPr>
              <w:t>Zlepšení podmínek pro podnikání v nemetropolitních, zejména periferních regionech</w:t>
            </w:r>
          </w:p>
        </w:tc>
        <w:tc>
          <w:tcPr>
            <w:tcW w:w="1080" w:type="dxa"/>
            <w:tcBorders>
              <w:top w:val="nil"/>
              <w:left w:val="double" w:sz="4" w:space="0" w:color="auto"/>
              <w:bottom w:val="single" w:sz="4" w:space="0" w:color="auto"/>
              <w:right w:val="single" w:sz="4" w:space="0" w:color="auto"/>
            </w:tcBorders>
            <w:shd w:val="clear" w:color="auto" w:fill="auto"/>
            <w:hideMark/>
          </w:tcPr>
          <w:p w:rsidR="005B094E" w:rsidRPr="00A64D22" w:rsidRDefault="005B094E" w:rsidP="00E05D31">
            <w:pPr>
              <w:jc w:val="center"/>
              <w:rPr>
                <w:rFonts w:ascii="Times New Roman" w:eastAsia="Times New Roman" w:hAnsi="Times New Roman" w:cs="Times New Roman"/>
                <w:color w:val="000000"/>
                <w:sz w:val="18"/>
                <w:szCs w:val="18"/>
                <w:lang w:eastAsia="cs-CZ"/>
              </w:rPr>
            </w:pPr>
          </w:p>
        </w:tc>
        <w:tc>
          <w:tcPr>
            <w:tcW w:w="5157" w:type="dxa"/>
            <w:tcBorders>
              <w:top w:val="nil"/>
              <w:left w:val="nil"/>
              <w:bottom w:val="single" w:sz="4" w:space="0" w:color="auto"/>
              <w:right w:val="single" w:sz="4" w:space="0" w:color="auto"/>
            </w:tcBorders>
            <w:shd w:val="clear" w:color="auto" w:fill="auto"/>
            <w:vAlign w:val="center"/>
            <w:hideMark/>
          </w:tcPr>
          <w:p w:rsidR="005B094E" w:rsidRPr="00A64D22" w:rsidRDefault="005B094E" w:rsidP="005B094E">
            <w:pPr>
              <w:jc w:val="left"/>
              <w:rPr>
                <w:rFonts w:ascii="Times New Roman" w:eastAsia="Times New Roman" w:hAnsi="Times New Roman" w:cs="Times New Roman"/>
                <w:color w:val="000000"/>
                <w:sz w:val="18"/>
                <w:szCs w:val="18"/>
                <w:lang w:eastAsia="cs-CZ"/>
              </w:rPr>
            </w:pPr>
            <w:r>
              <w:rPr>
                <w:rFonts w:ascii="Times New Roman" w:eastAsia="Times New Roman" w:hAnsi="Times New Roman" w:cs="Times New Roman"/>
                <w:color w:val="000000"/>
                <w:sz w:val="18"/>
                <w:szCs w:val="18"/>
                <w:lang w:eastAsia="cs-CZ"/>
              </w:rPr>
              <w:t>???</w:t>
            </w:r>
          </w:p>
        </w:tc>
      </w:tr>
      <w:tr w:rsidR="00E05D31" w:rsidRPr="00A64D22" w:rsidTr="002921DB">
        <w:trPr>
          <w:trHeight w:val="765"/>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val="restart"/>
            <w:tcBorders>
              <w:top w:val="nil"/>
              <w:left w:val="single" w:sz="4" w:space="0" w:color="auto"/>
              <w:bottom w:val="single" w:sz="4" w:space="0" w:color="auto"/>
              <w:right w:val="sing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r w:rsidRPr="00A64D22">
              <w:rPr>
                <w:rFonts w:ascii="Times New Roman" w:eastAsia="Times New Roman" w:hAnsi="Times New Roman" w:cs="Times New Roman"/>
                <w:b/>
                <w:bCs/>
                <w:color w:val="000000"/>
                <w:sz w:val="18"/>
                <w:szCs w:val="18"/>
                <w:lang w:eastAsia="cs-CZ"/>
              </w:rPr>
              <w:t>2.2 Zvýšit internacionalizaci malých a středních podniků</w:t>
            </w: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Zlepšení dostupnosti kvalitních poradenských služeb za účelem napomoci malým a středním podnikům k vyššímu využití tržních příležitostí</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TC 3</w:t>
            </w:r>
          </w:p>
        </w:tc>
        <w:tc>
          <w:tcPr>
            <w:tcW w:w="5157" w:type="dxa"/>
            <w:tcBorders>
              <w:top w:val="nil"/>
              <w:left w:val="nil"/>
              <w:bottom w:val="single" w:sz="4" w:space="0" w:color="auto"/>
              <w:right w:val="sing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Podstatné zlepšení kvality a rozšíření spektra specializovaných poradenských služeb jak pro začínající podnikatele, tak podporující přechod existujících firem ke znalostně intenzivnějšímu podnikání</w:t>
            </w:r>
          </w:p>
        </w:tc>
      </w:tr>
      <w:tr w:rsidR="00E05D31" w:rsidRPr="00A64D22" w:rsidTr="002921DB">
        <w:trPr>
          <w:trHeight w:val="1020"/>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Posílení schopnosti a marketingové připravenosti malých a středních podniků nacházet nové trhy (územně i produktově) a vstupovat a udržet se na nich. S tím souvisí zvýšená schopnost mezinárodní expanze, rozšiřování exportní působnosti, výrobních a prodejních aktivit</w:t>
            </w:r>
            <w:r w:rsidR="005B094E">
              <w:rPr>
                <w:rFonts w:ascii="Times New Roman" w:eastAsia="Times New Roman" w:hAnsi="Times New Roman" w:cs="Times New Roman"/>
                <w:color w:val="000000"/>
                <w:sz w:val="18"/>
                <w:szCs w:val="18"/>
                <w:lang w:eastAsia="cs-CZ"/>
              </w:rPr>
              <w:t>.</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284EE0" w:rsidRDefault="00E05D31" w:rsidP="00E05D31">
            <w:pPr>
              <w:jc w:val="center"/>
              <w:rPr>
                <w:rFonts w:ascii="Times New Roman" w:eastAsia="Times New Roman" w:hAnsi="Times New Roman" w:cs="Times New Roman"/>
                <w:iCs/>
                <w:color w:val="000000"/>
                <w:sz w:val="18"/>
                <w:szCs w:val="18"/>
                <w:lang w:eastAsia="cs-CZ"/>
              </w:rPr>
            </w:pPr>
            <w:r w:rsidRPr="00284EE0">
              <w:rPr>
                <w:rFonts w:ascii="Times New Roman" w:eastAsia="Times New Roman" w:hAnsi="Times New Roman" w:cs="Times New Roman"/>
                <w:iCs/>
                <w:color w:val="000000"/>
                <w:sz w:val="18"/>
                <w:szCs w:val="18"/>
                <w:lang w:eastAsia="cs-CZ"/>
              </w:rPr>
              <w:t>TC 3</w:t>
            </w:r>
          </w:p>
        </w:tc>
        <w:tc>
          <w:tcPr>
            <w:tcW w:w="5157" w:type="dxa"/>
            <w:tcBorders>
              <w:top w:val="nil"/>
              <w:left w:val="nil"/>
              <w:bottom w:val="single" w:sz="4" w:space="0" w:color="auto"/>
              <w:right w:val="single" w:sz="4" w:space="0" w:color="auto"/>
            </w:tcBorders>
            <w:shd w:val="clear" w:color="auto" w:fill="auto"/>
            <w:hideMark/>
          </w:tcPr>
          <w:p w:rsidR="00E05D31" w:rsidRPr="00284EE0" w:rsidRDefault="00E05D31" w:rsidP="00E05D31">
            <w:pPr>
              <w:jc w:val="left"/>
              <w:rPr>
                <w:rFonts w:ascii="Times New Roman" w:eastAsia="Times New Roman" w:hAnsi="Times New Roman" w:cs="Times New Roman"/>
                <w:iCs/>
                <w:color w:val="000000"/>
                <w:sz w:val="18"/>
                <w:szCs w:val="18"/>
                <w:lang w:eastAsia="cs-CZ"/>
              </w:rPr>
            </w:pPr>
            <w:r w:rsidRPr="00284EE0">
              <w:rPr>
                <w:rFonts w:ascii="Times New Roman" w:eastAsia="Times New Roman" w:hAnsi="Times New Roman" w:cs="Times New Roman"/>
                <w:iCs/>
                <w:color w:val="000000"/>
                <w:sz w:val="18"/>
                <w:szCs w:val="18"/>
                <w:lang w:eastAsia="cs-CZ"/>
              </w:rPr>
              <w:t>Zvýšení netechnických kompetencí firem, zejména zvýšení kvality řízení a účinnosti strategických procesů (marketing, inovační management)</w:t>
            </w:r>
          </w:p>
        </w:tc>
      </w:tr>
      <w:tr w:rsidR="00E05D31" w:rsidRPr="00A64D22" w:rsidTr="002921DB">
        <w:trPr>
          <w:trHeight w:val="1020"/>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Zlepšení strategického plánování a řízení MSP povede k posílení schopnosti identifikovat nové příležitosti na zahraničních trzích, zvýšení účinnosti řízení klíčových podnikových procesů a celkovému posílení aktivního přístupu k řízení budoucí konkurenční výhody MSP (princip řízení z budoucnosti).</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284EE0" w:rsidRDefault="00E05D31" w:rsidP="00E05D31">
            <w:pPr>
              <w:jc w:val="center"/>
              <w:rPr>
                <w:rFonts w:ascii="Times New Roman" w:eastAsia="Times New Roman" w:hAnsi="Times New Roman" w:cs="Times New Roman"/>
                <w:b/>
                <w:i/>
                <w:iCs/>
                <w:color w:val="000000"/>
                <w:sz w:val="18"/>
                <w:szCs w:val="18"/>
                <w:lang w:eastAsia="cs-CZ"/>
              </w:rPr>
            </w:pPr>
            <w:r w:rsidRPr="00284EE0">
              <w:rPr>
                <w:rFonts w:ascii="Times New Roman" w:eastAsia="Times New Roman" w:hAnsi="Times New Roman" w:cs="Times New Roman"/>
                <w:b/>
                <w:i/>
                <w:iCs/>
                <w:color w:val="000000"/>
                <w:sz w:val="18"/>
                <w:szCs w:val="18"/>
                <w:lang w:eastAsia="cs-CZ"/>
              </w:rPr>
              <w:t>TC 3</w:t>
            </w:r>
          </w:p>
        </w:tc>
        <w:tc>
          <w:tcPr>
            <w:tcW w:w="5157" w:type="dxa"/>
            <w:tcBorders>
              <w:top w:val="nil"/>
              <w:left w:val="nil"/>
              <w:bottom w:val="single" w:sz="4" w:space="0" w:color="auto"/>
              <w:right w:val="single" w:sz="4" w:space="0" w:color="auto"/>
            </w:tcBorders>
            <w:shd w:val="clear" w:color="auto" w:fill="auto"/>
            <w:hideMark/>
          </w:tcPr>
          <w:p w:rsidR="00E05D31" w:rsidRPr="00284EE0" w:rsidRDefault="00E05D31" w:rsidP="00E05D31">
            <w:pPr>
              <w:jc w:val="left"/>
              <w:rPr>
                <w:rFonts w:ascii="Times New Roman" w:eastAsia="Times New Roman" w:hAnsi="Times New Roman" w:cs="Times New Roman"/>
                <w:b/>
                <w:i/>
                <w:iCs/>
                <w:color w:val="000000"/>
                <w:sz w:val="18"/>
                <w:szCs w:val="18"/>
                <w:lang w:eastAsia="cs-CZ"/>
              </w:rPr>
            </w:pPr>
            <w:r w:rsidRPr="00284EE0">
              <w:rPr>
                <w:rFonts w:ascii="Times New Roman" w:eastAsia="Times New Roman" w:hAnsi="Times New Roman" w:cs="Times New Roman"/>
                <w:b/>
                <w:i/>
                <w:iCs/>
                <w:color w:val="000000"/>
                <w:sz w:val="18"/>
                <w:szCs w:val="18"/>
                <w:lang w:eastAsia="cs-CZ"/>
              </w:rPr>
              <w:t>Zvýšení netechnických kompetencí firem, zejména zvýšení kvality řízení a účinnosti strategických procesů (marketing, inovační management)</w:t>
            </w:r>
          </w:p>
        </w:tc>
      </w:tr>
      <w:tr w:rsidR="00E05D31" w:rsidRPr="00A64D22" w:rsidTr="002921DB">
        <w:trPr>
          <w:trHeight w:val="765"/>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787899">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Zlepšení ekonomických výsledků endogenního podnikatelského sektoru v podobě růstu podílu exportu na celkových </w:t>
            </w:r>
            <w:r w:rsidR="00787899">
              <w:rPr>
                <w:rFonts w:ascii="Times New Roman" w:eastAsia="Times New Roman" w:hAnsi="Times New Roman" w:cs="Times New Roman"/>
                <w:color w:val="000000"/>
                <w:sz w:val="18"/>
                <w:szCs w:val="18"/>
                <w:lang w:eastAsia="cs-CZ"/>
              </w:rPr>
              <w:t>výkonech</w:t>
            </w:r>
            <w:r w:rsidRPr="00A64D22">
              <w:rPr>
                <w:rFonts w:ascii="Times New Roman" w:eastAsia="Times New Roman" w:hAnsi="Times New Roman" w:cs="Times New Roman"/>
                <w:color w:val="000000"/>
                <w:sz w:val="18"/>
                <w:szCs w:val="18"/>
                <w:lang w:eastAsia="cs-CZ"/>
              </w:rPr>
              <w:t xml:space="preserve"> povede ke stabilizaci podnikatelského prostředí a vytvoří tak prostor pro další rozvoj klíčových kompetencí</w:t>
            </w:r>
            <w:r w:rsidR="00787899">
              <w:rPr>
                <w:rFonts w:ascii="Times New Roman" w:eastAsia="Times New Roman" w:hAnsi="Times New Roman" w:cs="Times New Roman"/>
                <w:color w:val="000000"/>
                <w:sz w:val="18"/>
                <w:szCs w:val="18"/>
                <w:lang w:eastAsia="cs-CZ"/>
              </w:rPr>
              <w:t xml:space="preserve"> a vyšší diversifikaci exportu.</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w:t>
            </w: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w:t>
            </w:r>
          </w:p>
        </w:tc>
      </w:tr>
      <w:tr w:rsidR="00E05D31" w:rsidRPr="00A64D22" w:rsidTr="002921DB">
        <w:trPr>
          <w:trHeight w:val="1020"/>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tcBorders>
              <w:top w:val="nil"/>
              <w:left w:val="single" w:sz="4" w:space="0" w:color="auto"/>
              <w:bottom w:val="single" w:sz="4" w:space="0" w:color="auto"/>
              <w:right w:val="sing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r w:rsidRPr="00A64D22">
              <w:rPr>
                <w:rFonts w:ascii="Times New Roman" w:eastAsia="Times New Roman" w:hAnsi="Times New Roman" w:cs="Times New Roman"/>
                <w:b/>
                <w:bCs/>
                <w:color w:val="000000"/>
                <w:sz w:val="18"/>
                <w:szCs w:val="18"/>
                <w:lang w:eastAsia="cs-CZ"/>
              </w:rPr>
              <w:t>2.3 Zvýšit využitelnost infrastruktury pro podnikání</w:t>
            </w: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787899">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Zvýšení využití prostorově a ekonomicky vyhovující podnikatelské infrastruktury, včetně typu </w:t>
            </w:r>
            <w:proofErr w:type="spellStart"/>
            <w:r w:rsidRPr="00A64D22">
              <w:rPr>
                <w:rFonts w:ascii="Times New Roman" w:eastAsia="Times New Roman" w:hAnsi="Times New Roman" w:cs="Times New Roman"/>
                <w:color w:val="000000"/>
                <w:sz w:val="18"/>
                <w:szCs w:val="18"/>
                <w:lang w:eastAsia="cs-CZ"/>
              </w:rPr>
              <w:t>brownfield</w:t>
            </w:r>
            <w:proofErr w:type="spellEnd"/>
            <w:r w:rsidRPr="00A64D22">
              <w:rPr>
                <w:rFonts w:ascii="Times New Roman" w:eastAsia="Times New Roman" w:hAnsi="Times New Roman" w:cs="Times New Roman"/>
                <w:color w:val="000000"/>
                <w:sz w:val="18"/>
                <w:szCs w:val="18"/>
                <w:lang w:eastAsia="cs-CZ"/>
              </w:rPr>
              <w:t>, umožní MSP přechod od běžné výroby na výrobu s vyšší technickou a technologickou úrovní zajišťující konkurenceschopnost, vysokou přidanou hodnotu, včetně možnosti proniknout s produkcí na zahraniční trhy</w:t>
            </w:r>
            <w:r w:rsidR="00787899">
              <w:rPr>
                <w:rFonts w:ascii="Times New Roman" w:eastAsia="Times New Roman" w:hAnsi="Times New Roman" w:cs="Times New Roman"/>
                <w:color w:val="000000"/>
                <w:sz w:val="18"/>
                <w:szCs w:val="18"/>
                <w:lang w:eastAsia="cs-CZ"/>
              </w:rPr>
              <w:t>.</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TC 3</w:t>
            </w:r>
          </w:p>
        </w:tc>
        <w:tc>
          <w:tcPr>
            <w:tcW w:w="5157" w:type="dxa"/>
            <w:tcBorders>
              <w:top w:val="nil"/>
              <w:left w:val="nil"/>
              <w:bottom w:val="single" w:sz="4" w:space="0" w:color="auto"/>
              <w:right w:val="sing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Zvýšení dostupnosti podnikatelské infrastruktury umožňující přechod k inovativní výrobě s vysokou přidanou hodnotou.</w:t>
            </w:r>
          </w:p>
        </w:tc>
      </w:tr>
      <w:tr w:rsidR="00E05D31" w:rsidRPr="00A64D22" w:rsidTr="002921DB">
        <w:trPr>
          <w:trHeight w:val="765"/>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val="restart"/>
            <w:tcBorders>
              <w:top w:val="nil"/>
              <w:left w:val="single" w:sz="4" w:space="0" w:color="auto"/>
              <w:bottom w:val="single" w:sz="4" w:space="0" w:color="auto"/>
              <w:right w:val="sing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r w:rsidRPr="00A64D22">
              <w:rPr>
                <w:rFonts w:ascii="Times New Roman" w:eastAsia="Times New Roman" w:hAnsi="Times New Roman" w:cs="Times New Roman"/>
                <w:b/>
                <w:bCs/>
                <w:color w:val="000000"/>
                <w:sz w:val="18"/>
                <w:szCs w:val="18"/>
                <w:lang w:eastAsia="cs-CZ"/>
              </w:rPr>
              <w:t>2.4 Zkvalitnit infrastrukturu pro rozvoj lidských zdrojů v podnikatelském sektoru s důrazem na technické odborné vzdělávání</w:t>
            </w: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Odpovídající zajištění materiálních (moderní stroje a další vybavení či lokace využitelné pro zaškolování) kapacit podniků pro zajištění produktivních činností související se vzděláváním a rozvojem lidských zdrojů zaměstnanců i zaměstnavatelů</w:t>
            </w:r>
            <w:r w:rsidR="00787899">
              <w:rPr>
                <w:rFonts w:ascii="Times New Roman" w:eastAsia="Times New Roman" w:hAnsi="Times New Roman" w:cs="Times New Roman"/>
                <w:color w:val="000000"/>
                <w:sz w:val="18"/>
                <w:szCs w:val="18"/>
                <w:lang w:eastAsia="cs-CZ"/>
              </w:rPr>
              <w:t>.</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w:t>
            </w: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w:t>
            </w:r>
          </w:p>
        </w:tc>
      </w:tr>
      <w:tr w:rsidR="00E05D31" w:rsidRPr="00A64D22" w:rsidTr="002921DB">
        <w:trPr>
          <w:trHeight w:val="510"/>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787899">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Rozvoj a využití prostorových a technických podmínek umožní </w:t>
            </w:r>
            <w:r w:rsidR="00787899">
              <w:rPr>
                <w:rFonts w:ascii="Times New Roman" w:eastAsia="Times New Roman" w:hAnsi="Times New Roman" w:cs="Times New Roman"/>
                <w:color w:val="000000"/>
                <w:sz w:val="18"/>
                <w:szCs w:val="18"/>
                <w:lang w:eastAsia="cs-CZ"/>
              </w:rPr>
              <w:t>prohloubit</w:t>
            </w:r>
            <w:r w:rsidRPr="00A64D22">
              <w:rPr>
                <w:rFonts w:ascii="Times New Roman" w:eastAsia="Times New Roman" w:hAnsi="Times New Roman" w:cs="Times New Roman"/>
                <w:color w:val="000000"/>
                <w:sz w:val="18"/>
                <w:szCs w:val="18"/>
                <w:lang w:eastAsia="cs-CZ"/>
              </w:rPr>
              <w:t xml:space="preserve"> znalost</w:t>
            </w:r>
            <w:r w:rsidR="00787899">
              <w:rPr>
                <w:rFonts w:ascii="Times New Roman" w:eastAsia="Times New Roman" w:hAnsi="Times New Roman" w:cs="Times New Roman"/>
                <w:color w:val="000000"/>
                <w:sz w:val="18"/>
                <w:szCs w:val="18"/>
                <w:lang w:eastAsia="cs-CZ"/>
              </w:rPr>
              <w:t>i</w:t>
            </w:r>
            <w:r w:rsidRPr="00A64D22">
              <w:rPr>
                <w:rFonts w:ascii="Times New Roman" w:eastAsia="Times New Roman" w:hAnsi="Times New Roman" w:cs="Times New Roman"/>
                <w:color w:val="000000"/>
                <w:sz w:val="18"/>
                <w:szCs w:val="18"/>
                <w:lang w:eastAsia="cs-CZ"/>
              </w:rPr>
              <w:t xml:space="preserve"> a dovednost</w:t>
            </w:r>
            <w:r w:rsidR="00787899">
              <w:rPr>
                <w:rFonts w:ascii="Times New Roman" w:eastAsia="Times New Roman" w:hAnsi="Times New Roman" w:cs="Times New Roman"/>
                <w:color w:val="000000"/>
                <w:sz w:val="18"/>
                <w:szCs w:val="18"/>
                <w:lang w:eastAsia="cs-CZ"/>
              </w:rPr>
              <w:t>i</w:t>
            </w:r>
            <w:r w:rsidRPr="00A64D22">
              <w:rPr>
                <w:rFonts w:ascii="Times New Roman" w:eastAsia="Times New Roman" w:hAnsi="Times New Roman" w:cs="Times New Roman"/>
                <w:color w:val="000000"/>
                <w:sz w:val="18"/>
                <w:szCs w:val="18"/>
                <w:lang w:eastAsia="cs-CZ"/>
              </w:rPr>
              <w:t xml:space="preserve"> v oblasti odborného vzdělávání</w:t>
            </w:r>
            <w:r w:rsidR="00787899">
              <w:rPr>
                <w:rFonts w:ascii="Times New Roman" w:eastAsia="Times New Roman" w:hAnsi="Times New Roman" w:cs="Times New Roman"/>
                <w:color w:val="000000"/>
                <w:sz w:val="18"/>
                <w:szCs w:val="18"/>
                <w:lang w:eastAsia="cs-CZ"/>
              </w:rPr>
              <w:t>.</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w:t>
            </w: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w:t>
            </w:r>
          </w:p>
        </w:tc>
      </w:tr>
      <w:tr w:rsidR="00E05D31" w:rsidRPr="00A64D22" w:rsidTr="002921DB">
        <w:trPr>
          <w:trHeight w:val="765"/>
        </w:trPr>
        <w:tc>
          <w:tcPr>
            <w:tcW w:w="1060" w:type="dxa"/>
            <w:vMerge w:val="restart"/>
            <w:tcBorders>
              <w:top w:val="nil"/>
              <w:left w:val="single" w:sz="4" w:space="0" w:color="auto"/>
              <w:bottom w:val="single" w:sz="4" w:space="0" w:color="000000"/>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b/>
                <w:bCs/>
                <w:color w:val="000000"/>
                <w:sz w:val="18"/>
                <w:szCs w:val="18"/>
                <w:lang w:eastAsia="cs-CZ"/>
              </w:rPr>
            </w:pPr>
            <w:r w:rsidRPr="00A64D22">
              <w:rPr>
                <w:rFonts w:ascii="Times New Roman" w:eastAsia="Times New Roman" w:hAnsi="Times New Roman" w:cs="Times New Roman"/>
                <w:b/>
                <w:bCs/>
                <w:color w:val="000000"/>
                <w:sz w:val="18"/>
                <w:szCs w:val="18"/>
                <w:lang w:eastAsia="cs-CZ"/>
              </w:rPr>
              <w:t>TC 4</w:t>
            </w:r>
          </w:p>
        </w:tc>
        <w:tc>
          <w:tcPr>
            <w:tcW w:w="2206" w:type="dxa"/>
            <w:vMerge w:val="restart"/>
            <w:tcBorders>
              <w:top w:val="nil"/>
              <w:left w:val="single" w:sz="4" w:space="0" w:color="auto"/>
              <w:bottom w:val="single" w:sz="4" w:space="0" w:color="auto"/>
              <w:right w:val="sing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r w:rsidRPr="00A64D22">
              <w:rPr>
                <w:rFonts w:ascii="Times New Roman" w:eastAsia="Times New Roman" w:hAnsi="Times New Roman" w:cs="Times New Roman"/>
                <w:b/>
                <w:bCs/>
                <w:color w:val="000000"/>
                <w:sz w:val="18"/>
                <w:szCs w:val="18"/>
                <w:lang w:eastAsia="cs-CZ"/>
              </w:rPr>
              <w:t>3.1 Zvýšit podíl výroby energie z obnovitelných zdrojů na hrubé konečné spotřebě ČR</w:t>
            </w:r>
          </w:p>
        </w:tc>
        <w:tc>
          <w:tcPr>
            <w:tcW w:w="4819" w:type="dxa"/>
            <w:tcBorders>
              <w:top w:val="nil"/>
              <w:left w:val="nil"/>
              <w:bottom w:val="single" w:sz="4" w:space="0" w:color="auto"/>
              <w:right w:val="double" w:sz="4" w:space="0" w:color="auto"/>
            </w:tcBorders>
            <w:shd w:val="clear" w:color="auto" w:fill="auto"/>
            <w:hideMark/>
          </w:tcPr>
          <w:p w:rsidR="00BD1B5B" w:rsidRPr="00A64D22" w:rsidRDefault="00BD1B5B" w:rsidP="00E05D31">
            <w:pPr>
              <w:jc w:val="left"/>
              <w:rPr>
                <w:rFonts w:ascii="Times New Roman" w:eastAsia="Times New Roman" w:hAnsi="Times New Roman" w:cs="Times New Roman"/>
                <w:color w:val="000000"/>
                <w:sz w:val="18"/>
                <w:szCs w:val="18"/>
                <w:lang w:eastAsia="cs-CZ"/>
              </w:rPr>
            </w:pPr>
            <w:r w:rsidRPr="00BD1B5B">
              <w:rPr>
                <w:rFonts w:ascii="Times New Roman" w:eastAsia="Symbol" w:hAnsi="Times New Roman" w:cs="Times New Roman"/>
                <w:color w:val="000000"/>
                <w:sz w:val="18"/>
                <w:szCs w:val="18"/>
                <w:lang w:eastAsia="cs-CZ"/>
              </w:rPr>
              <w:t>Příspěvek k naplnění cíle dosáhnout podílu energie z OZE na hrubé konečné spotřebě energie ve výši 13 % do r. 2020. S tím souvisí snížení spotřeby primárních zdrojů.</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TC 4</w:t>
            </w:r>
          </w:p>
        </w:tc>
        <w:tc>
          <w:tcPr>
            <w:tcW w:w="5157" w:type="dxa"/>
            <w:tcBorders>
              <w:top w:val="nil"/>
              <w:left w:val="nil"/>
              <w:bottom w:val="single" w:sz="4" w:space="0" w:color="auto"/>
              <w:right w:val="sing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Zvýšení podílu produkce/spotřeby energie z obnovitelných zdrojů.</w:t>
            </w:r>
          </w:p>
        </w:tc>
      </w:tr>
      <w:tr w:rsidR="00E05D31" w:rsidRPr="00A64D22" w:rsidTr="00284EE0">
        <w:trPr>
          <w:trHeight w:val="255"/>
        </w:trPr>
        <w:tc>
          <w:tcPr>
            <w:tcW w:w="1060" w:type="dxa"/>
            <w:vMerge/>
            <w:tcBorders>
              <w:top w:val="nil"/>
              <w:left w:val="single" w:sz="4" w:space="0" w:color="auto"/>
              <w:bottom w:val="single" w:sz="4" w:space="0" w:color="000000"/>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Symbol" w:hAnsi="Times New Roman" w:cs="Times New Roman"/>
                <w:color w:val="000000"/>
                <w:sz w:val="18"/>
                <w:szCs w:val="18"/>
                <w:lang w:eastAsia="cs-CZ"/>
              </w:rPr>
              <w:t>Zvýšení efektivnosti využití všech typů energetických zdrojů OZE relevantních pro ČR.</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284EE0" w:rsidRDefault="00E05D31" w:rsidP="00E05D31">
            <w:pPr>
              <w:jc w:val="center"/>
              <w:rPr>
                <w:rFonts w:ascii="Times New Roman" w:eastAsia="Times New Roman" w:hAnsi="Times New Roman" w:cs="Times New Roman"/>
                <w:color w:val="000000"/>
                <w:sz w:val="18"/>
                <w:szCs w:val="18"/>
                <w:lang w:eastAsia="cs-CZ"/>
              </w:rPr>
            </w:pP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284EE0" w:rsidP="00284EE0">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w:t>
            </w:r>
          </w:p>
        </w:tc>
      </w:tr>
      <w:tr w:rsidR="00E05D31" w:rsidRPr="00A64D22" w:rsidTr="002921DB">
        <w:trPr>
          <w:trHeight w:val="255"/>
        </w:trPr>
        <w:tc>
          <w:tcPr>
            <w:tcW w:w="1060" w:type="dxa"/>
            <w:vMerge/>
            <w:tcBorders>
              <w:top w:val="nil"/>
              <w:left w:val="single" w:sz="4" w:space="0" w:color="auto"/>
              <w:bottom w:val="single" w:sz="4" w:space="0" w:color="000000"/>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Symbol" w:hAnsi="Times New Roman" w:cs="Times New Roman"/>
                <w:color w:val="000000"/>
                <w:sz w:val="18"/>
                <w:szCs w:val="18"/>
                <w:lang w:eastAsia="cs-CZ"/>
              </w:rPr>
              <w:t>Snížení dovozní závislosti na palivech z geopoliticky nestabilních regionů.</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w:t>
            </w: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w:t>
            </w:r>
          </w:p>
        </w:tc>
      </w:tr>
      <w:tr w:rsidR="00E05D31" w:rsidRPr="00A64D22" w:rsidTr="002921DB">
        <w:trPr>
          <w:trHeight w:val="510"/>
        </w:trPr>
        <w:tc>
          <w:tcPr>
            <w:tcW w:w="1060" w:type="dxa"/>
            <w:vMerge/>
            <w:tcBorders>
              <w:top w:val="nil"/>
              <w:left w:val="single" w:sz="4" w:space="0" w:color="auto"/>
              <w:bottom w:val="single" w:sz="4" w:space="0" w:color="000000"/>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Symbol" w:hAnsi="Times New Roman" w:cs="Times New Roman"/>
                <w:color w:val="000000"/>
                <w:sz w:val="18"/>
                <w:szCs w:val="18"/>
                <w:lang w:eastAsia="cs-CZ"/>
              </w:rPr>
              <w:t>Rozvoj podnikatelských aktivit v dodavatelském řetězci od vývoje, výroby, přes instalaci zdroje energie až po výrobu energie.</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w:t>
            </w: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w:t>
            </w:r>
          </w:p>
        </w:tc>
      </w:tr>
      <w:tr w:rsidR="00E05D31" w:rsidRPr="00A64D22" w:rsidTr="00D95DD5">
        <w:trPr>
          <w:trHeight w:val="510"/>
        </w:trPr>
        <w:tc>
          <w:tcPr>
            <w:tcW w:w="1060" w:type="dxa"/>
            <w:vMerge/>
            <w:tcBorders>
              <w:top w:val="nil"/>
              <w:left w:val="single" w:sz="4" w:space="0" w:color="auto"/>
              <w:bottom w:val="single" w:sz="4" w:space="0" w:color="000000"/>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Pozitivní dopad využívání OZE na životní prostředí a ochranu klimatu, např. v podobě snížení emisí skleníkových plynů</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i/>
                <w:iCs/>
                <w:color w:val="000000"/>
                <w:sz w:val="18"/>
                <w:szCs w:val="18"/>
                <w:lang w:eastAsia="cs-CZ"/>
              </w:rPr>
            </w:pP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D95DD5" w:rsidP="00D95DD5">
            <w:pPr>
              <w:jc w:val="left"/>
              <w:rPr>
                <w:rFonts w:ascii="Times New Roman" w:eastAsia="Times New Roman" w:hAnsi="Times New Roman" w:cs="Times New Roman"/>
                <w:i/>
                <w:iCs/>
                <w:color w:val="000000"/>
                <w:sz w:val="18"/>
                <w:szCs w:val="18"/>
                <w:lang w:eastAsia="cs-CZ"/>
              </w:rPr>
            </w:pPr>
            <w:r w:rsidRPr="00A64D22">
              <w:rPr>
                <w:rFonts w:ascii="Times New Roman" w:eastAsia="Times New Roman" w:hAnsi="Times New Roman" w:cs="Times New Roman"/>
                <w:color w:val="000000"/>
                <w:sz w:val="18"/>
                <w:szCs w:val="18"/>
                <w:lang w:eastAsia="cs-CZ"/>
              </w:rPr>
              <w:t>???</w:t>
            </w:r>
          </w:p>
        </w:tc>
      </w:tr>
      <w:tr w:rsidR="00284EE0" w:rsidRPr="00A64D22" w:rsidTr="00284EE0">
        <w:trPr>
          <w:trHeight w:val="255"/>
        </w:trPr>
        <w:tc>
          <w:tcPr>
            <w:tcW w:w="1060" w:type="dxa"/>
            <w:vMerge/>
            <w:tcBorders>
              <w:top w:val="nil"/>
              <w:left w:val="single" w:sz="4" w:space="0" w:color="auto"/>
              <w:bottom w:val="single" w:sz="4" w:space="0" w:color="000000"/>
              <w:right w:val="single" w:sz="4" w:space="0" w:color="auto"/>
            </w:tcBorders>
            <w:vAlign w:val="center"/>
            <w:hideMark/>
          </w:tcPr>
          <w:p w:rsidR="00284EE0" w:rsidRPr="00A64D22" w:rsidRDefault="00284EE0" w:rsidP="00E05D31">
            <w:pPr>
              <w:jc w:val="left"/>
              <w:rPr>
                <w:rFonts w:ascii="Times New Roman" w:eastAsia="Times New Roman" w:hAnsi="Times New Roman" w:cs="Times New Roman"/>
                <w:b/>
                <w:bCs/>
                <w:color w:val="000000"/>
                <w:sz w:val="18"/>
                <w:szCs w:val="18"/>
                <w:lang w:eastAsia="cs-CZ"/>
              </w:rPr>
            </w:pPr>
          </w:p>
        </w:tc>
        <w:tc>
          <w:tcPr>
            <w:tcW w:w="2206" w:type="dxa"/>
            <w:vMerge w:val="restart"/>
            <w:tcBorders>
              <w:top w:val="nil"/>
              <w:left w:val="single" w:sz="4" w:space="0" w:color="auto"/>
              <w:bottom w:val="single" w:sz="4" w:space="0" w:color="auto"/>
              <w:right w:val="single" w:sz="4" w:space="0" w:color="auto"/>
            </w:tcBorders>
            <w:shd w:val="clear" w:color="auto" w:fill="auto"/>
            <w:hideMark/>
          </w:tcPr>
          <w:p w:rsidR="00284EE0" w:rsidRPr="00A64D22" w:rsidRDefault="00284EE0" w:rsidP="00D95DD5">
            <w:pPr>
              <w:jc w:val="left"/>
              <w:rPr>
                <w:rFonts w:ascii="Times New Roman" w:eastAsia="Times New Roman" w:hAnsi="Times New Roman" w:cs="Times New Roman"/>
                <w:b/>
                <w:bCs/>
                <w:color w:val="000000"/>
                <w:sz w:val="18"/>
                <w:szCs w:val="18"/>
                <w:lang w:eastAsia="cs-CZ"/>
              </w:rPr>
            </w:pPr>
            <w:r w:rsidRPr="00A64D22">
              <w:rPr>
                <w:rFonts w:ascii="Times New Roman" w:eastAsia="Times New Roman" w:hAnsi="Times New Roman" w:cs="Times New Roman"/>
                <w:b/>
                <w:bCs/>
                <w:color w:val="000000"/>
                <w:sz w:val="18"/>
                <w:szCs w:val="18"/>
                <w:lang w:eastAsia="cs-CZ"/>
              </w:rPr>
              <w:t xml:space="preserve">3.2 Zvýšit energetickou účinnost podnikatelského sektoru </w:t>
            </w:r>
          </w:p>
        </w:tc>
        <w:tc>
          <w:tcPr>
            <w:tcW w:w="4819" w:type="dxa"/>
            <w:vMerge w:val="restart"/>
            <w:tcBorders>
              <w:top w:val="nil"/>
              <w:left w:val="single" w:sz="4" w:space="0" w:color="auto"/>
              <w:bottom w:val="single" w:sz="4" w:space="0" w:color="auto"/>
              <w:right w:val="double" w:sz="4" w:space="0" w:color="auto"/>
            </w:tcBorders>
            <w:shd w:val="clear" w:color="auto" w:fill="auto"/>
            <w:hideMark/>
          </w:tcPr>
          <w:p w:rsidR="00284EE0" w:rsidRPr="00A64D22" w:rsidRDefault="00284EE0" w:rsidP="00E05D31">
            <w:pPr>
              <w:jc w:val="left"/>
              <w:rPr>
                <w:rFonts w:ascii="Times New Roman" w:eastAsia="Times New Roman" w:hAnsi="Times New Roman" w:cs="Times New Roman"/>
                <w:color w:val="000000"/>
                <w:sz w:val="18"/>
                <w:szCs w:val="18"/>
                <w:lang w:eastAsia="cs-CZ"/>
              </w:rPr>
            </w:pPr>
            <w:r w:rsidRPr="00A64D22">
              <w:rPr>
                <w:rFonts w:ascii="Times New Roman" w:eastAsia="Symbol" w:hAnsi="Times New Roman" w:cs="Times New Roman"/>
                <w:color w:val="000000"/>
                <w:sz w:val="18"/>
                <w:szCs w:val="18"/>
                <w:lang w:eastAsia="cs-CZ"/>
              </w:rPr>
              <w:t xml:space="preserve">Příspěvek k naplnění Směrnice Evropského parlamentu a Rady 2012/27/EU o energetické účinnosti, která stanovuje zavedení orientačních vnitrostátních cílů energetické účinnosti do roku 2020. Vnitrostátní orientační cíl ČR je na základě současných analýz stanoven ve výši 47,84 PJ (13,29 </w:t>
            </w:r>
            <w:proofErr w:type="spellStart"/>
            <w:r w:rsidRPr="00A64D22">
              <w:rPr>
                <w:rFonts w:ascii="Times New Roman" w:eastAsia="Symbol" w:hAnsi="Times New Roman" w:cs="Times New Roman"/>
                <w:color w:val="000000"/>
                <w:sz w:val="18"/>
                <w:szCs w:val="18"/>
                <w:lang w:eastAsia="cs-CZ"/>
              </w:rPr>
              <w:t>TWh</w:t>
            </w:r>
            <w:proofErr w:type="spellEnd"/>
            <w:r w:rsidRPr="00A64D22">
              <w:rPr>
                <w:rFonts w:ascii="Times New Roman" w:eastAsia="Symbol" w:hAnsi="Times New Roman" w:cs="Times New Roman"/>
                <w:color w:val="000000"/>
                <w:sz w:val="18"/>
                <w:szCs w:val="18"/>
                <w:lang w:eastAsia="cs-CZ"/>
              </w:rPr>
              <w:t>) úspor v konečné spotřebě energie.</w:t>
            </w:r>
          </w:p>
        </w:tc>
        <w:tc>
          <w:tcPr>
            <w:tcW w:w="1080" w:type="dxa"/>
            <w:tcBorders>
              <w:top w:val="nil"/>
              <w:left w:val="double" w:sz="4" w:space="0" w:color="auto"/>
              <w:bottom w:val="single" w:sz="4" w:space="0" w:color="auto"/>
              <w:right w:val="single" w:sz="4" w:space="0" w:color="auto"/>
            </w:tcBorders>
            <w:shd w:val="clear" w:color="auto" w:fill="auto"/>
            <w:hideMark/>
          </w:tcPr>
          <w:p w:rsidR="00284EE0" w:rsidRPr="00A64D22" w:rsidRDefault="00284EE0" w:rsidP="003E430E">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TC 4</w:t>
            </w:r>
          </w:p>
        </w:tc>
        <w:tc>
          <w:tcPr>
            <w:tcW w:w="5157" w:type="dxa"/>
            <w:tcBorders>
              <w:top w:val="nil"/>
              <w:left w:val="nil"/>
              <w:bottom w:val="single" w:sz="4" w:space="0" w:color="auto"/>
              <w:right w:val="single" w:sz="4" w:space="0" w:color="auto"/>
            </w:tcBorders>
            <w:shd w:val="clear" w:color="auto" w:fill="auto"/>
            <w:hideMark/>
          </w:tcPr>
          <w:p w:rsidR="00284EE0" w:rsidRPr="00A64D22" w:rsidRDefault="00284EE0" w:rsidP="003E430E">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Snížení energetické náročnosti budov (zahrnující sektor bydlení, veřejné a komerční budovy). </w:t>
            </w:r>
          </w:p>
        </w:tc>
      </w:tr>
      <w:tr w:rsidR="00284EE0" w:rsidRPr="00A64D22" w:rsidTr="002921DB">
        <w:trPr>
          <w:trHeight w:val="510"/>
        </w:trPr>
        <w:tc>
          <w:tcPr>
            <w:tcW w:w="1060" w:type="dxa"/>
            <w:vMerge/>
            <w:tcBorders>
              <w:top w:val="nil"/>
              <w:left w:val="single" w:sz="4" w:space="0" w:color="auto"/>
              <w:bottom w:val="single" w:sz="4" w:space="0" w:color="000000"/>
              <w:right w:val="single" w:sz="4" w:space="0" w:color="auto"/>
            </w:tcBorders>
            <w:vAlign w:val="center"/>
            <w:hideMark/>
          </w:tcPr>
          <w:p w:rsidR="00284EE0" w:rsidRPr="00A64D22" w:rsidRDefault="00284EE0"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284EE0" w:rsidRPr="00A64D22" w:rsidRDefault="00284EE0" w:rsidP="00E05D31">
            <w:pPr>
              <w:jc w:val="left"/>
              <w:rPr>
                <w:rFonts w:ascii="Times New Roman" w:eastAsia="Times New Roman" w:hAnsi="Times New Roman" w:cs="Times New Roman"/>
                <w:b/>
                <w:bCs/>
                <w:color w:val="000000"/>
                <w:sz w:val="18"/>
                <w:szCs w:val="18"/>
                <w:lang w:eastAsia="cs-CZ"/>
              </w:rPr>
            </w:pPr>
          </w:p>
        </w:tc>
        <w:tc>
          <w:tcPr>
            <w:tcW w:w="4819" w:type="dxa"/>
            <w:vMerge/>
            <w:tcBorders>
              <w:top w:val="nil"/>
              <w:left w:val="single" w:sz="4" w:space="0" w:color="auto"/>
              <w:bottom w:val="single" w:sz="4" w:space="0" w:color="auto"/>
              <w:right w:val="double" w:sz="4" w:space="0" w:color="auto"/>
            </w:tcBorders>
            <w:vAlign w:val="center"/>
            <w:hideMark/>
          </w:tcPr>
          <w:p w:rsidR="00284EE0" w:rsidRPr="00A64D22" w:rsidRDefault="00284EE0" w:rsidP="00E05D31">
            <w:pPr>
              <w:jc w:val="left"/>
              <w:rPr>
                <w:rFonts w:ascii="Times New Roman" w:eastAsia="Times New Roman" w:hAnsi="Times New Roman" w:cs="Times New Roman"/>
                <w:color w:val="000000"/>
                <w:sz w:val="18"/>
                <w:szCs w:val="18"/>
                <w:lang w:eastAsia="cs-CZ"/>
              </w:rPr>
            </w:pPr>
          </w:p>
        </w:tc>
        <w:tc>
          <w:tcPr>
            <w:tcW w:w="1080" w:type="dxa"/>
            <w:tcBorders>
              <w:top w:val="nil"/>
              <w:left w:val="double" w:sz="4" w:space="0" w:color="auto"/>
              <w:bottom w:val="single" w:sz="4" w:space="0" w:color="auto"/>
              <w:right w:val="single" w:sz="4" w:space="0" w:color="auto"/>
            </w:tcBorders>
            <w:shd w:val="clear" w:color="auto" w:fill="auto"/>
            <w:hideMark/>
          </w:tcPr>
          <w:p w:rsidR="00284EE0" w:rsidRPr="00A64D22" w:rsidRDefault="00284EE0" w:rsidP="003E430E">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TC 4</w:t>
            </w:r>
          </w:p>
        </w:tc>
        <w:tc>
          <w:tcPr>
            <w:tcW w:w="5157" w:type="dxa"/>
            <w:tcBorders>
              <w:top w:val="nil"/>
              <w:left w:val="nil"/>
              <w:bottom w:val="single" w:sz="4" w:space="0" w:color="auto"/>
              <w:right w:val="single" w:sz="4" w:space="0" w:color="auto"/>
            </w:tcBorders>
            <w:shd w:val="clear" w:color="auto" w:fill="auto"/>
            <w:hideMark/>
          </w:tcPr>
          <w:p w:rsidR="00284EE0" w:rsidRPr="00A64D22" w:rsidRDefault="00284EE0" w:rsidP="003E430E">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Snížení energetické náročnosti resp. zvýšení energetické účinnosti výrobních a technologických procesů zejména v průmyslu, případně ve službách</w:t>
            </w:r>
          </w:p>
        </w:tc>
      </w:tr>
      <w:tr w:rsidR="00E05D31" w:rsidRPr="00A64D22" w:rsidTr="002921DB">
        <w:trPr>
          <w:trHeight w:val="1785"/>
        </w:trPr>
        <w:tc>
          <w:tcPr>
            <w:tcW w:w="1060" w:type="dxa"/>
            <w:vMerge/>
            <w:tcBorders>
              <w:top w:val="nil"/>
              <w:left w:val="single" w:sz="4" w:space="0" w:color="auto"/>
              <w:bottom w:val="single" w:sz="4" w:space="0" w:color="000000"/>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Symbol" w:hAnsi="Times New Roman" w:cs="Times New Roman"/>
                <w:color w:val="000000"/>
                <w:sz w:val="18"/>
                <w:szCs w:val="18"/>
                <w:lang w:eastAsia="cs-CZ"/>
              </w:rPr>
              <w:t>Zvýšení možnosti podniků rozvíjet svou činnost, investovat do výzkumu, vývoje a inovací tím, že podniky nebudou muset vynakládat takové množství prostředků na energie při výrobních procesech. S tím souvisí snížení citlivosti podnikatelských subjektů na změny vstupních nákladů, jejichž zvyšování, nebo udržování na současných hodnotách, by mohlo v důsledku ohrozit celkový výkon výroby ve prospěch levné zahraniční konkurence. Výsledkem specifického cíle tak bude posílení konkurenceschopnosti podnikatelských subjektů, resp. ekonomiky jako celku.</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w:t>
            </w: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w:t>
            </w:r>
          </w:p>
        </w:tc>
      </w:tr>
      <w:tr w:rsidR="00E05D31" w:rsidRPr="00A64D22" w:rsidTr="002921DB">
        <w:trPr>
          <w:trHeight w:val="765"/>
        </w:trPr>
        <w:tc>
          <w:tcPr>
            <w:tcW w:w="1060" w:type="dxa"/>
            <w:vMerge/>
            <w:tcBorders>
              <w:top w:val="nil"/>
              <w:left w:val="single" w:sz="4" w:space="0" w:color="auto"/>
              <w:bottom w:val="single" w:sz="4" w:space="0" w:color="000000"/>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Symbol" w:hAnsi="Times New Roman" w:cs="Times New Roman"/>
                <w:color w:val="000000"/>
                <w:sz w:val="18"/>
                <w:szCs w:val="18"/>
                <w:lang w:eastAsia="cs-CZ"/>
              </w:rPr>
              <w:t>Přiblížení se v úrovni energetické náročnosti průmyslové výroby k ostatním členským zemím EU, neboť česká ekonomika dosud vyk</w:t>
            </w:r>
            <w:r w:rsidR="002921DB" w:rsidRPr="00A64D22">
              <w:rPr>
                <w:rFonts w:ascii="Times New Roman" w:eastAsia="Symbol" w:hAnsi="Times New Roman" w:cs="Times New Roman"/>
                <w:color w:val="000000"/>
                <w:sz w:val="18"/>
                <w:szCs w:val="18"/>
                <w:lang w:eastAsia="cs-CZ"/>
              </w:rPr>
              <w:t xml:space="preserve">azovala vyšší míru nákladovosti, </w:t>
            </w:r>
            <w:r w:rsidRPr="00A64D22">
              <w:rPr>
                <w:rFonts w:ascii="Times New Roman" w:eastAsia="Symbol" w:hAnsi="Times New Roman" w:cs="Times New Roman"/>
                <w:color w:val="000000"/>
                <w:sz w:val="18"/>
                <w:szCs w:val="18"/>
                <w:lang w:eastAsia="cs-CZ"/>
              </w:rPr>
              <w:t>než činil průměr EU.</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w:t>
            </w: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w:t>
            </w:r>
          </w:p>
        </w:tc>
      </w:tr>
      <w:tr w:rsidR="00E05D31" w:rsidRPr="00A64D22" w:rsidTr="002921DB">
        <w:trPr>
          <w:trHeight w:val="510"/>
        </w:trPr>
        <w:tc>
          <w:tcPr>
            <w:tcW w:w="1060" w:type="dxa"/>
            <w:vMerge/>
            <w:tcBorders>
              <w:top w:val="nil"/>
              <w:left w:val="single" w:sz="4" w:space="0" w:color="auto"/>
              <w:bottom w:val="single" w:sz="4" w:space="0" w:color="000000"/>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Rozvoj energetických služeb, které jsou důležitým nástrojem přispívajícím k nákladově efektivnímu způsobu zvyšování energetické účinnosti</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w:t>
            </w: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w:t>
            </w:r>
          </w:p>
        </w:tc>
      </w:tr>
      <w:tr w:rsidR="00E05D31" w:rsidRPr="00A64D22" w:rsidTr="00284EE0">
        <w:trPr>
          <w:trHeight w:val="510"/>
        </w:trPr>
        <w:tc>
          <w:tcPr>
            <w:tcW w:w="1060" w:type="dxa"/>
            <w:vMerge/>
            <w:tcBorders>
              <w:top w:val="nil"/>
              <w:left w:val="single" w:sz="4" w:space="0" w:color="auto"/>
              <w:bottom w:val="single" w:sz="4" w:space="0" w:color="000000"/>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val="restart"/>
            <w:tcBorders>
              <w:top w:val="nil"/>
              <w:left w:val="single" w:sz="4" w:space="0" w:color="auto"/>
              <w:bottom w:val="single" w:sz="4" w:space="0" w:color="auto"/>
              <w:right w:val="single" w:sz="4" w:space="0" w:color="auto"/>
            </w:tcBorders>
            <w:shd w:val="clear" w:color="auto" w:fill="auto"/>
            <w:hideMark/>
          </w:tcPr>
          <w:p w:rsidR="00E05D31" w:rsidRPr="00A64D22" w:rsidRDefault="00E05D31" w:rsidP="00D95DD5">
            <w:pPr>
              <w:jc w:val="left"/>
              <w:rPr>
                <w:rFonts w:ascii="Times New Roman" w:eastAsia="Times New Roman" w:hAnsi="Times New Roman" w:cs="Times New Roman"/>
                <w:b/>
                <w:bCs/>
                <w:color w:val="000000"/>
                <w:sz w:val="18"/>
                <w:szCs w:val="18"/>
                <w:lang w:eastAsia="cs-CZ"/>
              </w:rPr>
            </w:pPr>
            <w:r w:rsidRPr="00A64D22">
              <w:rPr>
                <w:rFonts w:ascii="Times New Roman" w:eastAsia="Times New Roman" w:hAnsi="Times New Roman" w:cs="Times New Roman"/>
                <w:b/>
                <w:bCs/>
                <w:color w:val="000000"/>
                <w:sz w:val="18"/>
                <w:szCs w:val="18"/>
                <w:lang w:eastAsia="cs-CZ"/>
              </w:rPr>
              <w:t xml:space="preserve">3.3 </w:t>
            </w:r>
            <w:r w:rsidR="00D95DD5">
              <w:rPr>
                <w:rFonts w:ascii="Times New Roman" w:eastAsia="Times New Roman" w:hAnsi="Times New Roman" w:cs="Times New Roman"/>
                <w:b/>
                <w:bCs/>
                <w:color w:val="000000"/>
                <w:sz w:val="18"/>
                <w:szCs w:val="18"/>
                <w:lang w:eastAsia="cs-CZ"/>
              </w:rPr>
              <w:t>Zvýšit aplikaci prvků inteligentních sítí v distribučních soustavách</w:t>
            </w: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Symbol" w:hAnsi="Times New Roman" w:cs="Times New Roman"/>
                <w:color w:val="000000"/>
                <w:sz w:val="18"/>
                <w:szCs w:val="18"/>
                <w:lang w:eastAsia="cs-CZ"/>
              </w:rPr>
              <w:t xml:space="preserve">Zlepšení kvality, </w:t>
            </w:r>
            <w:r w:rsidR="00D95DD5">
              <w:rPr>
                <w:rFonts w:ascii="Times New Roman" w:eastAsia="Symbol" w:hAnsi="Times New Roman" w:cs="Times New Roman"/>
                <w:color w:val="000000"/>
                <w:sz w:val="18"/>
                <w:szCs w:val="18"/>
                <w:lang w:eastAsia="cs-CZ"/>
              </w:rPr>
              <w:t xml:space="preserve">spolehlivosti, </w:t>
            </w:r>
            <w:r w:rsidRPr="00A64D22">
              <w:rPr>
                <w:rFonts w:ascii="Times New Roman" w:eastAsia="Symbol" w:hAnsi="Times New Roman" w:cs="Times New Roman"/>
                <w:color w:val="000000"/>
                <w:sz w:val="18"/>
                <w:szCs w:val="18"/>
                <w:lang w:eastAsia="cs-CZ"/>
              </w:rPr>
              <w:t>bezpečnosti a udržitelnosti dodávek elektřiny konečným zákazníkům ve všech regionech České republiky</w:t>
            </w:r>
            <w:r w:rsidR="00D95DD5">
              <w:rPr>
                <w:rFonts w:ascii="Times New Roman" w:eastAsia="Symbol" w:hAnsi="Times New Roman" w:cs="Times New Roman"/>
                <w:color w:val="000000"/>
                <w:sz w:val="18"/>
                <w:szCs w:val="18"/>
                <w:lang w:eastAsia="cs-CZ"/>
              </w:rPr>
              <w:t xml:space="preserve"> kromě hl. m. Prahy a přiblížení na úroveň obvyklou v zemích EU-15</w:t>
            </w:r>
            <w:r w:rsidRPr="00A64D22">
              <w:rPr>
                <w:rFonts w:ascii="Times New Roman" w:eastAsia="Symbol" w:hAnsi="Times New Roman" w:cs="Times New Roman"/>
                <w:color w:val="000000"/>
                <w:sz w:val="18"/>
                <w:szCs w:val="18"/>
                <w:lang w:eastAsia="cs-CZ"/>
              </w:rPr>
              <w:t>.</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284EE0" w:rsidRDefault="00E05D31" w:rsidP="00284EE0">
            <w:pPr>
              <w:jc w:val="center"/>
              <w:rPr>
                <w:rFonts w:ascii="Times New Roman" w:eastAsia="Times New Roman" w:hAnsi="Times New Roman" w:cs="Times New Roman"/>
                <w:iCs/>
                <w:color w:val="000000"/>
                <w:sz w:val="18"/>
                <w:szCs w:val="18"/>
                <w:lang w:eastAsia="cs-CZ"/>
              </w:rPr>
            </w:pPr>
            <w:r w:rsidRPr="00284EE0">
              <w:rPr>
                <w:rFonts w:ascii="Times New Roman" w:eastAsia="Times New Roman" w:hAnsi="Times New Roman" w:cs="Times New Roman"/>
                <w:iCs/>
                <w:color w:val="000000"/>
                <w:sz w:val="18"/>
                <w:szCs w:val="18"/>
                <w:lang w:eastAsia="cs-CZ"/>
              </w:rPr>
              <w:t xml:space="preserve">TC </w:t>
            </w:r>
            <w:r w:rsidR="00284EE0" w:rsidRPr="00284EE0">
              <w:rPr>
                <w:rFonts w:ascii="Times New Roman" w:eastAsia="Times New Roman" w:hAnsi="Times New Roman" w:cs="Times New Roman"/>
                <w:iCs/>
                <w:color w:val="000000"/>
                <w:sz w:val="18"/>
                <w:szCs w:val="18"/>
                <w:lang w:eastAsia="cs-CZ"/>
              </w:rPr>
              <w:t>4</w:t>
            </w:r>
          </w:p>
        </w:tc>
        <w:tc>
          <w:tcPr>
            <w:tcW w:w="5157" w:type="dxa"/>
            <w:tcBorders>
              <w:top w:val="nil"/>
              <w:left w:val="nil"/>
              <w:bottom w:val="single" w:sz="4" w:space="0" w:color="auto"/>
              <w:right w:val="single" w:sz="4" w:space="0" w:color="auto"/>
            </w:tcBorders>
            <w:shd w:val="clear" w:color="auto" w:fill="auto"/>
            <w:hideMark/>
          </w:tcPr>
          <w:p w:rsidR="00E05D31" w:rsidRPr="00284EE0" w:rsidRDefault="00E05D31" w:rsidP="00284EE0">
            <w:pPr>
              <w:jc w:val="left"/>
              <w:rPr>
                <w:rFonts w:ascii="Times New Roman" w:eastAsia="Times New Roman" w:hAnsi="Times New Roman" w:cs="Times New Roman"/>
                <w:iCs/>
                <w:color w:val="000000"/>
                <w:sz w:val="18"/>
                <w:szCs w:val="18"/>
                <w:lang w:eastAsia="cs-CZ"/>
              </w:rPr>
            </w:pPr>
            <w:r w:rsidRPr="00284EE0">
              <w:rPr>
                <w:rFonts w:ascii="Times New Roman" w:eastAsia="Times New Roman" w:hAnsi="Times New Roman" w:cs="Times New Roman"/>
                <w:iCs/>
                <w:color w:val="000000"/>
                <w:sz w:val="18"/>
                <w:szCs w:val="18"/>
                <w:lang w:eastAsia="cs-CZ"/>
              </w:rPr>
              <w:t xml:space="preserve">Modernizace energetických distribučních sítí s důrazem na </w:t>
            </w:r>
            <w:proofErr w:type="spellStart"/>
            <w:r w:rsidRPr="00284EE0">
              <w:rPr>
                <w:rFonts w:ascii="Times New Roman" w:eastAsia="Times New Roman" w:hAnsi="Times New Roman" w:cs="Times New Roman"/>
                <w:iCs/>
                <w:color w:val="000000"/>
                <w:sz w:val="18"/>
                <w:szCs w:val="18"/>
                <w:lang w:eastAsia="cs-CZ"/>
              </w:rPr>
              <w:t>elektroenergetiku</w:t>
            </w:r>
            <w:proofErr w:type="spellEnd"/>
            <w:r w:rsidRPr="00284EE0">
              <w:rPr>
                <w:rFonts w:ascii="Times New Roman" w:eastAsia="Times New Roman" w:hAnsi="Times New Roman" w:cs="Times New Roman"/>
                <w:iCs/>
                <w:color w:val="000000"/>
                <w:sz w:val="18"/>
                <w:szCs w:val="18"/>
                <w:lang w:eastAsia="cs-CZ"/>
              </w:rPr>
              <w:t xml:space="preserve"> včetně podpory rozvoje inteligentních sítí (</w:t>
            </w:r>
            <w:proofErr w:type="spellStart"/>
            <w:r w:rsidRPr="00284EE0">
              <w:rPr>
                <w:rFonts w:ascii="Times New Roman" w:eastAsia="Times New Roman" w:hAnsi="Times New Roman" w:cs="Times New Roman"/>
                <w:iCs/>
                <w:color w:val="000000"/>
                <w:sz w:val="18"/>
                <w:szCs w:val="18"/>
                <w:lang w:eastAsia="cs-CZ"/>
              </w:rPr>
              <w:t>smartgrids</w:t>
            </w:r>
            <w:proofErr w:type="spellEnd"/>
            <w:r w:rsidRPr="00284EE0">
              <w:rPr>
                <w:rFonts w:ascii="Times New Roman" w:eastAsia="Times New Roman" w:hAnsi="Times New Roman" w:cs="Times New Roman"/>
                <w:iCs/>
                <w:color w:val="000000"/>
                <w:sz w:val="18"/>
                <w:szCs w:val="18"/>
                <w:lang w:eastAsia="cs-CZ"/>
              </w:rPr>
              <w:t>)</w:t>
            </w:r>
            <w:r w:rsidR="00E2018A" w:rsidRPr="00284EE0">
              <w:rPr>
                <w:rFonts w:ascii="Times New Roman" w:eastAsia="Times New Roman" w:hAnsi="Times New Roman" w:cs="Times New Roman"/>
                <w:iCs/>
                <w:color w:val="000000"/>
                <w:sz w:val="18"/>
                <w:szCs w:val="18"/>
                <w:lang w:eastAsia="cs-CZ"/>
              </w:rPr>
              <w:t>.</w:t>
            </w:r>
          </w:p>
        </w:tc>
      </w:tr>
      <w:tr w:rsidR="00284EE0" w:rsidRPr="00A64D22" w:rsidTr="00284EE0">
        <w:trPr>
          <w:trHeight w:val="510"/>
        </w:trPr>
        <w:tc>
          <w:tcPr>
            <w:tcW w:w="1060" w:type="dxa"/>
            <w:vMerge/>
            <w:tcBorders>
              <w:top w:val="nil"/>
              <w:left w:val="single" w:sz="4" w:space="0" w:color="auto"/>
              <w:bottom w:val="single" w:sz="4" w:space="0" w:color="000000"/>
              <w:right w:val="single" w:sz="4" w:space="0" w:color="auto"/>
            </w:tcBorders>
            <w:vAlign w:val="center"/>
            <w:hideMark/>
          </w:tcPr>
          <w:p w:rsidR="00284EE0" w:rsidRPr="00A64D22" w:rsidRDefault="00284EE0"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284EE0" w:rsidRPr="00A64D22" w:rsidRDefault="00284EE0"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284EE0" w:rsidRPr="00A64D22" w:rsidRDefault="00284EE0" w:rsidP="00C23A04">
            <w:pPr>
              <w:jc w:val="left"/>
              <w:rPr>
                <w:rFonts w:ascii="Times New Roman" w:eastAsia="Times New Roman" w:hAnsi="Times New Roman" w:cs="Times New Roman"/>
                <w:color w:val="000000"/>
                <w:sz w:val="18"/>
                <w:szCs w:val="18"/>
                <w:lang w:eastAsia="cs-CZ"/>
              </w:rPr>
            </w:pPr>
            <w:r w:rsidRPr="00A64D22">
              <w:rPr>
                <w:rFonts w:ascii="Times New Roman" w:eastAsia="Symbol" w:hAnsi="Times New Roman" w:cs="Times New Roman"/>
                <w:color w:val="000000"/>
                <w:sz w:val="18"/>
                <w:szCs w:val="18"/>
                <w:lang w:eastAsia="cs-CZ"/>
              </w:rPr>
              <w:t xml:space="preserve">Minimalizace úzkých profilů a integrace decentralizovaných zdrojů energie. S tím souvisí zavedení inteligentních technologických prvků, které budou řešit nepříznivé jevy </w:t>
            </w:r>
            <w:proofErr w:type="spellStart"/>
            <w:r w:rsidRPr="00A64D22">
              <w:rPr>
                <w:rFonts w:ascii="Times New Roman" w:eastAsia="Symbol" w:hAnsi="Times New Roman" w:cs="Times New Roman"/>
                <w:color w:val="000000"/>
                <w:sz w:val="18"/>
                <w:szCs w:val="18"/>
                <w:lang w:eastAsia="cs-CZ"/>
              </w:rPr>
              <w:t>nepredikovatelných</w:t>
            </w:r>
            <w:proofErr w:type="spellEnd"/>
            <w:r w:rsidRPr="00A64D22">
              <w:rPr>
                <w:rFonts w:ascii="Times New Roman" w:eastAsia="Symbol" w:hAnsi="Times New Roman" w:cs="Times New Roman"/>
                <w:color w:val="000000"/>
                <w:sz w:val="18"/>
                <w:szCs w:val="18"/>
                <w:lang w:eastAsia="cs-CZ"/>
              </w:rPr>
              <w:t xml:space="preserve"> výrobních zdrojů, zejména OZE. V návaznosti na to dojde k usnadnění připojení nových OZE do sítě, přičemž důsledkem rozvoje OZE bude pozitivní dopad na životní prostředí.</w:t>
            </w:r>
          </w:p>
        </w:tc>
        <w:tc>
          <w:tcPr>
            <w:tcW w:w="1080" w:type="dxa"/>
            <w:tcBorders>
              <w:top w:val="nil"/>
              <w:left w:val="double" w:sz="4" w:space="0" w:color="auto"/>
              <w:bottom w:val="single" w:sz="4" w:space="0" w:color="auto"/>
              <w:right w:val="single" w:sz="4" w:space="0" w:color="auto"/>
            </w:tcBorders>
            <w:shd w:val="clear" w:color="auto" w:fill="auto"/>
            <w:hideMark/>
          </w:tcPr>
          <w:p w:rsidR="00284EE0" w:rsidRPr="00284EE0" w:rsidRDefault="00284EE0" w:rsidP="003E430E">
            <w:pPr>
              <w:jc w:val="center"/>
              <w:rPr>
                <w:rFonts w:ascii="Times New Roman" w:eastAsia="Times New Roman" w:hAnsi="Times New Roman" w:cs="Times New Roman"/>
                <w:iCs/>
                <w:color w:val="000000"/>
                <w:sz w:val="18"/>
                <w:szCs w:val="18"/>
                <w:lang w:eastAsia="cs-CZ"/>
              </w:rPr>
            </w:pPr>
            <w:r w:rsidRPr="00284EE0">
              <w:rPr>
                <w:rFonts w:ascii="Times New Roman" w:eastAsia="Times New Roman" w:hAnsi="Times New Roman" w:cs="Times New Roman"/>
                <w:iCs/>
                <w:color w:val="000000"/>
                <w:sz w:val="18"/>
                <w:szCs w:val="18"/>
                <w:lang w:eastAsia="cs-CZ"/>
              </w:rPr>
              <w:t>TC 4</w:t>
            </w:r>
          </w:p>
        </w:tc>
        <w:tc>
          <w:tcPr>
            <w:tcW w:w="5157" w:type="dxa"/>
            <w:tcBorders>
              <w:top w:val="nil"/>
              <w:left w:val="nil"/>
              <w:bottom w:val="single" w:sz="4" w:space="0" w:color="auto"/>
              <w:right w:val="single" w:sz="4" w:space="0" w:color="auto"/>
            </w:tcBorders>
            <w:shd w:val="clear" w:color="auto" w:fill="auto"/>
            <w:hideMark/>
          </w:tcPr>
          <w:p w:rsidR="00284EE0" w:rsidRPr="00284EE0" w:rsidRDefault="00284EE0" w:rsidP="003E430E">
            <w:pPr>
              <w:jc w:val="left"/>
              <w:rPr>
                <w:rFonts w:ascii="Times New Roman" w:eastAsia="Times New Roman" w:hAnsi="Times New Roman" w:cs="Times New Roman"/>
                <w:iCs/>
                <w:color w:val="000000"/>
                <w:sz w:val="18"/>
                <w:szCs w:val="18"/>
                <w:lang w:eastAsia="cs-CZ"/>
              </w:rPr>
            </w:pPr>
            <w:r w:rsidRPr="00284EE0">
              <w:rPr>
                <w:rFonts w:ascii="Times New Roman" w:eastAsia="Times New Roman" w:hAnsi="Times New Roman" w:cs="Times New Roman"/>
                <w:iCs/>
                <w:color w:val="000000"/>
                <w:sz w:val="18"/>
                <w:szCs w:val="18"/>
                <w:lang w:eastAsia="cs-CZ"/>
              </w:rPr>
              <w:t xml:space="preserve">Modernizace energetických distribučních sítí s důrazem na </w:t>
            </w:r>
            <w:proofErr w:type="spellStart"/>
            <w:r w:rsidRPr="00284EE0">
              <w:rPr>
                <w:rFonts w:ascii="Times New Roman" w:eastAsia="Times New Roman" w:hAnsi="Times New Roman" w:cs="Times New Roman"/>
                <w:iCs/>
                <w:color w:val="000000"/>
                <w:sz w:val="18"/>
                <w:szCs w:val="18"/>
                <w:lang w:eastAsia="cs-CZ"/>
              </w:rPr>
              <w:t>elektroenergetiku</w:t>
            </w:r>
            <w:proofErr w:type="spellEnd"/>
            <w:r w:rsidRPr="00284EE0">
              <w:rPr>
                <w:rFonts w:ascii="Times New Roman" w:eastAsia="Times New Roman" w:hAnsi="Times New Roman" w:cs="Times New Roman"/>
                <w:iCs/>
                <w:color w:val="000000"/>
                <w:sz w:val="18"/>
                <w:szCs w:val="18"/>
                <w:lang w:eastAsia="cs-CZ"/>
              </w:rPr>
              <w:t xml:space="preserve"> včetně podpory rozvoje inteligentních sítí (</w:t>
            </w:r>
            <w:proofErr w:type="spellStart"/>
            <w:r w:rsidRPr="00284EE0">
              <w:rPr>
                <w:rFonts w:ascii="Times New Roman" w:eastAsia="Times New Roman" w:hAnsi="Times New Roman" w:cs="Times New Roman"/>
                <w:iCs/>
                <w:color w:val="000000"/>
                <w:sz w:val="18"/>
                <w:szCs w:val="18"/>
                <w:lang w:eastAsia="cs-CZ"/>
              </w:rPr>
              <w:t>smartgrids</w:t>
            </w:r>
            <w:proofErr w:type="spellEnd"/>
            <w:r w:rsidRPr="00284EE0">
              <w:rPr>
                <w:rFonts w:ascii="Times New Roman" w:eastAsia="Times New Roman" w:hAnsi="Times New Roman" w:cs="Times New Roman"/>
                <w:iCs/>
                <w:color w:val="000000"/>
                <w:sz w:val="18"/>
                <w:szCs w:val="18"/>
                <w:lang w:eastAsia="cs-CZ"/>
              </w:rPr>
              <w:t>).</w:t>
            </w:r>
          </w:p>
        </w:tc>
      </w:tr>
      <w:tr w:rsidR="00284EE0" w:rsidRPr="00A64D22" w:rsidTr="00284EE0">
        <w:trPr>
          <w:trHeight w:val="249"/>
        </w:trPr>
        <w:tc>
          <w:tcPr>
            <w:tcW w:w="1060" w:type="dxa"/>
            <w:vMerge/>
            <w:tcBorders>
              <w:top w:val="nil"/>
              <w:left w:val="single" w:sz="4" w:space="0" w:color="auto"/>
              <w:bottom w:val="single" w:sz="4" w:space="0" w:color="000000"/>
              <w:right w:val="single" w:sz="4" w:space="0" w:color="auto"/>
            </w:tcBorders>
            <w:vAlign w:val="center"/>
            <w:hideMark/>
          </w:tcPr>
          <w:p w:rsidR="00284EE0" w:rsidRPr="00A64D22" w:rsidRDefault="00284EE0"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284EE0" w:rsidRPr="00A64D22" w:rsidRDefault="00284EE0"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284EE0" w:rsidRPr="00A64D22" w:rsidRDefault="00284EE0" w:rsidP="00E05D31">
            <w:pPr>
              <w:jc w:val="left"/>
              <w:rPr>
                <w:rFonts w:ascii="Times New Roman" w:eastAsia="Times New Roman" w:hAnsi="Times New Roman" w:cs="Times New Roman"/>
                <w:color w:val="000000"/>
                <w:sz w:val="18"/>
                <w:szCs w:val="18"/>
                <w:lang w:eastAsia="cs-CZ"/>
              </w:rPr>
            </w:pPr>
            <w:r>
              <w:rPr>
                <w:rFonts w:ascii="Times New Roman" w:eastAsia="Times New Roman" w:hAnsi="Times New Roman" w:cs="Times New Roman"/>
                <w:color w:val="000000"/>
                <w:sz w:val="18"/>
                <w:szCs w:val="18"/>
                <w:lang w:eastAsia="cs-CZ"/>
              </w:rPr>
              <w:t>Snížení ztrát a zvýšení účinnosti distribuce elektrické energie</w:t>
            </w:r>
          </w:p>
        </w:tc>
        <w:tc>
          <w:tcPr>
            <w:tcW w:w="1080" w:type="dxa"/>
            <w:tcBorders>
              <w:top w:val="nil"/>
              <w:left w:val="double" w:sz="4" w:space="0" w:color="auto"/>
              <w:bottom w:val="single" w:sz="4" w:space="0" w:color="auto"/>
              <w:right w:val="single" w:sz="4" w:space="0" w:color="auto"/>
            </w:tcBorders>
            <w:shd w:val="clear" w:color="auto" w:fill="auto"/>
            <w:hideMark/>
          </w:tcPr>
          <w:p w:rsidR="00284EE0" w:rsidRPr="00284EE0" w:rsidRDefault="00284EE0" w:rsidP="003E430E">
            <w:pPr>
              <w:jc w:val="center"/>
              <w:rPr>
                <w:rFonts w:ascii="Times New Roman" w:eastAsia="Times New Roman" w:hAnsi="Times New Roman" w:cs="Times New Roman"/>
                <w:iCs/>
                <w:color w:val="000000"/>
                <w:sz w:val="18"/>
                <w:szCs w:val="18"/>
                <w:lang w:eastAsia="cs-CZ"/>
              </w:rPr>
            </w:pPr>
            <w:r w:rsidRPr="00284EE0">
              <w:rPr>
                <w:rFonts w:ascii="Times New Roman" w:eastAsia="Times New Roman" w:hAnsi="Times New Roman" w:cs="Times New Roman"/>
                <w:iCs/>
                <w:color w:val="000000"/>
                <w:sz w:val="18"/>
                <w:szCs w:val="18"/>
                <w:lang w:eastAsia="cs-CZ"/>
              </w:rPr>
              <w:t>TC 4</w:t>
            </w:r>
          </w:p>
        </w:tc>
        <w:tc>
          <w:tcPr>
            <w:tcW w:w="5157" w:type="dxa"/>
            <w:tcBorders>
              <w:top w:val="nil"/>
              <w:left w:val="nil"/>
              <w:bottom w:val="single" w:sz="4" w:space="0" w:color="auto"/>
              <w:right w:val="single" w:sz="4" w:space="0" w:color="auto"/>
            </w:tcBorders>
            <w:shd w:val="clear" w:color="auto" w:fill="auto"/>
            <w:hideMark/>
          </w:tcPr>
          <w:p w:rsidR="00284EE0" w:rsidRPr="00284EE0" w:rsidRDefault="00284EE0" w:rsidP="003E430E">
            <w:pPr>
              <w:jc w:val="left"/>
              <w:rPr>
                <w:rFonts w:ascii="Times New Roman" w:eastAsia="Times New Roman" w:hAnsi="Times New Roman" w:cs="Times New Roman"/>
                <w:iCs/>
                <w:color w:val="000000"/>
                <w:sz w:val="18"/>
                <w:szCs w:val="18"/>
                <w:lang w:eastAsia="cs-CZ"/>
              </w:rPr>
            </w:pPr>
            <w:r w:rsidRPr="00284EE0">
              <w:rPr>
                <w:rFonts w:ascii="Times New Roman" w:eastAsia="Times New Roman" w:hAnsi="Times New Roman" w:cs="Times New Roman"/>
                <w:iCs/>
                <w:color w:val="000000"/>
                <w:sz w:val="18"/>
                <w:szCs w:val="18"/>
                <w:lang w:eastAsia="cs-CZ"/>
              </w:rPr>
              <w:t xml:space="preserve">Modernizace energetických distribučních sítí s důrazem na </w:t>
            </w:r>
            <w:proofErr w:type="spellStart"/>
            <w:r w:rsidRPr="00284EE0">
              <w:rPr>
                <w:rFonts w:ascii="Times New Roman" w:eastAsia="Times New Roman" w:hAnsi="Times New Roman" w:cs="Times New Roman"/>
                <w:iCs/>
                <w:color w:val="000000"/>
                <w:sz w:val="18"/>
                <w:szCs w:val="18"/>
                <w:lang w:eastAsia="cs-CZ"/>
              </w:rPr>
              <w:t>elektroenergetiku</w:t>
            </w:r>
            <w:proofErr w:type="spellEnd"/>
            <w:r w:rsidRPr="00284EE0">
              <w:rPr>
                <w:rFonts w:ascii="Times New Roman" w:eastAsia="Times New Roman" w:hAnsi="Times New Roman" w:cs="Times New Roman"/>
                <w:iCs/>
                <w:color w:val="000000"/>
                <w:sz w:val="18"/>
                <w:szCs w:val="18"/>
                <w:lang w:eastAsia="cs-CZ"/>
              </w:rPr>
              <w:t xml:space="preserve"> včetně podpory rozvoje inteligentních sítí (</w:t>
            </w:r>
            <w:proofErr w:type="spellStart"/>
            <w:r w:rsidRPr="00284EE0">
              <w:rPr>
                <w:rFonts w:ascii="Times New Roman" w:eastAsia="Times New Roman" w:hAnsi="Times New Roman" w:cs="Times New Roman"/>
                <w:iCs/>
                <w:color w:val="000000"/>
                <w:sz w:val="18"/>
                <w:szCs w:val="18"/>
                <w:lang w:eastAsia="cs-CZ"/>
              </w:rPr>
              <w:t>smartgrids</w:t>
            </w:r>
            <w:proofErr w:type="spellEnd"/>
            <w:r w:rsidRPr="00284EE0">
              <w:rPr>
                <w:rFonts w:ascii="Times New Roman" w:eastAsia="Times New Roman" w:hAnsi="Times New Roman" w:cs="Times New Roman"/>
                <w:iCs/>
                <w:color w:val="000000"/>
                <w:sz w:val="18"/>
                <w:szCs w:val="18"/>
                <w:lang w:eastAsia="cs-CZ"/>
              </w:rPr>
              <w:t>).</w:t>
            </w:r>
          </w:p>
        </w:tc>
      </w:tr>
      <w:tr w:rsidR="00E05D31" w:rsidRPr="00A64D22" w:rsidTr="00385140">
        <w:trPr>
          <w:trHeight w:val="510"/>
        </w:trPr>
        <w:tc>
          <w:tcPr>
            <w:tcW w:w="1060" w:type="dxa"/>
            <w:vMerge/>
            <w:tcBorders>
              <w:top w:val="nil"/>
              <w:left w:val="single" w:sz="4" w:space="0" w:color="auto"/>
              <w:bottom w:val="single" w:sz="4" w:space="0" w:color="000000"/>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385140" w:rsidP="00E05D31">
            <w:pPr>
              <w:jc w:val="left"/>
              <w:rPr>
                <w:rFonts w:ascii="Times New Roman" w:eastAsia="Times New Roman" w:hAnsi="Times New Roman" w:cs="Times New Roman"/>
                <w:color w:val="000000"/>
                <w:sz w:val="18"/>
                <w:szCs w:val="18"/>
                <w:lang w:eastAsia="cs-CZ"/>
              </w:rPr>
            </w:pPr>
            <w:r>
              <w:rPr>
                <w:rFonts w:ascii="Times New Roman" w:eastAsia="Symbol" w:hAnsi="Times New Roman" w:cs="Times New Roman"/>
                <w:color w:val="000000"/>
                <w:sz w:val="18"/>
                <w:szCs w:val="18"/>
                <w:lang w:eastAsia="cs-CZ"/>
              </w:rPr>
              <w:t xml:space="preserve">Zvýšení volné připojovací kapacity a dodatečného výkonu pro integraci decentralizovaných zdrojů energie na hladině nízkého (do 1000 V) a středního napětí (1000 V až 50 </w:t>
            </w:r>
            <w:proofErr w:type="spellStart"/>
            <w:r>
              <w:rPr>
                <w:rFonts w:ascii="Times New Roman" w:eastAsia="Symbol" w:hAnsi="Times New Roman" w:cs="Times New Roman"/>
                <w:color w:val="000000"/>
                <w:sz w:val="18"/>
                <w:szCs w:val="18"/>
                <w:lang w:eastAsia="cs-CZ"/>
              </w:rPr>
              <w:t>kV</w:t>
            </w:r>
            <w:proofErr w:type="spellEnd"/>
            <w:r>
              <w:rPr>
                <w:rFonts w:ascii="Times New Roman" w:eastAsia="Symbol" w:hAnsi="Times New Roman" w:cs="Times New Roman"/>
                <w:color w:val="000000"/>
                <w:sz w:val="18"/>
                <w:szCs w:val="18"/>
                <w:lang w:eastAsia="cs-CZ"/>
              </w:rPr>
              <w:t>)</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385140" w:rsidP="00385140">
            <w:pPr>
              <w:jc w:val="left"/>
              <w:rPr>
                <w:rFonts w:ascii="Times New Roman" w:eastAsia="Times New Roman" w:hAnsi="Times New Roman" w:cs="Times New Roman"/>
                <w:color w:val="000000"/>
                <w:sz w:val="18"/>
                <w:szCs w:val="18"/>
                <w:lang w:eastAsia="cs-CZ"/>
              </w:rPr>
            </w:pPr>
            <w:r>
              <w:rPr>
                <w:rFonts w:ascii="Times New Roman" w:eastAsia="Times New Roman" w:hAnsi="Times New Roman" w:cs="Times New Roman"/>
                <w:color w:val="000000"/>
                <w:sz w:val="18"/>
                <w:szCs w:val="18"/>
                <w:lang w:eastAsia="cs-CZ"/>
              </w:rPr>
              <w:t>???</w:t>
            </w:r>
          </w:p>
        </w:tc>
      </w:tr>
      <w:tr w:rsidR="00E05D31" w:rsidRPr="00A64D22" w:rsidTr="002921DB">
        <w:trPr>
          <w:trHeight w:val="510"/>
        </w:trPr>
        <w:tc>
          <w:tcPr>
            <w:tcW w:w="1060" w:type="dxa"/>
            <w:vMerge/>
            <w:tcBorders>
              <w:top w:val="nil"/>
              <w:left w:val="single" w:sz="4" w:space="0" w:color="auto"/>
              <w:bottom w:val="single" w:sz="4" w:space="0" w:color="000000"/>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Impuls pro rozvoj průmyslu, podnikání a celé ekonomiky díky rozvoji a modernizaci energetické infrastruktury</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w:t>
            </w: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w:t>
            </w:r>
          </w:p>
        </w:tc>
      </w:tr>
      <w:tr w:rsidR="003E430E" w:rsidRPr="00A64D22" w:rsidTr="003E430E">
        <w:trPr>
          <w:trHeight w:val="510"/>
        </w:trPr>
        <w:tc>
          <w:tcPr>
            <w:tcW w:w="1060" w:type="dxa"/>
            <w:vMerge/>
            <w:tcBorders>
              <w:top w:val="nil"/>
              <w:left w:val="single" w:sz="4" w:space="0" w:color="auto"/>
              <w:bottom w:val="single" w:sz="4" w:space="0" w:color="000000"/>
              <w:right w:val="single" w:sz="4" w:space="0" w:color="auto"/>
            </w:tcBorders>
            <w:vAlign w:val="center"/>
            <w:hideMark/>
          </w:tcPr>
          <w:p w:rsidR="003E430E" w:rsidRPr="00A64D22" w:rsidRDefault="003E430E" w:rsidP="00E05D31">
            <w:pPr>
              <w:jc w:val="left"/>
              <w:rPr>
                <w:rFonts w:ascii="Times New Roman" w:eastAsia="Times New Roman" w:hAnsi="Times New Roman" w:cs="Times New Roman"/>
                <w:b/>
                <w:bCs/>
                <w:color w:val="000000"/>
                <w:sz w:val="18"/>
                <w:szCs w:val="18"/>
                <w:lang w:eastAsia="cs-CZ"/>
              </w:rPr>
            </w:pPr>
          </w:p>
        </w:tc>
        <w:tc>
          <w:tcPr>
            <w:tcW w:w="2206" w:type="dxa"/>
            <w:vMerge w:val="restart"/>
            <w:tcBorders>
              <w:top w:val="nil"/>
              <w:left w:val="single" w:sz="4" w:space="0" w:color="auto"/>
              <w:bottom w:val="single" w:sz="4" w:space="0" w:color="auto"/>
              <w:right w:val="single" w:sz="4" w:space="0" w:color="auto"/>
            </w:tcBorders>
            <w:shd w:val="clear" w:color="auto" w:fill="auto"/>
            <w:hideMark/>
          </w:tcPr>
          <w:p w:rsidR="003E430E" w:rsidRPr="00A64D22" w:rsidRDefault="003E430E" w:rsidP="00C23A04">
            <w:pPr>
              <w:jc w:val="left"/>
              <w:rPr>
                <w:rFonts w:ascii="Times New Roman" w:eastAsia="Times New Roman" w:hAnsi="Times New Roman" w:cs="Times New Roman"/>
                <w:b/>
                <w:bCs/>
                <w:color w:val="000000"/>
                <w:sz w:val="18"/>
                <w:szCs w:val="18"/>
                <w:lang w:eastAsia="cs-CZ"/>
              </w:rPr>
            </w:pPr>
            <w:r w:rsidRPr="00A64D22">
              <w:rPr>
                <w:rFonts w:ascii="Times New Roman" w:eastAsia="Times New Roman" w:hAnsi="Times New Roman" w:cs="Times New Roman"/>
                <w:b/>
                <w:bCs/>
                <w:color w:val="000000"/>
                <w:sz w:val="18"/>
                <w:szCs w:val="18"/>
                <w:lang w:eastAsia="cs-CZ"/>
              </w:rPr>
              <w:t xml:space="preserve">3.4 Uplatnit ve větší míře nízkouhlíkové technologie </w:t>
            </w:r>
            <w:r w:rsidRPr="00A64D22">
              <w:rPr>
                <w:rFonts w:ascii="Times New Roman" w:eastAsia="Times New Roman" w:hAnsi="Times New Roman" w:cs="Times New Roman"/>
                <w:b/>
                <w:bCs/>
                <w:color w:val="000000"/>
                <w:sz w:val="18"/>
                <w:szCs w:val="18"/>
                <w:lang w:eastAsia="cs-CZ"/>
              </w:rPr>
              <w:lastRenderedPageBreak/>
              <w:t xml:space="preserve">v oblasti nakládání energií </w:t>
            </w:r>
            <w:r>
              <w:rPr>
                <w:rFonts w:ascii="Times New Roman" w:eastAsia="Times New Roman" w:hAnsi="Times New Roman" w:cs="Times New Roman"/>
                <w:b/>
                <w:bCs/>
                <w:color w:val="000000"/>
                <w:sz w:val="18"/>
                <w:szCs w:val="18"/>
                <w:lang w:eastAsia="cs-CZ"/>
              </w:rPr>
              <w:t>a při</w:t>
            </w:r>
            <w:r w:rsidRPr="00A64D22">
              <w:rPr>
                <w:rFonts w:ascii="Times New Roman" w:eastAsia="Times New Roman" w:hAnsi="Times New Roman" w:cs="Times New Roman"/>
                <w:b/>
                <w:bCs/>
                <w:color w:val="000000"/>
                <w:sz w:val="18"/>
                <w:szCs w:val="18"/>
                <w:lang w:eastAsia="cs-CZ"/>
              </w:rPr>
              <w:t xml:space="preserve"> využívání druhotných surovin</w:t>
            </w:r>
          </w:p>
        </w:tc>
        <w:tc>
          <w:tcPr>
            <w:tcW w:w="4819" w:type="dxa"/>
            <w:tcBorders>
              <w:top w:val="nil"/>
              <w:left w:val="nil"/>
              <w:bottom w:val="single" w:sz="4" w:space="0" w:color="auto"/>
              <w:right w:val="double" w:sz="4" w:space="0" w:color="auto"/>
            </w:tcBorders>
            <w:shd w:val="clear" w:color="auto" w:fill="auto"/>
            <w:hideMark/>
          </w:tcPr>
          <w:p w:rsidR="003E430E" w:rsidRPr="00A64D22" w:rsidRDefault="003E430E" w:rsidP="00BD1B5B">
            <w:pPr>
              <w:jc w:val="left"/>
              <w:rPr>
                <w:rFonts w:ascii="Times New Roman" w:eastAsia="Times New Roman" w:hAnsi="Times New Roman" w:cs="Times New Roman"/>
                <w:color w:val="000000"/>
                <w:sz w:val="18"/>
                <w:szCs w:val="18"/>
                <w:lang w:eastAsia="cs-CZ"/>
              </w:rPr>
            </w:pPr>
            <w:r w:rsidRPr="00BD1B5B">
              <w:rPr>
                <w:rFonts w:ascii="Times New Roman" w:eastAsia="Symbol" w:hAnsi="Times New Roman" w:cs="Times New Roman"/>
                <w:color w:val="000000"/>
                <w:sz w:val="18"/>
                <w:szCs w:val="18"/>
                <w:lang w:eastAsia="cs-CZ"/>
              </w:rPr>
              <w:lastRenderedPageBreak/>
              <w:t xml:space="preserve">Zvýšení využití efektivnějších a spolehlivějších energetických a surovinových nízkouhlíkových technologií, které se běžně v ČR </w:t>
            </w:r>
            <w:r w:rsidRPr="00BD1B5B">
              <w:rPr>
                <w:rFonts w:ascii="Times New Roman" w:eastAsia="Symbol" w:hAnsi="Times New Roman" w:cs="Times New Roman"/>
                <w:color w:val="000000"/>
                <w:sz w:val="18"/>
                <w:szCs w:val="18"/>
                <w:lang w:eastAsia="cs-CZ"/>
              </w:rPr>
              <w:lastRenderedPageBreak/>
              <w:t xml:space="preserve">komerčně neuplatňují. Specifický cíl chce především naplňovat principy v souladu s Iniciativou </w:t>
            </w:r>
            <w:proofErr w:type="spellStart"/>
            <w:r w:rsidRPr="00BD1B5B">
              <w:rPr>
                <w:rFonts w:ascii="Times New Roman" w:eastAsia="Symbol" w:hAnsi="Times New Roman" w:cs="Times New Roman"/>
                <w:color w:val="000000"/>
                <w:sz w:val="18"/>
                <w:szCs w:val="18"/>
                <w:lang w:eastAsia="cs-CZ"/>
              </w:rPr>
              <w:t>Smart</w:t>
            </w:r>
            <w:proofErr w:type="spellEnd"/>
            <w:r w:rsidRPr="00BD1B5B">
              <w:rPr>
                <w:rFonts w:ascii="Times New Roman" w:eastAsia="Symbol" w:hAnsi="Times New Roman" w:cs="Times New Roman"/>
                <w:color w:val="000000"/>
                <w:sz w:val="18"/>
                <w:szCs w:val="18"/>
                <w:lang w:eastAsia="cs-CZ"/>
              </w:rPr>
              <w:t xml:space="preserve"> </w:t>
            </w:r>
            <w:proofErr w:type="spellStart"/>
            <w:r w:rsidRPr="00BD1B5B">
              <w:rPr>
                <w:rFonts w:ascii="Times New Roman" w:eastAsia="Symbol" w:hAnsi="Times New Roman" w:cs="Times New Roman"/>
                <w:color w:val="000000"/>
                <w:sz w:val="18"/>
                <w:szCs w:val="18"/>
                <w:lang w:eastAsia="cs-CZ"/>
              </w:rPr>
              <w:t>Cities</w:t>
            </w:r>
            <w:proofErr w:type="spellEnd"/>
            <w:r w:rsidRPr="00BD1B5B">
              <w:rPr>
                <w:rFonts w:ascii="Times New Roman" w:eastAsia="Symbol" w:hAnsi="Times New Roman" w:cs="Times New Roman"/>
                <w:color w:val="000000"/>
                <w:sz w:val="18"/>
                <w:szCs w:val="18"/>
                <w:lang w:eastAsia="cs-CZ"/>
              </w:rPr>
              <w:t xml:space="preserve"> a v další části chce pomoci zavádět technologie pro zpracování druhotných surovin v souladu se strategií Evropa méně náročná na zdroje.</w:t>
            </w:r>
          </w:p>
        </w:tc>
        <w:tc>
          <w:tcPr>
            <w:tcW w:w="1080" w:type="dxa"/>
            <w:tcBorders>
              <w:top w:val="nil"/>
              <w:left w:val="double" w:sz="4" w:space="0" w:color="auto"/>
              <w:bottom w:val="single" w:sz="4" w:space="0" w:color="auto"/>
              <w:right w:val="single" w:sz="4" w:space="0" w:color="auto"/>
            </w:tcBorders>
            <w:shd w:val="clear" w:color="auto" w:fill="auto"/>
            <w:hideMark/>
          </w:tcPr>
          <w:p w:rsidR="003E430E" w:rsidRPr="00A64D22" w:rsidRDefault="003E430E" w:rsidP="00E05D31">
            <w:pPr>
              <w:jc w:val="center"/>
              <w:rPr>
                <w:rFonts w:ascii="Times New Roman" w:eastAsia="Times New Roman" w:hAnsi="Times New Roman" w:cs="Times New Roman"/>
                <w:i/>
                <w:iCs/>
                <w:color w:val="000000"/>
                <w:sz w:val="18"/>
                <w:szCs w:val="18"/>
                <w:lang w:eastAsia="cs-CZ"/>
              </w:rPr>
            </w:pPr>
          </w:p>
        </w:tc>
        <w:tc>
          <w:tcPr>
            <w:tcW w:w="5157" w:type="dxa"/>
            <w:tcBorders>
              <w:top w:val="nil"/>
              <w:left w:val="nil"/>
              <w:bottom w:val="single" w:sz="4" w:space="0" w:color="auto"/>
              <w:right w:val="single" w:sz="4" w:space="0" w:color="auto"/>
            </w:tcBorders>
            <w:shd w:val="clear" w:color="auto" w:fill="auto"/>
            <w:vAlign w:val="center"/>
            <w:hideMark/>
          </w:tcPr>
          <w:p w:rsidR="003E430E" w:rsidRDefault="003E430E" w:rsidP="003E430E">
            <w:pPr>
              <w:jc w:val="left"/>
            </w:pPr>
            <w:r w:rsidRPr="009526CF">
              <w:rPr>
                <w:rFonts w:ascii="Times New Roman" w:eastAsia="Times New Roman" w:hAnsi="Times New Roman" w:cs="Times New Roman"/>
                <w:color w:val="000000"/>
                <w:sz w:val="18"/>
                <w:szCs w:val="18"/>
                <w:lang w:eastAsia="cs-CZ"/>
              </w:rPr>
              <w:t>???</w:t>
            </w:r>
          </w:p>
        </w:tc>
      </w:tr>
      <w:tr w:rsidR="003E430E" w:rsidRPr="00A64D22" w:rsidTr="003E430E">
        <w:trPr>
          <w:trHeight w:val="1020"/>
        </w:trPr>
        <w:tc>
          <w:tcPr>
            <w:tcW w:w="1060" w:type="dxa"/>
            <w:vMerge/>
            <w:tcBorders>
              <w:top w:val="nil"/>
              <w:left w:val="single" w:sz="4" w:space="0" w:color="auto"/>
              <w:bottom w:val="single" w:sz="4" w:space="0" w:color="000000"/>
              <w:right w:val="single" w:sz="4" w:space="0" w:color="auto"/>
            </w:tcBorders>
            <w:vAlign w:val="center"/>
            <w:hideMark/>
          </w:tcPr>
          <w:p w:rsidR="003E430E" w:rsidRPr="00A64D22" w:rsidRDefault="003E430E"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3E430E" w:rsidRPr="00A64D22" w:rsidRDefault="003E430E"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3E430E" w:rsidRPr="00A64D22" w:rsidRDefault="003E430E" w:rsidP="00E05D31">
            <w:pPr>
              <w:jc w:val="left"/>
              <w:rPr>
                <w:rFonts w:ascii="Times New Roman" w:eastAsia="Times New Roman" w:hAnsi="Times New Roman" w:cs="Times New Roman"/>
                <w:color w:val="000000"/>
                <w:sz w:val="18"/>
                <w:szCs w:val="18"/>
                <w:lang w:eastAsia="cs-CZ"/>
              </w:rPr>
            </w:pPr>
            <w:r w:rsidRPr="00A64D22">
              <w:rPr>
                <w:rFonts w:ascii="Times New Roman" w:eastAsia="Symbol" w:hAnsi="Times New Roman" w:cs="Times New Roman"/>
                <w:color w:val="000000"/>
                <w:sz w:val="18"/>
                <w:szCs w:val="18"/>
                <w:lang w:eastAsia="cs-CZ"/>
              </w:rPr>
              <w:t>Využití potenciálu pro zavádění moderních nízkouhlíkových technologií v oblasti nakládání energií a využívání druhotných surovin - především v malých a středních podnicích - který zvyšuje vedle konkurenceschopnosti rovněž i celkový inovační potenciál ČR v oblasti nakládání energií a druhotnými surovinami.</w:t>
            </w:r>
          </w:p>
        </w:tc>
        <w:tc>
          <w:tcPr>
            <w:tcW w:w="1080" w:type="dxa"/>
            <w:tcBorders>
              <w:top w:val="nil"/>
              <w:left w:val="double" w:sz="4" w:space="0" w:color="auto"/>
              <w:bottom w:val="single" w:sz="4" w:space="0" w:color="auto"/>
              <w:right w:val="single" w:sz="4" w:space="0" w:color="auto"/>
            </w:tcBorders>
            <w:shd w:val="clear" w:color="auto" w:fill="auto"/>
            <w:hideMark/>
          </w:tcPr>
          <w:p w:rsidR="003E430E" w:rsidRPr="00A64D22" w:rsidRDefault="003E430E" w:rsidP="00E05D31">
            <w:pPr>
              <w:jc w:val="center"/>
              <w:rPr>
                <w:rFonts w:ascii="Times New Roman" w:eastAsia="Times New Roman" w:hAnsi="Times New Roman" w:cs="Times New Roman"/>
                <w:i/>
                <w:iCs/>
                <w:color w:val="000000"/>
                <w:sz w:val="18"/>
                <w:szCs w:val="18"/>
                <w:lang w:eastAsia="cs-CZ"/>
              </w:rPr>
            </w:pPr>
          </w:p>
        </w:tc>
        <w:tc>
          <w:tcPr>
            <w:tcW w:w="5157" w:type="dxa"/>
            <w:tcBorders>
              <w:top w:val="nil"/>
              <w:left w:val="nil"/>
              <w:bottom w:val="single" w:sz="4" w:space="0" w:color="auto"/>
              <w:right w:val="single" w:sz="4" w:space="0" w:color="auto"/>
            </w:tcBorders>
            <w:shd w:val="clear" w:color="auto" w:fill="auto"/>
            <w:vAlign w:val="center"/>
            <w:hideMark/>
          </w:tcPr>
          <w:p w:rsidR="003E430E" w:rsidRDefault="003E430E" w:rsidP="003E430E">
            <w:pPr>
              <w:jc w:val="left"/>
            </w:pPr>
            <w:r w:rsidRPr="009526CF">
              <w:rPr>
                <w:rFonts w:ascii="Times New Roman" w:eastAsia="Times New Roman" w:hAnsi="Times New Roman" w:cs="Times New Roman"/>
                <w:color w:val="000000"/>
                <w:sz w:val="18"/>
                <w:szCs w:val="18"/>
                <w:lang w:eastAsia="cs-CZ"/>
              </w:rPr>
              <w:t>???</w:t>
            </w:r>
          </w:p>
        </w:tc>
      </w:tr>
      <w:tr w:rsidR="00E05D31" w:rsidRPr="00A64D22" w:rsidTr="002921DB">
        <w:trPr>
          <w:trHeight w:val="1785"/>
        </w:trPr>
        <w:tc>
          <w:tcPr>
            <w:tcW w:w="1060" w:type="dxa"/>
            <w:vMerge/>
            <w:tcBorders>
              <w:top w:val="nil"/>
              <w:left w:val="single" w:sz="4" w:space="0" w:color="auto"/>
              <w:bottom w:val="single" w:sz="4" w:space="0" w:color="000000"/>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Symbol" w:hAnsi="Times New Roman" w:cs="Times New Roman"/>
                <w:color w:val="000000"/>
                <w:sz w:val="18"/>
                <w:szCs w:val="18"/>
                <w:lang w:eastAsia="cs-CZ"/>
              </w:rPr>
              <w:t>Zvýšení soběstačnosti ČR v surovinových zdrojích substitucí primárních zdrojů druhotnými surovinami a zvýšení inovační aktivity podniků směrem k efektivnějšímu využívání klíčových surovin během celého jejich životního cyklu. Konkurenceschopnost a růst bude vycházet z využívání menšího objemu zdrojů, produkce a spotřeby zboží, vytváření podnikatelských příležitostí i nových pracovních míst v oborech lepšího designu výrobků a nahrazování primárních materiálů materiály vyrobenými z druhotných surovin.</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w:t>
            </w: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w:t>
            </w:r>
          </w:p>
        </w:tc>
      </w:tr>
      <w:tr w:rsidR="00E05D31" w:rsidRPr="00A64D22" w:rsidTr="002921DB">
        <w:trPr>
          <w:trHeight w:val="765"/>
        </w:trPr>
        <w:tc>
          <w:tcPr>
            <w:tcW w:w="1060" w:type="dxa"/>
            <w:vMerge/>
            <w:tcBorders>
              <w:top w:val="nil"/>
              <w:left w:val="single" w:sz="4" w:space="0" w:color="auto"/>
              <w:bottom w:val="single" w:sz="4" w:space="0" w:color="000000"/>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Symbol" w:hAnsi="Times New Roman" w:cs="Times New Roman"/>
                <w:color w:val="000000"/>
                <w:sz w:val="18"/>
                <w:szCs w:val="18"/>
                <w:lang w:eastAsia="cs-CZ"/>
              </w:rPr>
              <w:t>Výsledkem vyššího využívání druhotných surovin bude snížení energetické a materiálové náročnosti ve všech výrobních odvětvích a snížení emisí z průmyslové činnosti v souvislosti s poklesem objemu těžby primárních surovin.</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w:t>
            </w: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w:t>
            </w:r>
          </w:p>
        </w:tc>
      </w:tr>
      <w:tr w:rsidR="00E05D31" w:rsidRPr="00A64D22" w:rsidTr="002921DB">
        <w:trPr>
          <w:trHeight w:val="1530"/>
        </w:trPr>
        <w:tc>
          <w:tcPr>
            <w:tcW w:w="1060" w:type="dxa"/>
            <w:vMerge/>
            <w:tcBorders>
              <w:top w:val="nil"/>
              <w:left w:val="single" w:sz="4" w:space="0" w:color="auto"/>
              <w:bottom w:val="single" w:sz="4" w:space="0" w:color="000000"/>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Pozitivní dopad z hlediska životního prostředí v důsledku zavádění nízkouhlíkových technologií do výrobních procesů v podnicích. Naplňování specifického cíle povede k podpoře udržitelného růstu, který kromě jiného zahrnuje vytváření udržitelné a konkurenceschopné ekonomiky méně náročné na zdroje, přispěje k posilování konkurenčních výhod zejména malých a středních podniků, zavádění technologií a výrobních postupů, jež snižují využívání přírodních zdrojů.</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w:t>
            </w:r>
          </w:p>
        </w:tc>
        <w:tc>
          <w:tcPr>
            <w:tcW w:w="5157" w:type="dxa"/>
            <w:tcBorders>
              <w:top w:val="nil"/>
              <w:left w:val="nil"/>
              <w:bottom w:val="single" w:sz="4" w:space="0" w:color="auto"/>
              <w:right w:val="single" w:sz="4" w:space="0" w:color="auto"/>
            </w:tcBorders>
            <w:shd w:val="clear" w:color="auto" w:fill="auto"/>
            <w:vAlign w:val="center"/>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w:t>
            </w:r>
          </w:p>
        </w:tc>
      </w:tr>
      <w:tr w:rsidR="00E05D31" w:rsidRPr="00A64D22" w:rsidTr="002921DB">
        <w:trPr>
          <w:trHeight w:val="1020"/>
        </w:trPr>
        <w:tc>
          <w:tcPr>
            <w:tcW w:w="1060" w:type="dxa"/>
            <w:vMerge/>
            <w:tcBorders>
              <w:top w:val="nil"/>
              <w:left w:val="single" w:sz="4" w:space="0" w:color="auto"/>
              <w:bottom w:val="single" w:sz="4" w:space="0" w:color="000000"/>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val="restart"/>
            <w:tcBorders>
              <w:top w:val="nil"/>
              <w:left w:val="single" w:sz="4" w:space="0" w:color="auto"/>
              <w:bottom w:val="single" w:sz="4" w:space="0" w:color="000000"/>
              <w:right w:val="single" w:sz="4" w:space="0" w:color="auto"/>
            </w:tcBorders>
            <w:shd w:val="clear" w:color="auto" w:fill="auto"/>
            <w:hideMark/>
          </w:tcPr>
          <w:p w:rsidR="00E05D31" w:rsidRPr="00A64D22" w:rsidRDefault="00E05D31" w:rsidP="00C23A04">
            <w:pPr>
              <w:jc w:val="left"/>
              <w:rPr>
                <w:rFonts w:ascii="Times New Roman" w:eastAsia="Times New Roman" w:hAnsi="Times New Roman" w:cs="Times New Roman"/>
                <w:b/>
                <w:bCs/>
                <w:color w:val="000000"/>
                <w:sz w:val="18"/>
                <w:szCs w:val="18"/>
                <w:lang w:eastAsia="cs-CZ"/>
              </w:rPr>
            </w:pPr>
            <w:r w:rsidRPr="00A64D22">
              <w:rPr>
                <w:rFonts w:ascii="Times New Roman" w:eastAsia="Times New Roman" w:hAnsi="Times New Roman" w:cs="Times New Roman"/>
                <w:b/>
                <w:bCs/>
                <w:color w:val="000000"/>
                <w:sz w:val="18"/>
                <w:szCs w:val="18"/>
                <w:lang w:eastAsia="cs-CZ"/>
              </w:rPr>
              <w:t xml:space="preserve">3.5 Zvýšit </w:t>
            </w:r>
            <w:r w:rsidR="00C23A04">
              <w:rPr>
                <w:rFonts w:ascii="Times New Roman" w:eastAsia="Times New Roman" w:hAnsi="Times New Roman" w:cs="Times New Roman"/>
                <w:b/>
                <w:bCs/>
                <w:color w:val="000000"/>
                <w:sz w:val="18"/>
                <w:szCs w:val="18"/>
                <w:lang w:eastAsia="cs-CZ"/>
              </w:rPr>
              <w:t>účinnost</w:t>
            </w:r>
            <w:r w:rsidRPr="00A64D22">
              <w:rPr>
                <w:rFonts w:ascii="Times New Roman" w:eastAsia="Times New Roman" w:hAnsi="Times New Roman" w:cs="Times New Roman"/>
                <w:b/>
                <w:bCs/>
                <w:color w:val="000000"/>
                <w:sz w:val="18"/>
                <w:szCs w:val="18"/>
                <w:lang w:eastAsia="cs-CZ"/>
              </w:rPr>
              <w:t xml:space="preserve"> soustav zásobování teplem</w:t>
            </w: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Symbol" w:hAnsi="Times New Roman" w:cs="Times New Roman"/>
                <w:color w:val="000000"/>
                <w:sz w:val="18"/>
                <w:szCs w:val="18"/>
                <w:lang w:eastAsia="cs-CZ"/>
              </w:rPr>
              <w:t xml:space="preserve">Příspěvek k naplnění Směrnice Evropského parlamentu a Rady 2012/27/EU o energetické účinnosti, která nabádá členské státy, aby </w:t>
            </w:r>
            <w:proofErr w:type="spellStart"/>
            <w:r w:rsidRPr="00A64D22">
              <w:rPr>
                <w:rFonts w:ascii="Times New Roman" w:eastAsia="Symbol" w:hAnsi="Times New Roman" w:cs="Times New Roman"/>
                <w:color w:val="000000"/>
                <w:sz w:val="18"/>
                <w:szCs w:val="18"/>
                <w:lang w:eastAsia="cs-CZ"/>
              </w:rPr>
              <w:t>přijmuli</w:t>
            </w:r>
            <w:proofErr w:type="spellEnd"/>
            <w:r w:rsidRPr="00A64D22">
              <w:rPr>
                <w:rFonts w:ascii="Times New Roman" w:eastAsia="Symbol" w:hAnsi="Times New Roman" w:cs="Times New Roman"/>
                <w:color w:val="000000"/>
                <w:sz w:val="18"/>
                <w:szCs w:val="18"/>
                <w:lang w:eastAsia="cs-CZ"/>
              </w:rPr>
              <w:t xml:space="preserve"> politiky, které podporují náležité zohledňování potenciálu využívání účinných systémů vytápění a chlazení, zejména systémů využívajících vysoce účinnou kombinovanou výrobu tepla a elektřiny.</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TC 4</w:t>
            </w:r>
          </w:p>
        </w:tc>
        <w:tc>
          <w:tcPr>
            <w:tcW w:w="5157" w:type="dxa"/>
            <w:tcBorders>
              <w:top w:val="nil"/>
              <w:left w:val="nil"/>
              <w:bottom w:val="single" w:sz="4" w:space="0" w:color="auto"/>
              <w:right w:val="single" w:sz="4" w:space="0" w:color="auto"/>
            </w:tcBorders>
            <w:shd w:val="clear" w:color="auto" w:fill="auto"/>
            <w:hideMark/>
          </w:tcPr>
          <w:p w:rsidR="00E05D31" w:rsidRPr="00A64D22" w:rsidRDefault="00E05D31" w:rsidP="00E05D31">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Snížení energetické náročnosti resp. zvýšení energetické účinnosti výrobních a technologických procesů zejména v průmyslu, případně ve službách</w:t>
            </w:r>
          </w:p>
        </w:tc>
      </w:tr>
      <w:tr w:rsidR="00E05D31" w:rsidRPr="00A64D22" w:rsidTr="002921DB">
        <w:trPr>
          <w:trHeight w:val="1020"/>
        </w:trPr>
        <w:tc>
          <w:tcPr>
            <w:tcW w:w="1060" w:type="dxa"/>
            <w:vMerge/>
            <w:tcBorders>
              <w:top w:val="nil"/>
              <w:left w:val="single" w:sz="4" w:space="0" w:color="auto"/>
              <w:bottom w:val="single" w:sz="4" w:space="0" w:color="000000"/>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000000"/>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C23A04" w:rsidP="00E05D31">
            <w:pPr>
              <w:jc w:val="left"/>
              <w:rPr>
                <w:rFonts w:ascii="Times New Roman" w:eastAsia="Times New Roman" w:hAnsi="Times New Roman" w:cs="Times New Roman"/>
                <w:color w:val="000000"/>
                <w:sz w:val="18"/>
                <w:szCs w:val="18"/>
                <w:lang w:eastAsia="cs-CZ"/>
              </w:rPr>
            </w:pPr>
            <w:r>
              <w:rPr>
                <w:rFonts w:ascii="Times New Roman" w:eastAsia="Symbol" w:hAnsi="Times New Roman" w:cs="Times New Roman"/>
                <w:color w:val="000000"/>
                <w:sz w:val="18"/>
                <w:szCs w:val="18"/>
                <w:lang w:eastAsia="cs-CZ"/>
              </w:rPr>
              <w:t xml:space="preserve">Dosažení úspor primární energie díky využití </w:t>
            </w:r>
            <w:proofErr w:type="spellStart"/>
            <w:r>
              <w:rPr>
                <w:rFonts w:ascii="Times New Roman" w:eastAsia="Symbol" w:hAnsi="Times New Roman" w:cs="Times New Roman"/>
                <w:color w:val="000000"/>
                <w:sz w:val="18"/>
                <w:szCs w:val="18"/>
                <w:lang w:eastAsia="cs-CZ"/>
              </w:rPr>
              <w:t>nízkopotencionálního</w:t>
            </w:r>
            <w:proofErr w:type="spellEnd"/>
            <w:r>
              <w:rPr>
                <w:rFonts w:ascii="Times New Roman" w:eastAsia="Symbol" w:hAnsi="Times New Roman" w:cs="Times New Roman"/>
                <w:color w:val="000000"/>
                <w:sz w:val="18"/>
                <w:szCs w:val="18"/>
                <w:lang w:eastAsia="cs-CZ"/>
              </w:rPr>
              <w:t xml:space="preserve"> tepla z výroby elektřiny, které by jinak bylo vyvedeno do okolního prostředí a zavádění kombinované výroby elektřiny a tepla (dále také „KVET“) v soustavách zásobování teplem, kde byla poptávka po teple uspokojována pouze </w:t>
            </w:r>
            <w:proofErr w:type="spellStart"/>
            <w:r>
              <w:rPr>
                <w:rFonts w:ascii="Times New Roman" w:eastAsia="Symbol" w:hAnsi="Times New Roman" w:cs="Times New Roman"/>
                <w:color w:val="000000"/>
                <w:sz w:val="18"/>
                <w:szCs w:val="18"/>
                <w:lang w:eastAsia="cs-CZ"/>
              </w:rPr>
              <w:t>monovýrobou</w:t>
            </w:r>
            <w:proofErr w:type="spellEnd"/>
            <w:r>
              <w:rPr>
                <w:rFonts w:ascii="Times New Roman" w:eastAsia="Symbol" w:hAnsi="Times New Roman" w:cs="Times New Roman"/>
                <w:color w:val="000000"/>
                <w:sz w:val="18"/>
                <w:szCs w:val="18"/>
                <w:lang w:eastAsia="cs-CZ"/>
              </w:rPr>
              <w:t xml:space="preserve"> tepla</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TC 4</w:t>
            </w:r>
          </w:p>
        </w:tc>
        <w:tc>
          <w:tcPr>
            <w:tcW w:w="5157" w:type="dxa"/>
            <w:tcBorders>
              <w:top w:val="nil"/>
              <w:left w:val="nil"/>
              <w:bottom w:val="single" w:sz="4" w:space="0" w:color="auto"/>
              <w:right w:val="single" w:sz="4" w:space="0" w:color="auto"/>
            </w:tcBorders>
            <w:shd w:val="clear" w:color="auto" w:fill="auto"/>
            <w:hideMark/>
          </w:tcPr>
          <w:p w:rsidR="00E05D31" w:rsidRPr="00E2018A" w:rsidRDefault="00E05D31" w:rsidP="003E430E">
            <w:pPr>
              <w:jc w:val="left"/>
              <w:rPr>
                <w:rFonts w:ascii="Times New Roman" w:eastAsia="Times New Roman" w:hAnsi="Times New Roman" w:cs="Times New Roman"/>
                <w:color w:val="000000"/>
                <w:sz w:val="18"/>
                <w:szCs w:val="18"/>
                <w:vertAlign w:val="superscript"/>
                <w:lang w:eastAsia="cs-CZ"/>
              </w:rPr>
            </w:pPr>
            <w:r w:rsidRPr="00A64D22">
              <w:rPr>
                <w:rFonts w:ascii="Times New Roman" w:eastAsia="Times New Roman" w:hAnsi="Times New Roman" w:cs="Times New Roman"/>
                <w:color w:val="000000"/>
                <w:sz w:val="18"/>
                <w:szCs w:val="18"/>
                <w:lang w:eastAsia="cs-CZ"/>
              </w:rPr>
              <w:t>Modernizace systémů centralizovaného zásobování tepelnou energií, modernizace a rozvoj zdrojů kombinované výroby elektřiny a tepla</w:t>
            </w:r>
            <w:r w:rsidR="003E430E">
              <w:rPr>
                <w:rFonts w:ascii="Times New Roman" w:eastAsia="Times New Roman" w:hAnsi="Times New Roman" w:cs="Times New Roman"/>
                <w:color w:val="000000"/>
                <w:sz w:val="18"/>
                <w:szCs w:val="18"/>
                <w:lang w:eastAsia="cs-CZ"/>
              </w:rPr>
              <w:t>.</w:t>
            </w:r>
          </w:p>
        </w:tc>
      </w:tr>
      <w:tr w:rsidR="00E05D31" w:rsidRPr="00A64D22" w:rsidTr="00C23A04">
        <w:trPr>
          <w:trHeight w:val="1642"/>
        </w:trPr>
        <w:tc>
          <w:tcPr>
            <w:tcW w:w="1060"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2206" w:type="dxa"/>
            <w:vMerge/>
            <w:tcBorders>
              <w:top w:val="nil"/>
              <w:left w:val="single" w:sz="4" w:space="0" w:color="auto"/>
              <w:bottom w:val="single" w:sz="4" w:space="0" w:color="auto"/>
              <w:right w:val="single" w:sz="4" w:space="0" w:color="auto"/>
            </w:tcBorders>
            <w:vAlign w:val="center"/>
            <w:hideMark/>
          </w:tcPr>
          <w:p w:rsidR="00E05D31" w:rsidRPr="00A64D22" w:rsidRDefault="00E05D31" w:rsidP="00E05D31">
            <w:pPr>
              <w:jc w:val="left"/>
              <w:rPr>
                <w:rFonts w:ascii="Times New Roman" w:eastAsia="Times New Roman" w:hAnsi="Times New Roman" w:cs="Times New Roman"/>
                <w:b/>
                <w:bCs/>
                <w:color w:val="000000"/>
                <w:sz w:val="18"/>
                <w:szCs w:val="18"/>
                <w:lang w:eastAsia="cs-CZ"/>
              </w:rPr>
            </w:pPr>
          </w:p>
        </w:tc>
        <w:tc>
          <w:tcPr>
            <w:tcW w:w="4819" w:type="dxa"/>
            <w:tcBorders>
              <w:top w:val="nil"/>
              <w:left w:val="nil"/>
              <w:bottom w:val="single" w:sz="4" w:space="0" w:color="auto"/>
              <w:right w:val="double" w:sz="4" w:space="0" w:color="auto"/>
            </w:tcBorders>
            <w:shd w:val="clear" w:color="auto" w:fill="auto"/>
            <w:hideMark/>
          </w:tcPr>
          <w:p w:rsidR="00E05D31" w:rsidRPr="00A64D22" w:rsidRDefault="00E05D31" w:rsidP="00385140">
            <w:pPr>
              <w:jc w:val="left"/>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 xml:space="preserve">Modernizace soustav zásobování teplem, </w:t>
            </w:r>
            <w:r w:rsidR="00385140">
              <w:rPr>
                <w:rFonts w:ascii="Times New Roman" w:eastAsia="Times New Roman" w:hAnsi="Times New Roman" w:cs="Times New Roman"/>
                <w:color w:val="000000"/>
                <w:sz w:val="18"/>
                <w:szCs w:val="18"/>
                <w:lang w:eastAsia="cs-CZ"/>
              </w:rPr>
              <w:t>optimalizace jejich provozu a snižování ztrát tepla v rozvodech.</w:t>
            </w:r>
            <w:r w:rsidRPr="00A64D22">
              <w:rPr>
                <w:rFonts w:ascii="Times New Roman" w:eastAsia="Times New Roman" w:hAnsi="Times New Roman" w:cs="Times New Roman"/>
                <w:color w:val="000000"/>
                <w:sz w:val="18"/>
                <w:szCs w:val="18"/>
                <w:lang w:eastAsia="cs-CZ"/>
              </w:rPr>
              <w:t xml:space="preserve"> Při rekonstrukci </w:t>
            </w:r>
            <w:r w:rsidR="00385140">
              <w:rPr>
                <w:rFonts w:ascii="Times New Roman" w:eastAsia="Times New Roman" w:hAnsi="Times New Roman" w:cs="Times New Roman"/>
                <w:color w:val="000000"/>
                <w:sz w:val="18"/>
                <w:szCs w:val="18"/>
                <w:lang w:eastAsia="cs-CZ"/>
              </w:rPr>
              <w:t>tepelných sítí</w:t>
            </w:r>
            <w:r w:rsidRPr="00A64D22">
              <w:rPr>
                <w:rFonts w:ascii="Times New Roman" w:eastAsia="Times New Roman" w:hAnsi="Times New Roman" w:cs="Times New Roman"/>
                <w:color w:val="000000"/>
                <w:sz w:val="18"/>
                <w:szCs w:val="18"/>
                <w:lang w:eastAsia="cs-CZ"/>
              </w:rPr>
              <w:t xml:space="preserve"> dojde ke snížení ztrát díky lepším izolačním parametrům, změně teploty provozního média a dojde k dimenzování soustavy s ohledem na současnou a budoucí spotřebu tepla. V některých případech je nutno počítat s řízeným přechodem některých velkých soustav na větší množství menších systémů využívajících menší kogenerační jednotky</w:t>
            </w:r>
          </w:p>
        </w:tc>
        <w:tc>
          <w:tcPr>
            <w:tcW w:w="1080" w:type="dxa"/>
            <w:tcBorders>
              <w:top w:val="nil"/>
              <w:left w:val="double" w:sz="4" w:space="0" w:color="auto"/>
              <w:bottom w:val="single" w:sz="4" w:space="0" w:color="auto"/>
              <w:right w:val="single" w:sz="4" w:space="0" w:color="auto"/>
            </w:tcBorders>
            <w:shd w:val="clear" w:color="auto" w:fill="auto"/>
            <w:hideMark/>
          </w:tcPr>
          <w:p w:rsidR="00E05D31" w:rsidRPr="00A64D22" w:rsidRDefault="00E05D31" w:rsidP="00E05D31">
            <w:pPr>
              <w:jc w:val="center"/>
              <w:rPr>
                <w:rFonts w:ascii="Times New Roman" w:eastAsia="Times New Roman" w:hAnsi="Times New Roman" w:cs="Times New Roman"/>
                <w:color w:val="000000"/>
                <w:sz w:val="18"/>
                <w:szCs w:val="18"/>
                <w:lang w:eastAsia="cs-CZ"/>
              </w:rPr>
            </w:pPr>
            <w:r w:rsidRPr="00A64D22">
              <w:rPr>
                <w:rFonts w:ascii="Times New Roman" w:eastAsia="Times New Roman" w:hAnsi="Times New Roman" w:cs="Times New Roman"/>
                <w:color w:val="000000"/>
                <w:sz w:val="18"/>
                <w:szCs w:val="18"/>
                <w:lang w:eastAsia="cs-CZ"/>
              </w:rPr>
              <w:t>TC 4</w:t>
            </w:r>
          </w:p>
        </w:tc>
        <w:tc>
          <w:tcPr>
            <w:tcW w:w="5157" w:type="dxa"/>
            <w:tcBorders>
              <w:top w:val="nil"/>
              <w:left w:val="nil"/>
              <w:bottom w:val="single" w:sz="4" w:space="0" w:color="auto"/>
              <w:right w:val="single" w:sz="4" w:space="0" w:color="auto"/>
            </w:tcBorders>
            <w:shd w:val="clear" w:color="auto" w:fill="auto"/>
            <w:hideMark/>
          </w:tcPr>
          <w:p w:rsidR="00E05D31" w:rsidRPr="00E2018A" w:rsidRDefault="00E05D31" w:rsidP="003E430E">
            <w:pPr>
              <w:jc w:val="left"/>
              <w:rPr>
                <w:rFonts w:ascii="Times New Roman" w:eastAsia="Times New Roman" w:hAnsi="Times New Roman" w:cs="Times New Roman"/>
                <w:color w:val="000000"/>
                <w:sz w:val="18"/>
                <w:szCs w:val="18"/>
                <w:vertAlign w:val="superscript"/>
                <w:lang w:eastAsia="cs-CZ"/>
              </w:rPr>
            </w:pPr>
            <w:r w:rsidRPr="00A64D22">
              <w:rPr>
                <w:rFonts w:ascii="Times New Roman" w:eastAsia="Times New Roman" w:hAnsi="Times New Roman" w:cs="Times New Roman"/>
                <w:color w:val="000000"/>
                <w:sz w:val="18"/>
                <w:szCs w:val="18"/>
                <w:lang w:eastAsia="cs-CZ"/>
              </w:rPr>
              <w:t>Modernizace systémů centralizovaného zásobování tepelnou energií, modernizace a rozvoj zdrojů kombinované výroby elektřiny a tepla</w:t>
            </w:r>
            <w:r w:rsidR="003E430E">
              <w:rPr>
                <w:rFonts w:ascii="Times New Roman" w:eastAsia="Times New Roman" w:hAnsi="Times New Roman" w:cs="Times New Roman"/>
                <w:color w:val="000000"/>
                <w:sz w:val="18"/>
                <w:szCs w:val="18"/>
                <w:lang w:eastAsia="cs-CZ"/>
              </w:rPr>
              <w:t>.</w:t>
            </w:r>
          </w:p>
        </w:tc>
      </w:tr>
      <w:tr w:rsidR="00E2018A" w:rsidRPr="00A64D22" w:rsidTr="00E05225">
        <w:trPr>
          <w:trHeight w:val="815"/>
        </w:trPr>
        <w:tc>
          <w:tcPr>
            <w:tcW w:w="1060" w:type="dxa"/>
            <w:vMerge w:val="restart"/>
            <w:tcBorders>
              <w:top w:val="single" w:sz="4" w:space="0" w:color="auto"/>
              <w:left w:val="single" w:sz="4" w:space="0" w:color="auto"/>
              <w:right w:val="single" w:sz="4" w:space="0" w:color="auto"/>
            </w:tcBorders>
            <w:hideMark/>
          </w:tcPr>
          <w:p w:rsidR="00E2018A" w:rsidRPr="00A64D22" w:rsidRDefault="00E2018A" w:rsidP="00C23A04">
            <w:pPr>
              <w:jc w:val="left"/>
              <w:rPr>
                <w:rFonts w:ascii="Times New Roman" w:eastAsia="Times New Roman" w:hAnsi="Times New Roman" w:cs="Times New Roman"/>
                <w:b/>
                <w:bCs/>
                <w:color w:val="000000"/>
                <w:sz w:val="18"/>
                <w:szCs w:val="18"/>
                <w:lang w:eastAsia="cs-CZ"/>
              </w:rPr>
            </w:pPr>
            <w:r>
              <w:rPr>
                <w:rFonts w:ascii="Times New Roman" w:eastAsia="Times New Roman" w:hAnsi="Times New Roman" w:cs="Times New Roman"/>
                <w:b/>
                <w:bCs/>
                <w:color w:val="000000"/>
                <w:sz w:val="18"/>
                <w:szCs w:val="18"/>
                <w:lang w:eastAsia="cs-CZ"/>
              </w:rPr>
              <w:t>TC 7</w:t>
            </w:r>
          </w:p>
        </w:tc>
        <w:tc>
          <w:tcPr>
            <w:tcW w:w="2206" w:type="dxa"/>
            <w:vMerge w:val="restart"/>
            <w:tcBorders>
              <w:top w:val="single" w:sz="4" w:space="0" w:color="auto"/>
              <w:left w:val="single" w:sz="4" w:space="0" w:color="auto"/>
              <w:right w:val="single" w:sz="4" w:space="0" w:color="auto"/>
            </w:tcBorders>
            <w:hideMark/>
          </w:tcPr>
          <w:p w:rsidR="00E2018A" w:rsidRPr="00A64D22" w:rsidRDefault="00E2018A" w:rsidP="00C23A04">
            <w:pPr>
              <w:jc w:val="left"/>
              <w:rPr>
                <w:rFonts w:ascii="Times New Roman" w:eastAsia="Times New Roman" w:hAnsi="Times New Roman" w:cs="Times New Roman"/>
                <w:b/>
                <w:bCs/>
                <w:color w:val="000000"/>
                <w:sz w:val="18"/>
                <w:szCs w:val="18"/>
                <w:lang w:eastAsia="cs-CZ"/>
              </w:rPr>
            </w:pPr>
            <w:r>
              <w:rPr>
                <w:rFonts w:ascii="Times New Roman" w:eastAsia="Times New Roman" w:hAnsi="Times New Roman" w:cs="Times New Roman"/>
                <w:b/>
                <w:bCs/>
                <w:color w:val="000000"/>
                <w:sz w:val="18"/>
                <w:szCs w:val="18"/>
                <w:lang w:eastAsia="cs-CZ"/>
              </w:rPr>
              <w:t>3.6 Posílit energetickou bezpečnost přenosové soustavy</w:t>
            </w:r>
          </w:p>
        </w:tc>
        <w:tc>
          <w:tcPr>
            <w:tcW w:w="4819" w:type="dxa"/>
            <w:tcBorders>
              <w:top w:val="single" w:sz="4" w:space="0" w:color="auto"/>
              <w:left w:val="single" w:sz="4" w:space="0" w:color="auto"/>
              <w:bottom w:val="single" w:sz="4" w:space="0" w:color="auto"/>
              <w:right w:val="double" w:sz="4" w:space="0" w:color="auto"/>
            </w:tcBorders>
            <w:shd w:val="clear" w:color="auto" w:fill="auto"/>
            <w:hideMark/>
          </w:tcPr>
          <w:p w:rsidR="00E2018A" w:rsidRPr="00A64D22" w:rsidRDefault="00E2018A" w:rsidP="00C23A04">
            <w:pPr>
              <w:jc w:val="left"/>
              <w:rPr>
                <w:rFonts w:ascii="Times New Roman" w:eastAsia="Times New Roman" w:hAnsi="Times New Roman" w:cs="Times New Roman"/>
                <w:color w:val="000000"/>
                <w:sz w:val="18"/>
                <w:szCs w:val="18"/>
                <w:lang w:eastAsia="cs-CZ"/>
              </w:rPr>
            </w:pPr>
            <w:r>
              <w:rPr>
                <w:rFonts w:ascii="Times New Roman" w:eastAsia="Times New Roman" w:hAnsi="Times New Roman" w:cs="Times New Roman"/>
                <w:color w:val="000000"/>
                <w:sz w:val="18"/>
                <w:szCs w:val="18"/>
                <w:lang w:eastAsia="cs-CZ"/>
              </w:rPr>
              <w:t>Zlepšení kvality, bezpečnosti a udržitelnosti dodávek elektřiny konečným zákazníkům ve všech regionech České republiky mimo Prahu</w:t>
            </w:r>
          </w:p>
        </w:tc>
        <w:tc>
          <w:tcPr>
            <w:tcW w:w="1080" w:type="dxa"/>
            <w:tcBorders>
              <w:top w:val="single" w:sz="4" w:space="0" w:color="auto"/>
              <w:left w:val="double" w:sz="4" w:space="0" w:color="auto"/>
              <w:bottom w:val="single" w:sz="4" w:space="0" w:color="auto"/>
              <w:right w:val="single" w:sz="4" w:space="0" w:color="auto"/>
            </w:tcBorders>
            <w:shd w:val="clear" w:color="auto" w:fill="auto"/>
            <w:hideMark/>
          </w:tcPr>
          <w:p w:rsidR="00E2018A" w:rsidRPr="003E430E" w:rsidRDefault="00E2018A" w:rsidP="00C23A04">
            <w:pPr>
              <w:jc w:val="center"/>
              <w:rPr>
                <w:rFonts w:ascii="Times New Roman" w:eastAsia="Times New Roman" w:hAnsi="Times New Roman" w:cs="Times New Roman"/>
                <w:iCs/>
                <w:color w:val="000000"/>
                <w:sz w:val="18"/>
                <w:szCs w:val="18"/>
                <w:lang w:eastAsia="cs-CZ"/>
              </w:rPr>
            </w:pPr>
            <w:r w:rsidRPr="003E430E">
              <w:rPr>
                <w:rFonts w:ascii="Times New Roman" w:eastAsia="Times New Roman" w:hAnsi="Times New Roman" w:cs="Times New Roman"/>
                <w:iCs/>
                <w:color w:val="000000"/>
                <w:sz w:val="18"/>
                <w:szCs w:val="18"/>
                <w:lang w:eastAsia="cs-CZ"/>
              </w:rPr>
              <w:t>TC 7</w:t>
            </w:r>
          </w:p>
        </w:tc>
        <w:tc>
          <w:tcPr>
            <w:tcW w:w="5157" w:type="dxa"/>
            <w:tcBorders>
              <w:top w:val="single" w:sz="4" w:space="0" w:color="auto"/>
              <w:left w:val="single" w:sz="4" w:space="0" w:color="auto"/>
              <w:bottom w:val="single" w:sz="4" w:space="0" w:color="auto"/>
              <w:right w:val="single" w:sz="4" w:space="0" w:color="auto"/>
            </w:tcBorders>
            <w:shd w:val="clear" w:color="auto" w:fill="auto"/>
            <w:hideMark/>
          </w:tcPr>
          <w:p w:rsidR="00E2018A" w:rsidRPr="003E430E" w:rsidRDefault="003E430E" w:rsidP="00C23A04">
            <w:pPr>
              <w:jc w:val="left"/>
              <w:rPr>
                <w:rFonts w:ascii="Times New Roman" w:eastAsia="Times New Roman" w:hAnsi="Times New Roman" w:cs="Times New Roman"/>
                <w:iCs/>
                <w:color w:val="000000"/>
                <w:sz w:val="18"/>
                <w:szCs w:val="18"/>
                <w:vertAlign w:val="superscript"/>
                <w:lang w:eastAsia="cs-CZ"/>
              </w:rPr>
            </w:pPr>
            <w:r w:rsidRPr="003E430E">
              <w:rPr>
                <w:rFonts w:ascii="Times New Roman" w:eastAsia="Times New Roman" w:hAnsi="Times New Roman" w:cs="Times New Roman"/>
                <w:iCs/>
                <w:color w:val="000000"/>
                <w:sz w:val="18"/>
                <w:szCs w:val="18"/>
                <w:lang w:eastAsia="cs-CZ"/>
              </w:rPr>
              <w:t>Posílení energetické bezpečnosti energetické přenosové soustavy</w:t>
            </w:r>
          </w:p>
        </w:tc>
      </w:tr>
      <w:tr w:rsidR="003E430E" w:rsidRPr="00A64D22" w:rsidTr="00E05225">
        <w:trPr>
          <w:trHeight w:val="698"/>
        </w:trPr>
        <w:tc>
          <w:tcPr>
            <w:tcW w:w="1060" w:type="dxa"/>
            <w:vMerge/>
            <w:tcBorders>
              <w:left w:val="single" w:sz="4" w:space="0" w:color="auto"/>
              <w:right w:val="single" w:sz="4" w:space="0" w:color="auto"/>
            </w:tcBorders>
            <w:hideMark/>
          </w:tcPr>
          <w:p w:rsidR="003E430E" w:rsidRDefault="003E430E" w:rsidP="00C23A04">
            <w:pPr>
              <w:jc w:val="left"/>
              <w:rPr>
                <w:rFonts w:ascii="Times New Roman" w:eastAsia="Times New Roman" w:hAnsi="Times New Roman" w:cs="Times New Roman"/>
                <w:b/>
                <w:bCs/>
                <w:color w:val="000000"/>
                <w:sz w:val="18"/>
                <w:szCs w:val="18"/>
                <w:lang w:eastAsia="cs-CZ"/>
              </w:rPr>
            </w:pPr>
          </w:p>
        </w:tc>
        <w:tc>
          <w:tcPr>
            <w:tcW w:w="2206" w:type="dxa"/>
            <w:vMerge/>
            <w:tcBorders>
              <w:left w:val="single" w:sz="4" w:space="0" w:color="auto"/>
              <w:right w:val="single" w:sz="4" w:space="0" w:color="auto"/>
            </w:tcBorders>
            <w:hideMark/>
          </w:tcPr>
          <w:p w:rsidR="003E430E" w:rsidRDefault="003E430E" w:rsidP="00C23A04">
            <w:pPr>
              <w:jc w:val="left"/>
              <w:rPr>
                <w:rFonts w:ascii="Times New Roman" w:eastAsia="Times New Roman" w:hAnsi="Times New Roman" w:cs="Times New Roman"/>
                <w:b/>
                <w:bCs/>
                <w:color w:val="000000"/>
                <w:sz w:val="18"/>
                <w:szCs w:val="18"/>
                <w:lang w:eastAsia="cs-CZ"/>
              </w:rPr>
            </w:pPr>
          </w:p>
        </w:tc>
        <w:tc>
          <w:tcPr>
            <w:tcW w:w="4819" w:type="dxa"/>
            <w:tcBorders>
              <w:top w:val="single" w:sz="4" w:space="0" w:color="auto"/>
              <w:left w:val="single" w:sz="4" w:space="0" w:color="auto"/>
              <w:bottom w:val="single" w:sz="4" w:space="0" w:color="auto"/>
              <w:right w:val="double" w:sz="4" w:space="0" w:color="auto"/>
            </w:tcBorders>
            <w:shd w:val="clear" w:color="auto" w:fill="auto"/>
            <w:hideMark/>
          </w:tcPr>
          <w:p w:rsidR="003E430E" w:rsidRDefault="003E430E" w:rsidP="00C23A04">
            <w:pPr>
              <w:jc w:val="left"/>
              <w:rPr>
                <w:rFonts w:ascii="Times New Roman" w:eastAsia="Times New Roman" w:hAnsi="Times New Roman" w:cs="Times New Roman"/>
                <w:color w:val="000000"/>
                <w:sz w:val="18"/>
                <w:szCs w:val="18"/>
                <w:lang w:eastAsia="cs-CZ"/>
              </w:rPr>
            </w:pPr>
            <w:r>
              <w:rPr>
                <w:rFonts w:ascii="Times New Roman" w:eastAsia="Times New Roman" w:hAnsi="Times New Roman" w:cs="Times New Roman"/>
                <w:color w:val="000000"/>
                <w:sz w:val="18"/>
                <w:szCs w:val="18"/>
                <w:lang w:eastAsia="cs-CZ"/>
              </w:rPr>
              <w:t>Přispět k rychlejšímu dotvoření plně funkčního a propojeného vnitřního trhu s energií a zajištění spolehlivých vedení výkonů v rámci trhů s elektřinou v EU</w:t>
            </w:r>
          </w:p>
        </w:tc>
        <w:tc>
          <w:tcPr>
            <w:tcW w:w="1080" w:type="dxa"/>
            <w:tcBorders>
              <w:top w:val="single" w:sz="4" w:space="0" w:color="auto"/>
              <w:left w:val="double" w:sz="4" w:space="0" w:color="auto"/>
              <w:bottom w:val="single" w:sz="4" w:space="0" w:color="auto"/>
              <w:right w:val="single" w:sz="4" w:space="0" w:color="auto"/>
            </w:tcBorders>
            <w:shd w:val="clear" w:color="auto" w:fill="auto"/>
            <w:hideMark/>
          </w:tcPr>
          <w:p w:rsidR="003E430E" w:rsidRPr="003E430E" w:rsidRDefault="003E430E" w:rsidP="003E430E">
            <w:pPr>
              <w:jc w:val="center"/>
              <w:rPr>
                <w:rFonts w:ascii="Times New Roman" w:eastAsia="Times New Roman" w:hAnsi="Times New Roman" w:cs="Times New Roman"/>
                <w:iCs/>
                <w:color w:val="000000"/>
                <w:sz w:val="18"/>
                <w:szCs w:val="18"/>
                <w:lang w:eastAsia="cs-CZ"/>
              </w:rPr>
            </w:pPr>
            <w:r w:rsidRPr="003E430E">
              <w:rPr>
                <w:rFonts w:ascii="Times New Roman" w:eastAsia="Times New Roman" w:hAnsi="Times New Roman" w:cs="Times New Roman"/>
                <w:iCs/>
                <w:color w:val="000000"/>
                <w:sz w:val="18"/>
                <w:szCs w:val="18"/>
                <w:lang w:eastAsia="cs-CZ"/>
              </w:rPr>
              <w:t>TC 7</w:t>
            </w:r>
          </w:p>
        </w:tc>
        <w:tc>
          <w:tcPr>
            <w:tcW w:w="5157" w:type="dxa"/>
            <w:tcBorders>
              <w:top w:val="single" w:sz="4" w:space="0" w:color="auto"/>
              <w:left w:val="single" w:sz="4" w:space="0" w:color="auto"/>
              <w:bottom w:val="single" w:sz="4" w:space="0" w:color="auto"/>
              <w:right w:val="single" w:sz="4" w:space="0" w:color="auto"/>
            </w:tcBorders>
            <w:shd w:val="clear" w:color="auto" w:fill="auto"/>
            <w:hideMark/>
          </w:tcPr>
          <w:p w:rsidR="003E430E" w:rsidRPr="003E430E" w:rsidRDefault="003E430E" w:rsidP="003E430E">
            <w:pPr>
              <w:jc w:val="left"/>
              <w:rPr>
                <w:rFonts w:ascii="Times New Roman" w:eastAsia="Times New Roman" w:hAnsi="Times New Roman" w:cs="Times New Roman"/>
                <w:iCs/>
                <w:color w:val="000000"/>
                <w:sz w:val="18"/>
                <w:szCs w:val="18"/>
                <w:vertAlign w:val="superscript"/>
                <w:lang w:eastAsia="cs-CZ"/>
              </w:rPr>
            </w:pPr>
            <w:r w:rsidRPr="003E430E">
              <w:rPr>
                <w:rFonts w:ascii="Times New Roman" w:eastAsia="Times New Roman" w:hAnsi="Times New Roman" w:cs="Times New Roman"/>
                <w:iCs/>
                <w:color w:val="000000"/>
                <w:sz w:val="18"/>
                <w:szCs w:val="18"/>
                <w:lang w:eastAsia="cs-CZ"/>
              </w:rPr>
              <w:t>Posílení energetické bezpečnosti energetické přenosové soustavy</w:t>
            </w:r>
          </w:p>
        </w:tc>
      </w:tr>
      <w:tr w:rsidR="003E430E" w:rsidRPr="00A64D22" w:rsidTr="00E05225">
        <w:trPr>
          <w:trHeight w:val="424"/>
        </w:trPr>
        <w:tc>
          <w:tcPr>
            <w:tcW w:w="1060" w:type="dxa"/>
            <w:vMerge/>
            <w:tcBorders>
              <w:left w:val="single" w:sz="4" w:space="0" w:color="auto"/>
              <w:right w:val="single" w:sz="4" w:space="0" w:color="auto"/>
            </w:tcBorders>
            <w:hideMark/>
          </w:tcPr>
          <w:p w:rsidR="003E430E" w:rsidRDefault="003E430E" w:rsidP="00C23A04">
            <w:pPr>
              <w:jc w:val="left"/>
              <w:rPr>
                <w:rFonts w:ascii="Times New Roman" w:eastAsia="Times New Roman" w:hAnsi="Times New Roman" w:cs="Times New Roman"/>
                <w:b/>
                <w:bCs/>
                <w:color w:val="000000"/>
                <w:sz w:val="18"/>
                <w:szCs w:val="18"/>
                <w:lang w:eastAsia="cs-CZ"/>
              </w:rPr>
            </w:pPr>
          </w:p>
        </w:tc>
        <w:tc>
          <w:tcPr>
            <w:tcW w:w="2206" w:type="dxa"/>
            <w:vMerge/>
            <w:tcBorders>
              <w:left w:val="single" w:sz="4" w:space="0" w:color="auto"/>
              <w:right w:val="single" w:sz="4" w:space="0" w:color="auto"/>
            </w:tcBorders>
            <w:hideMark/>
          </w:tcPr>
          <w:p w:rsidR="003E430E" w:rsidRDefault="003E430E" w:rsidP="00C23A04">
            <w:pPr>
              <w:jc w:val="left"/>
              <w:rPr>
                <w:rFonts w:ascii="Times New Roman" w:eastAsia="Times New Roman" w:hAnsi="Times New Roman" w:cs="Times New Roman"/>
                <w:b/>
                <w:bCs/>
                <w:color w:val="000000"/>
                <w:sz w:val="18"/>
                <w:szCs w:val="18"/>
                <w:lang w:eastAsia="cs-CZ"/>
              </w:rPr>
            </w:pPr>
          </w:p>
        </w:tc>
        <w:tc>
          <w:tcPr>
            <w:tcW w:w="4819" w:type="dxa"/>
            <w:tcBorders>
              <w:top w:val="single" w:sz="4" w:space="0" w:color="auto"/>
              <w:left w:val="single" w:sz="4" w:space="0" w:color="auto"/>
              <w:bottom w:val="single" w:sz="4" w:space="0" w:color="auto"/>
              <w:right w:val="double" w:sz="4" w:space="0" w:color="auto"/>
            </w:tcBorders>
            <w:shd w:val="clear" w:color="auto" w:fill="auto"/>
            <w:hideMark/>
          </w:tcPr>
          <w:p w:rsidR="003E430E" w:rsidRDefault="003E430E" w:rsidP="00C23A04">
            <w:pPr>
              <w:jc w:val="left"/>
              <w:rPr>
                <w:rFonts w:ascii="Times New Roman" w:eastAsia="Times New Roman" w:hAnsi="Times New Roman" w:cs="Times New Roman"/>
                <w:color w:val="000000"/>
                <w:sz w:val="18"/>
                <w:szCs w:val="18"/>
                <w:lang w:eastAsia="cs-CZ"/>
              </w:rPr>
            </w:pPr>
            <w:r>
              <w:rPr>
                <w:rFonts w:ascii="Times New Roman" w:eastAsia="Times New Roman" w:hAnsi="Times New Roman" w:cs="Times New Roman"/>
                <w:color w:val="000000"/>
                <w:sz w:val="18"/>
                <w:szCs w:val="18"/>
                <w:lang w:eastAsia="cs-CZ"/>
              </w:rPr>
              <w:t>Minimalizace úzkých profilů a integrace decentralizovaných zdrojů energie</w:t>
            </w:r>
          </w:p>
        </w:tc>
        <w:tc>
          <w:tcPr>
            <w:tcW w:w="1080" w:type="dxa"/>
            <w:tcBorders>
              <w:top w:val="single" w:sz="4" w:space="0" w:color="auto"/>
              <w:left w:val="double" w:sz="4" w:space="0" w:color="auto"/>
              <w:bottom w:val="single" w:sz="4" w:space="0" w:color="auto"/>
              <w:right w:val="single" w:sz="4" w:space="0" w:color="auto"/>
            </w:tcBorders>
            <w:shd w:val="clear" w:color="auto" w:fill="auto"/>
            <w:hideMark/>
          </w:tcPr>
          <w:p w:rsidR="003E430E" w:rsidRPr="003E430E" w:rsidRDefault="003E430E" w:rsidP="003E430E">
            <w:pPr>
              <w:jc w:val="center"/>
              <w:rPr>
                <w:rFonts w:ascii="Times New Roman" w:eastAsia="Times New Roman" w:hAnsi="Times New Roman" w:cs="Times New Roman"/>
                <w:iCs/>
                <w:color w:val="000000"/>
                <w:sz w:val="18"/>
                <w:szCs w:val="18"/>
                <w:lang w:eastAsia="cs-CZ"/>
              </w:rPr>
            </w:pPr>
            <w:r w:rsidRPr="003E430E">
              <w:rPr>
                <w:rFonts w:ascii="Times New Roman" w:eastAsia="Times New Roman" w:hAnsi="Times New Roman" w:cs="Times New Roman"/>
                <w:iCs/>
                <w:color w:val="000000"/>
                <w:sz w:val="18"/>
                <w:szCs w:val="18"/>
                <w:lang w:eastAsia="cs-CZ"/>
              </w:rPr>
              <w:t>TC 7</w:t>
            </w:r>
          </w:p>
        </w:tc>
        <w:tc>
          <w:tcPr>
            <w:tcW w:w="5157" w:type="dxa"/>
            <w:tcBorders>
              <w:top w:val="single" w:sz="4" w:space="0" w:color="auto"/>
              <w:left w:val="single" w:sz="4" w:space="0" w:color="auto"/>
              <w:bottom w:val="single" w:sz="4" w:space="0" w:color="auto"/>
              <w:right w:val="single" w:sz="4" w:space="0" w:color="auto"/>
            </w:tcBorders>
            <w:shd w:val="clear" w:color="auto" w:fill="auto"/>
            <w:hideMark/>
          </w:tcPr>
          <w:p w:rsidR="003E430E" w:rsidRPr="003E430E" w:rsidRDefault="003E430E" w:rsidP="003E430E">
            <w:pPr>
              <w:jc w:val="left"/>
              <w:rPr>
                <w:rFonts w:ascii="Times New Roman" w:eastAsia="Times New Roman" w:hAnsi="Times New Roman" w:cs="Times New Roman"/>
                <w:iCs/>
                <w:color w:val="000000"/>
                <w:sz w:val="18"/>
                <w:szCs w:val="18"/>
                <w:vertAlign w:val="superscript"/>
                <w:lang w:eastAsia="cs-CZ"/>
              </w:rPr>
            </w:pPr>
            <w:r w:rsidRPr="003E430E">
              <w:rPr>
                <w:rFonts w:ascii="Times New Roman" w:eastAsia="Times New Roman" w:hAnsi="Times New Roman" w:cs="Times New Roman"/>
                <w:iCs/>
                <w:color w:val="000000"/>
                <w:sz w:val="18"/>
                <w:szCs w:val="18"/>
                <w:lang w:eastAsia="cs-CZ"/>
              </w:rPr>
              <w:t>Posílení energetické bezpečnosti energetické přenosové soustavy</w:t>
            </w:r>
          </w:p>
        </w:tc>
      </w:tr>
      <w:tr w:rsidR="00E2018A" w:rsidRPr="00A64D22" w:rsidTr="00E2018A">
        <w:trPr>
          <w:trHeight w:val="504"/>
        </w:trPr>
        <w:tc>
          <w:tcPr>
            <w:tcW w:w="1060" w:type="dxa"/>
            <w:vMerge/>
            <w:tcBorders>
              <w:left w:val="single" w:sz="4" w:space="0" w:color="auto"/>
              <w:bottom w:val="single" w:sz="4" w:space="0" w:color="auto"/>
              <w:right w:val="single" w:sz="4" w:space="0" w:color="auto"/>
            </w:tcBorders>
            <w:hideMark/>
          </w:tcPr>
          <w:p w:rsidR="00E2018A" w:rsidRDefault="00E2018A" w:rsidP="00C23A04">
            <w:pPr>
              <w:jc w:val="left"/>
              <w:rPr>
                <w:rFonts w:ascii="Times New Roman" w:eastAsia="Times New Roman" w:hAnsi="Times New Roman" w:cs="Times New Roman"/>
                <w:b/>
                <w:bCs/>
                <w:color w:val="000000"/>
                <w:sz w:val="18"/>
                <w:szCs w:val="18"/>
                <w:lang w:eastAsia="cs-CZ"/>
              </w:rPr>
            </w:pPr>
          </w:p>
        </w:tc>
        <w:tc>
          <w:tcPr>
            <w:tcW w:w="2206" w:type="dxa"/>
            <w:vMerge/>
            <w:tcBorders>
              <w:left w:val="single" w:sz="4" w:space="0" w:color="auto"/>
              <w:bottom w:val="single" w:sz="4" w:space="0" w:color="auto"/>
              <w:right w:val="single" w:sz="4" w:space="0" w:color="auto"/>
            </w:tcBorders>
            <w:hideMark/>
          </w:tcPr>
          <w:p w:rsidR="00E2018A" w:rsidRDefault="00E2018A" w:rsidP="00C23A04">
            <w:pPr>
              <w:jc w:val="left"/>
              <w:rPr>
                <w:rFonts w:ascii="Times New Roman" w:eastAsia="Times New Roman" w:hAnsi="Times New Roman" w:cs="Times New Roman"/>
                <w:b/>
                <w:bCs/>
                <w:color w:val="000000"/>
                <w:sz w:val="18"/>
                <w:szCs w:val="18"/>
                <w:lang w:eastAsia="cs-CZ"/>
              </w:rPr>
            </w:pPr>
          </w:p>
        </w:tc>
        <w:tc>
          <w:tcPr>
            <w:tcW w:w="4819" w:type="dxa"/>
            <w:tcBorders>
              <w:top w:val="single" w:sz="4" w:space="0" w:color="auto"/>
              <w:left w:val="single" w:sz="4" w:space="0" w:color="auto"/>
              <w:bottom w:val="single" w:sz="4" w:space="0" w:color="auto"/>
              <w:right w:val="double" w:sz="4" w:space="0" w:color="auto"/>
            </w:tcBorders>
            <w:shd w:val="clear" w:color="auto" w:fill="auto"/>
            <w:hideMark/>
          </w:tcPr>
          <w:p w:rsidR="00E2018A" w:rsidRDefault="00E2018A" w:rsidP="00C23A04">
            <w:pPr>
              <w:jc w:val="left"/>
              <w:rPr>
                <w:rFonts w:ascii="Times New Roman" w:eastAsia="Times New Roman" w:hAnsi="Times New Roman" w:cs="Times New Roman"/>
                <w:color w:val="000000"/>
                <w:sz w:val="18"/>
                <w:szCs w:val="18"/>
                <w:lang w:eastAsia="cs-CZ"/>
              </w:rPr>
            </w:pPr>
            <w:r>
              <w:rPr>
                <w:rFonts w:ascii="Times New Roman" w:eastAsia="Times New Roman" w:hAnsi="Times New Roman" w:cs="Times New Roman"/>
                <w:color w:val="000000"/>
                <w:sz w:val="18"/>
                <w:szCs w:val="18"/>
                <w:lang w:eastAsia="cs-CZ"/>
              </w:rPr>
              <w:t>Impuls pro rozvoj průmyslu, podnikání a celé ekonomiky díky rozvoji a modernizaci energetické infrastruktury</w:t>
            </w:r>
          </w:p>
        </w:tc>
        <w:tc>
          <w:tcPr>
            <w:tcW w:w="1080" w:type="dxa"/>
            <w:tcBorders>
              <w:top w:val="single" w:sz="4" w:space="0" w:color="auto"/>
              <w:left w:val="double" w:sz="4" w:space="0" w:color="auto"/>
              <w:bottom w:val="single" w:sz="4" w:space="0" w:color="auto"/>
              <w:right w:val="single" w:sz="4" w:space="0" w:color="auto"/>
            </w:tcBorders>
            <w:shd w:val="clear" w:color="auto" w:fill="auto"/>
            <w:hideMark/>
          </w:tcPr>
          <w:p w:rsidR="00E2018A" w:rsidRPr="00D95DD5" w:rsidRDefault="00E2018A" w:rsidP="00C23A04">
            <w:pPr>
              <w:jc w:val="center"/>
              <w:rPr>
                <w:rFonts w:ascii="Times New Roman" w:eastAsia="Times New Roman" w:hAnsi="Times New Roman" w:cs="Times New Roman"/>
                <w:iCs/>
                <w:color w:val="000000"/>
                <w:sz w:val="18"/>
                <w:szCs w:val="18"/>
                <w:lang w:eastAsia="cs-CZ"/>
              </w:rPr>
            </w:pPr>
          </w:p>
        </w:tc>
        <w:tc>
          <w:tcPr>
            <w:tcW w:w="51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018A" w:rsidRPr="00D95DD5" w:rsidRDefault="00E2018A" w:rsidP="00E2018A">
            <w:pPr>
              <w:jc w:val="left"/>
              <w:rPr>
                <w:rFonts w:ascii="Times New Roman" w:eastAsia="Times New Roman" w:hAnsi="Times New Roman" w:cs="Times New Roman"/>
                <w:iCs/>
                <w:color w:val="000000"/>
                <w:sz w:val="18"/>
                <w:szCs w:val="18"/>
                <w:lang w:eastAsia="cs-CZ"/>
              </w:rPr>
            </w:pPr>
            <w:r>
              <w:rPr>
                <w:rFonts w:ascii="Times New Roman" w:eastAsia="Times New Roman" w:hAnsi="Times New Roman" w:cs="Times New Roman"/>
                <w:iCs/>
                <w:color w:val="000000"/>
                <w:sz w:val="18"/>
                <w:szCs w:val="18"/>
                <w:lang w:eastAsia="cs-CZ"/>
              </w:rPr>
              <w:t>???</w:t>
            </w:r>
          </w:p>
        </w:tc>
      </w:tr>
    </w:tbl>
    <w:p w:rsidR="00E05D31" w:rsidRPr="00E2018A" w:rsidRDefault="00E05D31" w:rsidP="00E05D31">
      <w:pPr>
        <w:rPr>
          <w:sz w:val="16"/>
          <w:szCs w:val="16"/>
        </w:rPr>
      </w:pPr>
    </w:p>
    <w:p w:rsidR="00E05D31" w:rsidRDefault="00E05D31" w:rsidP="00E05D31">
      <w:pPr>
        <w:ind w:left="708" w:firstLine="708"/>
        <w:rPr>
          <w:sz w:val="16"/>
          <w:szCs w:val="16"/>
        </w:rPr>
      </w:pPr>
    </w:p>
    <w:p w:rsidR="00704E86" w:rsidRDefault="00704E86" w:rsidP="00BB09C4">
      <w:pPr>
        <w:spacing w:after="120"/>
        <w:rPr>
          <w:highlight w:val="yellow"/>
        </w:rPr>
      </w:pPr>
    </w:p>
    <w:p w:rsidR="00704E86" w:rsidRDefault="00704E86" w:rsidP="00BB09C4">
      <w:pPr>
        <w:spacing w:after="120"/>
        <w:rPr>
          <w:highlight w:val="yellow"/>
        </w:rPr>
      </w:pPr>
    </w:p>
    <w:p w:rsidR="00704E86" w:rsidRDefault="00704E86" w:rsidP="00BB09C4">
      <w:pPr>
        <w:spacing w:after="120"/>
        <w:rPr>
          <w:highlight w:val="yellow"/>
        </w:rPr>
      </w:pPr>
    </w:p>
    <w:sectPr w:rsidR="00704E86" w:rsidSect="000558A9">
      <w:headerReference w:type="first" r:id="rId14"/>
      <w:pgSz w:w="16838" w:h="11906" w:orient="landscape"/>
      <w:pgMar w:top="1418" w:right="1418" w:bottom="1418"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720B46" w15:done="0"/>
  <w15:commentEx w15:paraId="6A5F9231" w15:done="0"/>
  <w15:commentEx w15:paraId="6A2CD40C" w15:done="0"/>
  <w15:commentEx w15:paraId="3E6230F5" w15:done="0"/>
  <w15:commentEx w15:paraId="1FEDF1F4" w15:done="0"/>
  <w15:commentEx w15:paraId="0667E401" w15:done="0"/>
  <w15:commentEx w15:paraId="5AA29CFB" w15:done="0"/>
  <w15:commentEx w15:paraId="35253F02" w15:done="0"/>
  <w15:commentEx w15:paraId="146CB449" w15:done="0"/>
  <w15:commentEx w15:paraId="28ABF31A" w15:done="0"/>
  <w15:commentEx w15:paraId="2A6ACF7E" w15:done="0"/>
  <w15:commentEx w15:paraId="5EA6CD58" w15:done="0"/>
  <w15:commentEx w15:paraId="658AC8BD" w15:done="0"/>
  <w15:commentEx w15:paraId="3B1327B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0C0" w:rsidRDefault="008670C0" w:rsidP="0028641A">
      <w:r>
        <w:separator/>
      </w:r>
    </w:p>
  </w:endnote>
  <w:endnote w:type="continuationSeparator" w:id="0">
    <w:p w:rsidR="008670C0" w:rsidRDefault="008670C0" w:rsidP="002864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934647"/>
      <w:docPartObj>
        <w:docPartGallery w:val="Page Numbers (Bottom of Page)"/>
        <w:docPartUnique/>
      </w:docPartObj>
    </w:sdtPr>
    <w:sdtContent>
      <w:p w:rsidR="005F1E32" w:rsidRDefault="009E5BE4">
        <w:pPr>
          <w:pStyle w:val="Zpat"/>
          <w:jc w:val="center"/>
        </w:pPr>
        <w:r w:rsidRPr="00C63FE1">
          <w:rPr>
            <w:sz w:val="18"/>
            <w:szCs w:val="18"/>
          </w:rPr>
          <w:fldChar w:fldCharType="begin"/>
        </w:r>
        <w:r w:rsidR="005F1E32" w:rsidRPr="00C63FE1">
          <w:rPr>
            <w:sz w:val="18"/>
            <w:szCs w:val="18"/>
          </w:rPr>
          <w:instrText xml:space="preserve"> PAGE   \* MERGEFORMAT </w:instrText>
        </w:r>
        <w:r w:rsidRPr="00C63FE1">
          <w:rPr>
            <w:sz w:val="18"/>
            <w:szCs w:val="18"/>
          </w:rPr>
          <w:fldChar w:fldCharType="separate"/>
        </w:r>
        <w:r w:rsidR="00F21883">
          <w:rPr>
            <w:noProof/>
            <w:sz w:val="18"/>
            <w:szCs w:val="18"/>
          </w:rPr>
          <w:t>2</w:t>
        </w:r>
        <w:r w:rsidRPr="00C63FE1">
          <w:rPr>
            <w:sz w:val="18"/>
            <w:szCs w:val="18"/>
          </w:rPr>
          <w:fldChar w:fldCharType="end"/>
        </w:r>
      </w:p>
    </w:sdtContent>
  </w:sdt>
  <w:p w:rsidR="005F1E32" w:rsidRDefault="005F1E32">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0C0" w:rsidRDefault="008670C0" w:rsidP="0028641A">
      <w:r>
        <w:separator/>
      </w:r>
    </w:p>
  </w:footnote>
  <w:footnote w:type="continuationSeparator" w:id="0">
    <w:p w:rsidR="008670C0" w:rsidRDefault="008670C0" w:rsidP="002864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E32" w:rsidRPr="006B1166" w:rsidRDefault="005F1E32">
    <w:pPr>
      <w:pStyle w:val="Zhlav"/>
      <w:rPr>
        <w:b/>
        <w:sz w:val="16"/>
        <w:szCs w:val="16"/>
      </w:rPr>
    </w:pPr>
    <w:r w:rsidRPr="006B1166">
      <w:rPr>
        <w:b/>
        <w:sz w:val="16"/>
        <w:szCs w:val="16"/>
      </w:rPr>
      <w:t>Ex-ante hodnocení OP PIK 2014 – 2020</w:t>
    </w:r>
  </w:p>
  <w:p w:rsidR="005F1E32" w:rsidRPr="006B1166" w:rsidRDefault="005F1E32" w:rsidP="006B1166">
    <w:pPr>
      <w:pStyle w:val="Zhlav"/>
      <w:rPr>
        <w:sz w:val="16"/>
        <w:szCs w:val="16"/>
      </w:rPr>
    </w:pPr>
    <w:r>
      <w:rPr>
        <w:sz w:val="16"/>
        <w:szCs w:val="16"/>
      </w:rPr>
      <w:t>Závěrečná</w:t>
    </w:r>
    <w:r w:rsidRPr="006B1166">
      <w:rPr>
        <w:sz w:val="16"/>
        <w:szCs w:val="16"/>
      </w:rPr>
      <w:t xml:space="preserve"> zpráv</w:t>
    </w:r>
    <w:r>
      <w:rPr>
        <w:sz w:val="16"/>
        <w:szCs w:val="16"/>
      </w:rPr>
      <w:t>a (aktualizace)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E32" w:rsidRDefault="005F1E32" w:rsidP="008E60BC">
    <w:pPr>
      <w:pStyle w:val="Zhlav"/>
      <w:jc w:val="center"/>
    </w:pPr>
    <w:r>
      <w:rPr>
        <w:noProof/>
        <w:lang w:eastAsia="cs-CZ"/>
      </w:rPr>
      <w:drawing>
        <wp:anchor distT="0" distB="0" distL="114300" distR="114300" simplePos="0" relativeHeight="251656704" behindDoc="0" locked="0" layoutInCell="1" allowOverlap="1">
          <wp:simplePos x="0" y="0"/>
          <wp:positionH relativeFrom="column">
            <wp:posOffset>4757420</wp:posOffset>
          </wp:positionH>
          <wp:positionV relativeFrom="paragraph">
            <wp:posOffset>-2540</wp:posOffset>
          </wp:positionV>
          <wp:extent cx="1293077" cy="438150"/>
          <wp:effectExtent l="19050" t="0" r="2323" b="0"/>
          <wp:wrapNone/>
          <wp:docPr id="2" name="obrázek 8" descr="Popis: Popis: Popis: Popis: Logo EU_ERDF_C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descr="Popis: Popis: Popis: Popis: Logo EU_ERDF_CJ"/>
                  <pic:cNvPicPr>
                    <a:picLocks noChangeAspect="1" noChangeArrowheads="1"/>
                  </pic:cNvPicPr>
                </pic:nvPicPr>
                <pic:blipFill>
                  <a:blip r:embed="rId1"/>
                  <a:srcRect/>
                  <a:stretch>
                    <a:fillRect/>
                  </a:stretch>
                </pic:blipFill>
                <pic:spPr bwMode="auto">
                  <a:xfrm>
                    <a:off x="0" y="0"/>
                    <a:ext cx="1293077" cy="438150"/>
                  </a:xfrm>
                  <a:prstGeom prst="rect">
                    <a:avLst/>
                  </a:prstGeom>
                  <a:noFill/>
                  <a:ln w="9525">
                    <a:noFill/>
                    <a:miter lim="800000"/>
                    <a:headEnd/>
                    <a:tailEnd/>
                  </a:ln>
                </pic:spPr>
              </pic:pic>
            </a:graphicData>
          </a:graphic>
        </wp:anchor>
      </w:drawing>
    </w:r>
    <w:r>
      <w:rPr>
        <w:noProof/>
        <w:lang w:eastAsia="cs-CZ"/>
      </w:rPr>
      <w:drawing>
        <wp:anchor distT="0" distB="0" distL="114300" distR="114300" simplePos="0" relativeHeight="251655680" behindDoc="0" locked="0" layoutInCell="1" allowOverlap="0">
          <wp:simplePos x="0" y="0"/>
          <wp:positionH relativeFrom="column">
            <wp:posOffset>635</wp:posOffset>
          </wp:positionH>
          <wp:positionV relativeFrom="paragraph">
            <wp:posOffset>71755</wp:posOffset>
          </wp:positionV>
          <wp:extent cx="1130300" cy="361315"/>
          <wp:effectExtent l="19050" t="0" r="0" b="0"/>
          <wp:wrapSquare wrapText="bothSides"/>
          <wp:docPr id="18" name="obrázek 1" descr="OPPI_barva_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PI_barva_kr"/>
                  <pic:cNvPicPr>
                    <a:picLocks noChangeAspect="1" noChangeArrowheads="1"/>
                  </pic:cNvPicPr>
                </pic:nvPicPr>
                <pic:blipFill>
                  <a:blip r:embed="rId2"/>
                  <a:srcRect/>
                  <a:stretch>
                    <a:fillRect/>
                  </a:stretch>
                </pic:blipFill>
                <pic:spPr bwMode="auto">
                  <a:xfrm>
                    <a:off x="0" y="0"/>
                    <a:ext cx="1130300" cy="361315"/>
                  </a:xfrm>
                  <a:prstGeom prst="rect">
                    <a:avLst/>
                  </a:prstGeom>
                  <a:noFill/>
                  <a:ln w="9525">
                    <a:noFill/>
                    <a:miter lim="800000"/>
                    <a:headEnd/>
                    <a:tailEnd/>
                  </a:ln>
                </pic:spPr>
              </pic:pic>
            </a:graphicData>
          </a:graphic>
        </wp:anchor>
      </w:drawing>
    </w:r>
    <w:r w:rsidRPr="008E60BC">
      <w:rPr>
        <w:noProof/>
        <w:lang w:eastAsia="cs-CZ"/>
      </w:rPr>
      <w:drawing>
        <wp:inline distT="0" distB="0" distL="0" distR="0">
          <wp:extent cx="889271" cy="435935"/>
          <wp:effectExtent l="19050" t="0" r="6079" b="0"/>
          <wp:docPr id="19" name="obrázek 1" descr="Popis: Ministerstvo průmyslu a obcho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opis: Ministerstvo průmyslu a obchodu"/>
                  <pic:cNvPicPr>
                    <a:picLocks noChangeAspect="1" noChangeArrowheads="1"/>
                  </pic:cNvPicPr>
                </pic:nvPicPr>
                <pic:blipFill>
                  <a:blip r:embed="rId3" r:link="rId4"/>
                  <a:srcRect/>
                  <a:stretch>
                    <a:fillRect/>
                  </a:stretch>
                </pic:blipFill>
                <pic:spPr bwMode="auto">
                  <a:xfrm>
                    <a:off x="0" y="0"/>
                    <a:ext cx="896216" cy="43934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E32" w:rsidRDefault="009E5BE4" w:rsidP="008E60BC">
    <w:pPr>
      <w:pStyle w:val="Zhlav"/>
      <w:jc w:val="center"/>
    </w:pPr>
    <w:r>
      <w:rPr>
        <w:noProof/>
        <w:lang w:eastAsia="cs-CZ"/>
      </w:rPr>
      <w:pict>
        <v:shapetype id="_x0000_t202" coordsize="21600,21600" o:spt="202" path="m,l,21600r21600,l21600,xe">
          <v:stroke joinstyle="miter"/>
          <v:path gradientshapeok="t" o:connecttype="rect"/>
        </v:shapetype>
        <v:shape id="WordArt 4" o:spid="_x0000_s4097" type="#_x0000_t202" style="position:absolute;left:0;text-align:left;margin-left:0;margin-top:0;width:456.7pt;height:182.65pt;rotation:-45;z-index:-251656704;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" o:allowincell="f" filled="f" stroked="f">
          <v:stroke joinstyle="round"/>
          <o:lock v:ext="edit" shapetype="t"/>
          <v:textbox style="mso-fit-shape-to-text:t">
            <w:txbxContent>
              <w:p w:rsidR="005F1E32" w:rsidRDefault="005F1E32" w:rsidP="00F34F39">
                <w:pPr>
                  <w:pStyle w:val="Normlnweb"/>
                  <w:spacing w:before="0" w:beforeAutospacing="0" w:after="0" w:afterAutospacing="0"/>
                  <w:jc w:val="center"/>
                </w:pPr>
                <w:r>
                  <w:rPr>
                    <w:rFonts w:ascii="Tahoma" w:eastAsia="Tahoma" w:hAnsi="Tahoma" w:cs="Tahoma"/>
                    <w:color w:val="C0C0C0"/>
                    <w:sz w:val="2"/>
                    <w:szCs w:val="2"/>
                  </w:rPr>
                  <w:t>DRAFT</w:t>
                </w:r>
              </w:p>
            </w:txbxContent>
          </v:textbox>
          <w10:wrap anchorx="margin" anchory="margin"/>
        </v:shape>
      </w:pict>
    </w:r>
    <w:r w:rsidR="005F1E32">
      <w:rPr>
        <w:noProof/>
        <w:lang w:eastAsia="cs-CZ"/>
      </w:rPr>
      <w:drawing>
        <wp:anchor distT="0" distB="0" distL="114300" distR="114300" simplePos="0" relativeHeight="251658752" behindDoc="0" locked="0" layoutInCell="1" allowOverlap="1">
          <wp:simplePos x="0" y="0"/>
          <wp:positionH relativeFrom="column">
            <wp:posOffset>4757420</wp:posOffset>
          </wp:positionH>
          <wp:positionV relativeFrom="paragraph">
            <wp:posOffset>-2540</wp:posOffset>
          </wp:positionV>
          <wp:extent cx="1293077" cy="438150"/>
          <wp:effectExtent l="19050" t="0" r="2323" b="0"/>
          <wp:wrapNone/>
          <wp:docPr id="1" name="obrázek 8" descr="Popis: Popis: Popis: Popis: Logo EU_ERDF_C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descr="Popis: Popis: Popis: Popis: Logo EU_ERDF_CJ"/>
                  <pic:cNvPicPr>
                    <a:picLocks noChangeAspect="1" noChangeArrowheads="1"/>
                  </pic:cNvPicPr>
                </pic:nvPicPr>
                <pic:blipFill>
                  <a:blip r:embed="rId1"/>
                  <a:srcRect/>
                  <a:stretch>
                    <a:fillRect/>
                  </a:stretch>
                </pic:blipFill>
                <pic:spPr bwMode="auto">
                  <a:xfrm>
                    <a:off x="0" y="0"/>
                    <a:ext cx="1293077" cy="438150"/>
                  </a:xfrm>
                  <a:prstGeom prst="rect">
                    <a:avLst/>
                  </a:prstGeom>
                  <a:noFill/>
                  <a:ln w="9525">
                    <a:noFill/>
                    <a:miter lim="800000"/>
                    <a:headEnd/>
                    <a:tailEnd/>
                  </a:ln>
                </pic:spPr>
              </pic:pic>
            </a:graphicData>
          </a:graphic>
        </wp:anchor>
      </w:drawing>
    </w:r>
    <w:r w:rsidR="005F1E32">
      <w:rPr>
        <w:noProof/>
        <w:lang w:eastAsia="cs-CZ"/>
      </w:rPr>
      <w:drawing>
        <wp:anchor distT="0" distB="0" distL="114300" distR="114300" simplePos="0" relativeHeight="251657728" behindDoc="0" locked="0" layoutInCell="1" allowOverlap="0">
          <wp:simplePos x="0" y="0"/>
          <wp:positionH relativeFrom="column">
            <wp:posOffset>635</wp:posOffset>
          </wp:positionH>
          <wp:positionV relativeFrom="paragraph">
            <wp:posOffset>71755</wp:posOffset>
          </wp:positionV>
          <wp:extent cx="1130300" cy="361315"/>
          <wp:effectExtent l="19050" t="0" r="0" b="0"/>
          <wp:wrapSquare wrapText="bothSides"/>
          <wp:docPr id="3" name="obrázek 1" descr="OPPI_barva_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PI_barva_kr"/>
                  <pic:cNvPicPr>
                    <a:picLocks noChangeAspect="1" noChangeArrowheads="1"/>
                  </pic:cNvPicPr>
                </pic:nvPicPr>
                <pic:blipFill>
                  <a:blip r:embed="rId2"/>
                  <a:srcRect/>
                  <a:stretch>
                    <a:fillRect/>
                  </a:stretch>
                </pic:blipFill>
                <pic:spPr bwMode="auto">
                  <a:xfrm>
                    <a:off x="0" y="0"/>
                    <a:ext cx="1130300" cy="361315"/>
                  </a:xfrm>
                  <a:prstGeom prst="rect">
                    <a:avLst/>
                  </a:prstGeom>
                  <a:noFill/>
                  <a:ln w="9525">
                    <a:noFill/>
                    <a:miter lim="800000"/>
                    <a:headEnd/>
                    <a:tailEnd/>
                  </a:ln>
                </pic:spPr>
              </pic:pic>
            </a:graphicData>
          </a:graphic>
        </wp:anchor>
      </w:drawing>
    </w:r>
    <w:r w:rsidR="005F1E32" w:rsidRPr="008E60BC">
      <w:rPr>
        <w:noProof/>
        <w:lang w:eastAsia="cs-CZ"/>
      </w:rPr>
      <w:drawing>
        <wp:inline distT="0" distB="0" distL="0" distR="0">
          <wp:extent cx="889271" cy="435935"/>
          <wp:effectExtent l="19050" t="0" r="6079" b="0"/>
          <wp:docPr id="4" name="obrázek 1" descr="Popis: Ministerstvo průmyslu a obcho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opis: Ministerstvo průmyslu a obchodu"/>
                  <pic:cNvPicPr>
                    <a:picLocks noChangeAspect="1" noChangeArrowheads="1"/>
                  </pic:cNvPicPr>
                </pic:nvPicPr>
                <pic:blipFill>
                  <a:blip r:embed="rId3" r:link="rId4"/>
                  <a:srcRect/>
                  <a:stretch>
                    <a:fillRect/>
                  </a:stretch>
                </pic:blipFill>
                <pic:spPr bwMode="auto">
                  <a:xfrm>
                    <a:off x="0" y="0"/>
                    <a:ext cx="896216" cy="43934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F713E"/>
    <w:multiLevelType w:val="hybridMultilevel"/>
    <w:tmpl w:val="5400EABC"/>
    <w:lvl w:ilvl="0" w:tplc="04050011">
      <w:start w:val="1"/>
      <w:numFmt w:val="decimal"/>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nsid w:val="02B22709"/>
    <w:multiLevelType w:val="hybridMultilevel"/>
    <w:tmpl w:val="56B4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5918FB"/>
    <w:multiLevelType w:val="hybridMultilevel"/>
    <w:tmpl w:val="4404C372"/>
    <w:lvl w:ilvl="0" w:tplc="3E06BB1A">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6A70F8"/>
    <w:multiLevelType w:val="hybridMultilevel"/>
    <w:tmpl w:val="6576F0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6AD5B12"/>
    <w:multiLevelType w:val="hybridMultilevel"/>
    <w:tmpl w:val="AFE67DA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83F7FE7"/>
    <w:multiLevelType w:val="hybridMultilevel"/>
    <w:tmpl w:val="29FE60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5018F2"/>
    <w:multiLevelType w:val="hybridMultilevel"/>
    <w:tmpl w:val="6EBECBAE"/>
    <w:lvl w:ilvl="0" w:tplc="112AC8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ECA0143"/>
    <w:multiLevelType w:val="hybridMultilevel"/>
    <w:tmpl w:val="1E6A0E1E"/>
    <w:lvl w:ilvl="0" w:tplc="0405000F">
      <w:start w:val="1"/>
      <w:numFmt w:val="decimal"/>
      <w:lvlText w:val="%1."/>
      <w:lvlJc w:val="lef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F78253C"/>
    <w:multiLevelType w:val="hybridMultilevel"/>
    <w:tmpl w:val="553433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8EB1BF5"/>
    <w:multiLevelType w:val="hybridMultilevel"/>
    <w:tmpl w:val="86BECC6C"/>
    <w:lvl w:ilvl="0" w:tplc="04050017">
      <w:start w:val="1"/>
      <w:numFmt w:val="lowerLetter"/>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1D4B70B1"/>
    <w:multiLevelType w:val="hybridMultilevel"/>
    <w:tmpl w:val="0F405E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2BC3075"/>
    <w:multiLevelType w:val="hybridMultilevel"/>
    <w:tmpl w:val="7FB4B9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6E144E1"/>
    <w:multiLevelType w:val="hybridMultilevel"/>
    <w:tmpl w:val="6D606A8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nsid w:val="28143224"/>
    <w:multiLevelType w:val="hybridMultilevel"/>
    <w:tmpl w:val="A4FA7D86"/>
    <w:lvl w:ilvl="0" w:tplc="0405000F">
      <w:start w:val="1"/>
      <w:numFmt w:val="decimal"/>
      <w:lvlText w:val="%1."/>
      <w:lvlJc w:val="left"/>
      <w:pPr>
        <w:ind w:left="360" w:hanging="360"/>
      </w:pPr>
      <w:rPr>
        <w:rFonts w:hint="default"/>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2EB62C17"/>
    <w:multiLevelType w:val="hybridMultilevel"/>
    <w:tmpl w:val="416E9C68"/>
    <w:lvl w:ilvl="0" w:tplc="E4E48D22">
      <w:start w:val="8"/>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32760372"/>
    <w:multiLevelType w:val="hybridMultilevel"/>
    <w:tmpl w:val="A9CEF0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7CC3B67"/>
    <w:multiLevelType w:val="hybridMultilevel"/>
    <w:tmpl w:val="2B20EB3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DB4652B"/>
    <w:multiLevelType w:val="hybridMultilevel"/>
    <w:tmpl w:val="D4D45D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01D507A"/>
    <w:multiLevelType w:val="multilevel"/>
    <w:tmpl w:val="667E914A"/>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nsid w:val="4CC97349"/>
    <w:multiLevelType w:val="hybridMultilevel"/>
    <w:tmpl w:val="13CCD7D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85F0BDA"/>
    <w:multiLevelType w:val="hybridMultilevel"/>
    <w:tmpl w:val="A6EAD54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8AC1817"/>
    <w:multiLevelType w:val="hybridMultilevel"/>
    <w:tmpl w:val="9D148A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8FA427D"/>
    <w:multiLevelType w:val="multilevel"/>
    <w:tmpl w:val="B9687EC0"/>
    <w:lvl w:ilvl="0">
      <w:start w:val="5"/>
      <w:numFmt w:val="decimal"/>
      <w:lvlText w:val="%1."/>
      <w:lvlJc w:val="left"/>
      <w:pPr>
        <w:ind w:left="540" w:hanging="540"/>
      </w:pPr>
      <w:rPr>
        <w:rFonts w:hint="default"/>
      </w:rPr>
    </w:lvl>
    <w:lvl w:ilvl="1">
      <w:start w:val="1"/>
      <w:numFmt w:val="decimal"/>
      <w:pStyle w:val="NadpisNOK2"/>
      <w:lvlText w:val="%1.%2."/>
      <w:lvlJc w:val="left"/>
      <w:pPr>
        <w:ind w:left="1425" w:hanging="720"/>
      </w:pPr>
      <w:rPr>
        <w:rFonts w:hint="default"/>
      </w:rPr>
    </w:lvl>
    <w:lvl w:ilvl="2">
      <w:start w:val="1"/>
      <w:numFmt w:val="decimal"/>
      <w:lvlText w:val="%1.%2.%3."/>
      <w:lvlJc w:val="left"/>
      <w:pPr>
        <w:ind w:left="2490" w:hanging="1080"/>
      </w:pPr>
      <w:rPr>
        <w:rFonts w:hint="default"/>
      </w:rPr>
    </w:lvl>
    <w:lvl w:ilvl="3">
      <w:start w:val="1"/>
      <w:numFmt w:val="decimal"/>
      <w:lvlText w:val="%1.%2.%3.%4."/>
      <w:lvlJc w:val="left"/>
      <w:pPr>
        <w:ind w:left="3555" w:hanging="144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5325" w:hanging="1800"/>
      </w:pPr>
      <w:rPr>
        <w:rFonts w:hint="default"/>
      </w:rPr>
    </w:lvl>
    <w:lvl w:ilvl="6">
      <w:start w:val="1"/>
      <w:numFmt w:val="decimal"/>
      <w:lvlText w:val="%1.%2.%3.%4.%5.%6.%7."/>
      <w:lvlJc w:val="left"/>
      <w:pPr>
        <w:ind w:left="6390" w:hanging="2160"/>
      </w:pPr>
      <w:rPr>
        <w:rFonts w:hint="default"/>
      </w:rPr>
    </w:lvl>
    <w:lvl w:ilvl="7">
      <w:start w:val="1"/>
      <w:numFmt w:val="decimal"/>
      <w:lvlText w:val="%1.%2.%3.%4.%5.%6.%7.%8."/>
      <w:lvlJc w:val="left"/>
      <w:pPr>
        <w:ind w:left="7455" w:hanging="2520"/>
      </w:pPr>
      <w:rPr>
        <w:rFonts w:hint="default"/>
      </w:rPr>
    </w:lvl>
    <w:lvl w:ilvl="8">
      <w:start w:val="1"/>
      <w:numFmt w:val="decimal"/>
      <w:lvlText w:val="%1.%2.%3.%4.%5.%6.%7.%8.%9."/>
      <w:lvlJc w:val="left"/>
      <w:pPr>
        <w:ind w:left="8160" w:hanging="2520"/>
      </w:pPr>
      <w:rPr>
        <w:rFonts w:hint="default"/>
      </w:rPr>
    </w:lvl>
  </w:abstractNum>
  <w:abstractNum w:abstractNumId="23">
    <w:nsid w:val="5CFC70D1"/>
    <w:multiLevelType w:val="hybridMultilevel"/>
    <w:tmpl w:val="1D9688D6"/>
    <w:lvl w:ilvl="0" w:tplc="E54ADF06">
      <w:start w:val="1"/>
      <w:numFmt w:val="decimal"/>
      <w:lvlText w:val="%1)"/>
      <w:lvlJc w:val="left"/>
      <w:pPr>
        <w:ind w:left="720" w:hanging="360"/>
      </w:pPr>
      <w:rPr>
        <w:rFonts w:ascii="Tahoma" w:hAnsi="Tahoma" w:cs="Tahoma"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D210731"/>
    <w:multiLevelType w:val="hybridMultilevel"/>
    <w:tmpl w:val="34366304"/>
    <w:lvl w:ilvl="0" w:tplc="ED461648">
      <w:start w:val="1"/>
      <w:numFmt w:val="bullet"/>
      <w:lvlText w:val="•"/>
      <w:lvlJc w:val="left"/>
      <w:pPr>
        <w:tabs>
          <w:tab w:val="num" w:pos="720"/>
        </w:tabs>
        <w:ind w:left="720" w:hanging="360"/>
      </w:pPr>
      <w:rPr>
        <w:rFonts w:ascii="Arial" w:hAnsi="Arial" w:hint="default"/>
      </w:rPr>
    </w:lvl>
    <w:lvl w:ilvl="1" w:tplc="3B522F9E" w:tentative="1">
      <w:start w:val="1"/>
      <w:numFmt w:val="bullet"/>
      <w:lvlText w:val="•"/>
      <w:lvlJc w:val="left"/>
      <w:pPr>
        <w:tabs>
          <w:tab w:val="num" w:pos="1440"/>
        </w:tabs>
        <w:ind w:left="1440" w:hanging="360"/>
      </w:pPr>
      <w:rPr>
        <w:rFonts w:ascii="Arial" w:hAnsi="Arial" w:hint="default"/>
      </w:rPr>
    </w:lvl>
    <w:lvl w:ilvl="2" w:tplc="0BC84B84" w:tentative="1">
      <w:start w:val="1"/>
      <w:numFmt w:val="bullet"/>
      <w:lvlText w:val="•"/>
      <w:lvlJc w:val="left"/>
      <w:pPr>
        <w:tabs>
          <w:tab w:val="num" w:pos="2160"/>
        </w:tabs>
        <w:ind w:left="2160" w:hanging="360"/>
      </w:pPr>
      <w:rPr>
        <w:rFonts w:ascii="Arial" w:hAnsi="Arial" w:hint="default"/>
      </w:rPr>
    </w:lvl>
    <w:lvl w:ilvl="3" w:tplc="69B6FABE" w:tentative="1">
      <w:start w:val="1"/>
      <w:numFmt w:val="bullet"/>
      <w:lvlText w:val="•"/>
      <w:lvlJc w:val="left"/>
      <w:pPr>
        <w:tabs>
          <w:tab w:val="num" w:pos="2880"/>
        </w:tabs>
        <w:ind w:left="2880" w:hanging="360"/>
      </w:pPr>
      <w:rPr>
        <w:rFonts w:ascii="Arial" w:hAnsi="Arial" w:hint="default"/>
      </w:rPr>
    </w:lvl>
    <w:lvl w:ilvl="4" w:tplc="0BF40D6E" w:tentative="1">
      <w:start w:val="1"/>
      <w:numFmt w:val="bullet"/>
      <w:lvlText w:val="•"/>
      <w:lvlJc w:val="left"/>
      <w:pPr>
        <w:tabs>
          <w:tab w:val="num" w:pos="3600"/>
        </w:tabs>
        <w:ind w:left="3600" w:hanging="360"/>
      </w:pPr>
      <w:rPr>
        <w:rFonts w:ascii="Arial" w:hAnsi="Arial" w:hint="default"/>
      </w:rPr>
    </w:lvl>
    <w:lvl w:ilvl="5" w:tplc="A97C67D0" w:tentative="1">
      <w:start w:val="1"/>
      <w:numFmt w:val="bullet"/>
      <w:lvlText w:val="•"/>
      <w:lvlJc w:val="left"/>
      <w:pPr>
        <w:tabs>
          <w:tab w:val="num" w:pos="4320"/>
        </w:tabs>
        <w:ind w:left="4320" w:hanging="360"/>
      </w:pPr>
      <w:rPr>
        <w:rFonts w:ascii="Arial" w:hAnsi="Arial" w:hint="default"/>
      </w:rPr>
    </w:lvl>
    <w:lvl w:ilvl="6" w:tplc="F58EC994" w:tentative="1">
      <w:start w:val="1"/>
      <w:numFmt w:val="bullet"/>
      <w:lvlText w:val="•"/>
      <w:lvlJc w:val="left"/>
      <w:pPr>
        <w:tabs>
          <w:tab w:val="num" w:pos="5040"/>
        </w:tabs>
        <w:ind w:left="5040" w:hanging="360"/>
      </w:pPr>
      <w:rPr>
        <w:rFonts w:ascii="Arial" w:hAnsi="Arial" w:hint="default"/>
      </w:rPr>
    </w:lvl>
    <w:lvl w:ilvl="7" w:tplc="EACACDFA" w:tentative="1">
      <w:start w:val="1"/>
      <w:numFmt w:val="bullet"/>
      <w:lvlText w:val="•"/>
      <w:lvlJc w:val="left"/>
      <w:pPr>
        <w:tabs>
          <w:tab w:val="num" w:pos="5760"/>
        </w:tabs>
        <w:ind w:left="5760" w:hanging="360"/>
      </w:pPr>
      <w:rPr>
        <w:rFonts w:ascii="Arial" w:hAnsi="Arial" w:hint="default"/>
      </w:rPr>
    </w:lvl>
    <w:lvl w:ilvl="8" w:tplc="AC2A735C" w:tentative="1">
      <w:start w:val="1"/>
      <w:numFmt w:val="bullet"/>
      <w:lvlText w:val="•"/>
      <w:lvlJc w:val="left"/>
      <w:pPr>
        <w:tabs>
          <w:tab w:val="num" w:pos="6480"/>
        </w:tabs>
        <w:ind w:left="6480" w:hanging="360"/>
      </w:pPr>
      <w:rPr>
        <w:rFonts w:ascii="Arial" w:hAnsi="Arial" w:hint="default"/>
      </w:rPr>
    </w:lvl>
  </w:abstractNum>
  <w:abstractNum w:abstractNumId="25">
    <w:nsid w:val="64875DAB"/>
    <w:multiLevelType w:val="hybridMultilevel"/>
    <w:tmpl w:val="6A8CFC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4E03DCB"/>
    <w:multiLevelType w:val="hybridMultilevel"/>
    <w:tmpl w:val="AFE67DA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8B108CA"/>
    <w:multiLevelType w:val="hybridMultilevel"/>
    <w:tmpl w:val="A6B03F12"/>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A175068"/>
    <w:multiLevelType w:val="hybridMultilevel"/>
    <w:tmpl w:val="FAB8ED9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C4B37DF"/>
    <w:multiLevelType w:val="hybridMultilevel"/>
    <w:tmpl w:val="21ECD3A8"/>
    <w:lvl w:ilvl="0" w:tplc="68EA5582">
      <w:start w:val="1"/>
      <w:numFmt w:val="decimal"/>
      <w:lvlText w:val="%1."/>
      <w:lvlJc w:val="left"/>
      <w:pPr>
        <w:ind w:left="720" w:hanging="360"/>
      </w:pPr>
      <w:rPr>
        <w:rFonts w:ascii="Tahoma" w:hAnsi="Tahoma" w:cs="Tahoma"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E5050E2"/>
    <w:multiLevelType w:val="hybridMultilevel"/>
    <w:tmpl w:val="552622C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1FD576D"/>
    <w:multiLevelType w:val="hybridMultilevel"/>
    <w:tmpl w:val="6D1E6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7FB2DDF"/>
    <w:multiLevelType w:val="hybridMultilevel"/>
    <w:tmpl w:val="050C137E"/>
    <w:lvl w:ilvl="0" w:tplc="112AC8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B1C2FF2"/>
    <w:multiLevelType w:val="hybridMultilevel"/>
    <w:tmpl w:val="42809E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BF9626A"/>
    <w:multiLevelType w:val="hybridMultilevel"/>
    <w:tmpl w:val="21ECD3A8"/>
    <w:lvl w:ilvl="0" w:tplc="68EA5582">
      <w:start w:val="1"/>
      <w:numFmt w:val="decimal"/>
      <w:lvlText w:val="%1."/>
      <w:lvlJc w:val="left"/>
      <w:pPr>
        <w:ind w:left="720" w:hanging="360"/>
      </w:pPr>
      <w:rPr>
        <w:rFonts w:ascii="Tahoma" w:hAnsi="Tahoma" w:cs="Tahoma"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FCD2159"/>
    <w:multiLevelType w:val="hybridMultilevel"/>
    <w:tmpl w:val="2C98448E"/>
    <w:lvl w:ilvl="0" w:tplc="543AAE5E">
      <w:start w:val="1"/>
      <w:numFmt w:val="bullet"/>
      <w:lvlText w:val="•"/>
      <w:lvlJc w:val="left"/>
      <w:pPr>
        <w:tabs>
          <w:tab w:val="num" w:pos="720"/>
        </w:tabs>
        <w:ind w:left="720" w:hanging="360"/>
      </w:pPr>
      <w:rPr>
        <w:rFonts w:ascii="Arial" w:hAnsi="Arial" w:hint="default"/>
      </w:rPr>
    </w:lvl>
    <w:lvl w:ilvl="1" w:tplc="CD1C68E8" w:tentative="1">
      <w:start w:val="1"/>
      <w:numFmt w:val="bullet"/>
      <w:lvlText w:val="•"/>
      <w:lvlJc w:val="left"/>
      <w:pPr>
        <w:tabs>
          <w:tab w:val="num" w:pos="1440"/>
        </w:tabs>
        <w:ind w:left="1440" w:hanging="360"/>
      </w:pPr>
      <w:rPr>
        <w:rFonts w:ascii="Arial" w:hAnsi="Arial" w:hint="default"/>
      </w:rPr>
    </w:lvl>
    <w:lvl w:ilvl="2" w:tplc="2800CD3A" w:tentative="1">
      <w:start w:val="1"/>
      <w:numFmt w:val="bullet"/>
      <w:lvlText w:val="•"/>
      <w:lvlJc w:val="left"/>
      <w:pPr>
        <w:tabs>
          <w:tab w:val="num" w:pos="2160"/>
        </w:tabs>
        <w:ind w:left="2160" w:hanging="360"/>
      </w:pPr>
      <w:rPr>
        <w:rFonts w:ascii="Arial" w:hAnsi="Arial" w:hint="default"/>
      </w:rPr>
    </w:lvl>
    <w:lvl w:ilvl="3" w:tplc="C02C0518" w:tentative="1">
      <w:start w:val="1"/>
      <w:numFmt w:val="bullet"/>
      <w:lvlText w:val="•"/>
      <w:lvlJc w:val="left"/>
      <w:pPr>
        <w:tabs>
          <w:tab w:val="num" w:pos="2880"/>
        </w:tabs>
        <w:ind w:left="2880" w:hanging="360"/>
      </w:pPr>
      <w:rPr>
        <w:rFonts w:ascii="Arial" w:hAnsi="Arial" w:hint="default"/>
      </w:rPr>
    </w:lvl>
    <w:lvl w:ilvl="4" w:tplc="D2140732" w:tentative="1">
      <w:start w:val="1"/>
      <w:numFmt w:val="bullet"/>
      <w:lvlText w:val="•"/>
      <w:lvlJc w:val="left"/>
      <w:pPr>
        <w:tabs>
          <w:tab w:val="num" w:pos="3600"/>
        </w:tabs>
        <w:ind w:left="3600" w:hanging="360"/>
      </w:pPr>
      <w:rPr>
        <w:rFonts w:ascii="Arial" w:hAnsi="Arial" w:hint="default"/>
      </w:rPr>
    </w:lvl>
    <w:lvl w:ilvl="5" w:tplc="773841F4" w:tentative="1">
      <w:start w:val="1"/>
      <w:numFmt w:val="bullet"/>
      <w:lvlText w:val="•"/>
      <w:lvlJc w:val="left"/>
      <w:pPr>
        <w:tabs>
          <w:tab w:val="num" w:pos="4320"/>
        </w:tabs>
        <w:ind w:left="4320" w:hanging="360"/>
      </w:pPr>
      <w:rPr>
        <w:rFonts w:ascii="Arial" w:hAnsi="Arial" w:hint="default"/>
      </w:rPr>
    </w:lvl>
    <w:lvl w:ilvl="6" w:tplc="87AC7740" w:tentative="1">
      <w:start w:val="1"/>
      <w:numFmt w:val="bullet"/>
      <w:lvlText w:val="•"/>
      <w:lvlJc w:val="left"/>
      <w:pPr>
        <w:tabs>
          <w:tab w:val="num" w:pos="5040"/>
        </w:tabs>
        <w:ind w:left="5040" w:hanging="360"/>
      </w:pPr>
      <w:rPr>
        <w:rFonts w:ascii="Arial" w:hAnsi="Arial" w:hint="default"/>
      </w:rPr>
    </w:lvl>
    <w:lvl w:ilvl="7" w:tplc="4B5A4E34" w:tentative="1">
      <w:start w:val="1"/>
      <w:numFmt w:val="bullet"/>
      <w:lvlText w:val="•"/>
      <w:lvlJc w:val="left"/>
      <w:pPr>
        <w:tabs>
          <w:tab w:val="num" w:pos="5760"/>
        </w:tabs>
        <w:ind w:left="5760" w:hanging="360"/>
      </w:pPr>
      <w:rPr>
        <w:rFonts w:ascii="Arial" w:hAnsi="Arial" w:hint="default"/>
      </w:rPr>
    </w:lvl>
    <w:lvl w:ilvl="8" w:tplc="9250734E" w:tentative="1">
      <w:start w:val="1"/>
      <w:numFmt w:val="bullet"/>
      <w:lvlText w:val="•"/>
      <w:lvlJc w:val="left"/>
      <w:pPr>
        <w:tabs>
          <w:tab w:val="num" w:pos="6480"/>
        </w:tabs>
        <w:ind w:left="6480" w:hanging="360"/>
      </w:pPr>
      <w:rPr>
        <w:rFonts w:ascii="Arial" w:hAnsi="Arial" w:hint="default"/>
      </w:rPr>
    </w:lvl>
  </w:abstractNum>
  <w:abstractNum w:abstractNumId="36">
    <w:nsid w:val="7FD266B3"/>
    <w:multiLevelType w:val="hybridMultilevel"/>
    <w:tmpl w:val="21ECD3A8"/>
    <w:lvl w:ilvl="0" w:tplc="68EA5582">
      <w:start w:val="1"/>
      <w:numFmt w:val="decimal"/>
      <w:lvlText w:val="%1."/>
      <w:lvlJc w:val="left"/>
      <w:pPr>
        <w:ind w:left="720" w:hanging="360"/>
      </w:pPr>
      <w:rPr>
        <w:rFonts w:ascii="Tahoma" w:hAnsi="Tahoma" w:cs="Tahoma"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18"/>
  </w:num>
  <w:num w:numId="3">
    <w:abstractNumId w:val="11"/>
  </w:num>
  <w:num w:numId="4">
    <w:abstractNumId w:val="19"/>
  </w:num>
  <w:num w:numId="5">
    <w:abstractNumId w:val="1"/>
  </w:num>
  <w:num w:numId="6">
    <w:abstractNumId w:val="31"/>
  </w:num>
  <w:num w:numId="7">
    <w:abstractNumId w:val="14"/>
  </w:num>
  <w:num w:numId="8">
    <w:abstractNumId w:val="32"/>
  </w:num>
  <w:num w:numId="9">
    <w:abstractNumId w:val="22"/>
  </w:num>
  <w:num w:numId="10">
    <w:abstractNumId w:val="33"/>
  </w:num>
  <w:num w:numId="11">
    <w:abstractNumId w:val="29"/>
  </w:num>
  <w:num w:numId="12">
    <w:abstractNumId w:val="3"/>
  </w:num>
  <w:num w:numId="13">
    <w:abstractNumId w:val="6"/>
  </w:num>
  <w:num w:numId="14">
    <w:abstractNumId w:val="30"/>
  </w:num>
  <w:num w:numId="15">
    <w:abstractNumId w:val="23"/>
  </w:num>
  <w:num w:numId="16">
    <w:abstractNumId w:val="28"/>
  </w:num>
  <w:num w:numId="17">
    <w:abstractNumId w:val="0"/>
  </w:num>
  <w:num w:numId="18">
    <w:abstractNumId w:val="10"/>
  </w:num>
  <w:num w:numId="19">
    <w:abstractNumId w:val="7"/>
  </w:num>
  <w:num w:numId="20">
    <w:abstractNumId w:val="13"/>
  </w:num>
  <w:num w:numId="21">
    <w:abstractNumId w:val="16"/>
  </w:num>
  <w:num w:numId="22">
    <w:abstractNumId w:val="9"/>
  </w:num>
  <w:num w:numId="23">
    <w:abstractNumId w:val="12"/>
  </w:num>
  <w:num w:numId="24">
    <w:abstractNumId w:val="27"/>
  </w:num>
  <w:num w:numId="25">
    <w:abstractNumId w:val="2"/>
  </w:num>
  <w:num w:numId="26">
    <w:abstractNumId w:val="34"/>
  </w:num>
  <w:num w:numId="27">
    <w:abstractNumId w:val="8"/>
  </w:num>
  <w:num w:numId="28">
    <w:abstractNumId w:val="36"/>
  </w:num>
  <w:num w:numId="29">
    <w:abstractNumId w:val="26"/>
  </w:num>
  <w:num w:numId="30">
    <w:abstractNumId w:val="4"/>
  </w:num>
  <w:num w:numId="31">
    <w:abstractNumId w:val="17"/>
  </w:num>
  <w:num w:numId="32">
    <w:abstractNumId w:val="25"/>
  </w:num>
  <w:num w:numId="33">
    <w:abstractNumId w:val="21"/>
  </w:num>
  <w:num w:numId="34">
    <w:abstractNumId w:val="5"/>
  </w:num>
  <w:num w:numId="35">
    <w:abstractNumId w:val="24"/>
  </w:num>
  <w:num w:numId="36">
    <w:abstractNumId w:val="35"/>
  </w:num>
  <w:num w:numId="37">
    <w:abstractNumId w:val="15"/>
  </w:num>
  <w:numIdMacAtCleanup w:val="3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el Borecky">
    <w15:presenceInfo w15:providerId="None" w15:userId="Karel Borecky"/>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7170"/>
    <o:shapelayout v:ext="edit">
      <o:idmap v:ext="edit" data="4"/>
    </o:shapelayout>
  </w:hdrShapeDefaults>
  <w:footnotePr>
    <w:footnote w:id="-1"/>
    <w:footnote w:id="0"/>
  </w:footnotePr>
  <w:endnotePr>
    <w:endnote w:id="-1"/>
    <w:endnote w:id="0"/>
  </w:endnotePr>
  <w:compat/>
  <w:rsids>
    <w:rsidRoot w:val="00D71C66"/>
    <w:rsid w:val="00001977"/>
    <w:rsid w:val="00001C37"/>
    <w:rsid w:val="00001F1D"/>
    <w:rsid w:val="00003A00"/>
    <w:rsid w:val="00004641"/>
    <w:rsid w:val="00004AEE"/>
    <w:rsid w:val="00004CE3"/>
    <w:rsid w:val="00007189"/>
    <w:rsid w:val="00010002"/>
    <w:rsid w:val="00011FD3"/>
    <w:rsid w:val="00012EDA"/>
    <w:rsid w:val="00014BA0"/>
    <w:rsid w:val="00015AE3"/>
    <w:rsid w:val="00015B69"/>
    <w:rsid w:val="000166C4"/>
    <w:rsid w:val="00016E8B"/>
    <w:rsid w:val="0001741B"/>
    <w:rsid w:val="000201B0"/>
    <w:rsid w:val="00021784"/>
    <w:rsid w:val="00022E68"/>
    <w:rsid w:val="00023632"/>
    <w:rsid w:val="000269BD"/>
    <w:rsid w:val="00026B1C"/>
    <w:rsid w:val="00026C23"/>
    <w:rsid w:val="00026F54"/>
    <w:rsid w:val="00027F80"/>
    <w:rsid w:val="00031325"/>
    <w:rsid w:val="00031459"/>
    <w:rsid w:val="00031637"/>
    <w:rsid w:val="000328AF"/>
    <w:rsid w:val="0003308F"/>
    <w:rsid w:val="00034BF2"/>
    <w:rsid w:val="000410B7"/>
    <w:rsid w:val="00041D71"/>
    <w:rsid w:val="000426AB"/>
    <w:rsid w:val="00043F5A"/>
    <w:rsid w:val="00044663"/>
    <w:rsid w:val="00044940"/>
    <w:rsid w:val="000455EF"/>
    <w:rsid w:val="000459D2"/>
    <w:rsid w:val="000507B2"/>
    <w:rsid w:val="00050916"/>
    <w:rsid w:val="00050EE7"/>
    <w:rsid w:val="000530D8"/>
    <w:rsid w:val="00053F9F"/>
    <w:rsid w:val="000540E0"/>
    <w:rsid w:val="00055222"/>
    <w:rsid w:val="000558A9"/>
    <w:rsid w:val="0005690F"/>
    <w:rsid w:val="00057E46"/>
    <w:rsid w:val="00060F2D"/>
    <w:rsid w:val="00061730"/>
    <w:rsid w:val="00065323"/>
    <w:rsid w:val="00065FC1"/>
    <w:rsid w:val="0006704A"/>
    <w:rsid w:val="000707AF"/>
    <w:rsid w:val="0007299A"/>
    <w:rsid w:val="00074006"/>
    <w:rsid w:val="00074462"/>
    <w:rsid w:val="000768FE"/>
    <w:rsid w:val="00076BC3"/>
    <w:rsid w:val="00076DEE"/>
    <w:rsid w:val="0007726E"/>
    <w:rsid w:val="0008082A"/>
    <w:rsid w:val="00080CD1"/>
    <w:rsid w:val="00080EB9"/>
    <w:rsid w:val="000818B5"/>
    <w:rsid w:val="00093792"/>
    <w:rsid w:val="000954DB"/>
    <w:rsid w:val="00095A33"/>
    <w:rsid w:val="00095C44"/>
    <w:rsid w:val="0009725C"/>
    <w:rsid w:val="00097848"/>
    <w:rsid w:val="000A0C29"/>
    <w:rsid w:val="000A2A73"/>
    <w:rsid w:val="000A45EB"/>
    <w:rsid w:val="000A59A5"/>
    <w:rsid w:val="000A5A6F"/>
    <w:rsid w:val="000A6179"/>
    <w:rsid w:val="000A6309"/>
    <w:rsid w:val="000B0162"/>
    <w:rsid w:val="000B1279"/>
    <w:rsid w:val="000B1EEA"/>
    <w:rsid w:val="000B2812"/>
    <w:rsid w:val="000B30F7"/>
    <w:rsid w:val="000B6DC8"/>
    <w:rsid w:val="000C0086"/>
    <w:rsid w:val="000C1443"/>
    <w:rsid w:val="000C1E97"/>
    <w:rsid w:val="000C1F96"/>
    <w:rsid w:val="000C5298"/>
    <w:rsid w:val="000C568A"/>
    <w:rsid w:val="000C5703"/>
    <w:rsid w:val="000C61A9"/>
    <w:rsid w:val="000D0F79"/>
    <w:rsid w:val="000D29D6"/>
    <w:rsid w:val="000D2BB4"/>
    <w:rsid w:val="000D47C8"/>
    <w:rsid w:val="000D4E5F"/>
    <w:rsid w:val="000D6BB4"/>
    <w:rsid w:val="000D6E54"/>
    <w:rsid w:val="000D736B"/>
    <w:rsid w:val="000E032D"/>
    <w:rsid w:val="000E0503"/>
    <w:rsid w:val="000E307E"/>
    <w:rsid w:val="000E3743"/>
    <w:rsid w:val="000E3E8C"/>
    <w:rsid w:val="000E5C1C"/>
    <w:rsid w:val="000E6240"/>
    <w:rsid w:val="000E6F72"/>
    <w:rsid w:val="000E7BC8"/>
    <w:rsid w:val="000F220F"/>
    <w:rsid w:val="000F4688"/>
    <w:rsid w:val="000F5B97"/>
    <w:rsid w:val="000F6660"/>
    <w:rsid w:val="000F718E"/>
    <w:rsid w:val="00100CF8"/>
    <w:rsid w:val="00102554"/>
    <w:rsid w:val="00103185"/>
    <w:rsid w:val="00103FA9"/>
    <w:rsid w:val="00106773"/>
    <w:rsid w:val="001074F7"/>
    <w:rsid w:val="001076C9"/>
    <w:rsid w:val="00107DE3"/>
    <w:rsid w:val="00110750"/>
    <w:rsid w:val="0011085A"/>
    <w:rsid w:val="00111D2F"/>
    <w:rsid w:val="00112FF7"/>
    <w:rsid w:val="00114C37"/>
    <w:rsid w:val="0011542D"/>
    <w:rsid w:val="00115CFE"/>
    <w:rsid w:val="0011602E"/>
    <w:rsid w:val="001166E2"/>
    <w:rsid w:val="00123712"/>
    <w:rsid w:val="001239C9"/>
    <w:rsid w:val="00127B3C"/>
    <w:rsid w:val="00127C4E"/>
    <w:rsid w:val="001303B8"/>
    <w:rsid w:val="00130BA0"/>
    <w:rsid w:val="00130CBF"/>
    <w:rsid w:val="00130EAF"/>
    <w:rsid w:val="001319F1"/>
    <w:rsid w:val="00132049"/>
    <w:rsid w:val="001327B5"/>
    <w:rsid w:val="00133EC8"/>
    <w:rsid w:val="00133FE0"/>
    <w:rsid w:val="00135B0E"/>
    <w:rsid w:val="00135CCD"/>
    <w:rsid w:val="00135D59"/>
    <w:rsid w:val="00136422"/>
    <w:rsid w:val="00136B5C"/>
    <w:rsid w:val="001400D2"/>
    <w:rsid w:val="001410D7"/>
    <w:rsid w:val="001422E6"/>
    <w:rsid w:val="001454FE"/>
    <w:rsid w:val="00145627"/>
    <w:rsid w:val="001459AB"/>
    <w:rsid w:val="001464A2"/>
    <w:rsid w:val="001466C1"/>
    <w:rsid w:val="00146D83"/>
    <w:rsid w:val="001512EC"/>
    <w:rsid w:val="0015225B"/>
    <w:rsid w:val="001531BF"/>
    <w:rsid w:val="00154D59"/>
    <w:rsid w:val="00155518"/>
    <w:rsid w:val="00155C66"/>
    <w:rsid w:val="00163C66"/>
    <w:rsid w:val="00164829"/>
    <w:rsid w:val="001650AF"/>
    <w:rsid w:val="00165310"/>
    <w:rsid w:val="00165537"/>
    <w:rsid w:val="001700EA"/>
    <w:rsid w:val="00170755"/>
    <w:rsid w:val="00171662"/>
    <w:rsid w:val="001724D5"/>
    <w:rsid w:val="00172C25"/>
    <w:rsid w:val="00173B20"/>
    <w:rsid w:val="0017403B"/>
    <w:rsid w:val="0017595E"/>
    <w:rsid w:val="0018009A"/>
    <w:rsid w:val="00180551"/>
    <w:rsid w:val="00180B0B"/>
    <w:rsid w:val="00180B9E"/>
    <w:rsid w:val="00180D42"/>
    <w:rsid w:val="00180EBA"/>
    <w:rsid w:val="00182087"/>
    <w:rsid w:val="00182F12"/>
    <w:rsid w:val="001875D2"/>
    <w:rsid w:val="001907EB"/>
    <w:rsid w:val="00190B4B"/>
    <w:rsid w:val="001918B1"/>
    <w:rsid w:val="00191DAB"/>
    <w:rsid w:val="00192674"/>
    <w:rsid w:val="00193E9C"/>
    <w:rsid w:val="0019521F"/>
    <w:rsid w:val="0019586E"/>
    <w:rsid w:val="001A0F7E"/>
    <w:rsid w:val="001A1D56"/>
    <w:rsid w:val="001A212F"/>
    <w:rsid w:val="001A23C5"/>
    <w:rsid w:val="001A28B0"/>
    <w:rsid w:val="001A3CF8"/>
    <w:rsid w:val="001A48C9"/>
    <w:rsid w:val="001A4B4B"/>
    <w:rsid w:val="001A6122"/>
    <w:rsid w:val="001A7465"/>
    <w:rsid w:val="001B03AA"/>
    <w:rsid w:val="001B1473"/>
    <w:rsid w:val="001B1D32"/>
    <w:rsid w:val="001B50E3"/>
    <w:rsid w:val="001B5588"/>
    <w:rsid w:val="001B58A7"/>
    <w:rsid w:val="001B5C62"/>
    <w:rsid w:val="001B5DDD"/>
    <w:rsid w:val="001B63F5"/>
    <w:rsid w:val="001B6555"/>
    <w:rsid w:val="001C00CA"/>
    <w:rsid w:val="001C21A0"/>
    <w:rsid w:val="001C24C9"/>
    <w:rsid w:val="001C27B0"/>
    <w:rsid w:val="001C3F42"/>
    <w:rsid w:val="001C5D7E"/>
    <w:rsid w:val="001D09DA"/>
    <w:rsid w:val="001D2761"/>
    <w:rsid w:val="001D30E4"/>
    <w:rsid w:val="001D4628"/>
    <w:rsid w:val="001D7BC6"/>
    <w:rsid w:val="001E0792"/>
    <w:rsid w:val="001E07C1"/>
    <w:rsid w:val="001E07D7"/>
    <w:rsid w:val="001E25CD"/>
    <w:rsid w:val="001E6510"/>
    <w:rsid w:val="001E65B9"/>
    <w:rsid w:val="001E6B15"/>
    <w:rsid w:val="001E7FBB"/>
    <w:rsid w:val="001F0013"/>
    <w:rsid w:val="001F0563"/>
    <w:rsid w:val="001F08E3"/>
    <w:rsid w:val="001F0E81"/>
    <w:rsid w:val="001F1180"/>
    <w:rsid w:val="001F198E"/>
    <w:rsid w:val="001F3111"/>
    <w:rsid w:val="001F3D13"/>
    <w:rsid w:val="001F6787"/>
    <w:rsid w:val="001F6E60"/>
    <w:rsid w:val="001F7397"/>
    <w:rsid w:val="00201625"/>
    <w:rsid w:val="00201A94"/>
    <w:rsid w:val="00201BCC"/>
    <w:rsid w:val="00201CFD"/>
    <w:rsid w:val="0020209E"/>
    <w:rsid w:val="002034E1"/>
    <w:rsid w:val="00204BE0"/>
    <w:rsid w:val="00205839"/>
    <w:rsid w:val="002063A6"/>
    <w:rsid w:val="0020788F"/>
    <w:rsid w:val="002102BD"/>
    <w:rsid w:val="0021039F"/>
    <w:rsid w:val="00214A8A"/>
    <w:rsid w:val="002157BB"/>
    <w:rsid w:val="00215E00"/>
    <w:rsid w:val="00216136"/>
    <w:rsid w:val="00217654"/>
    <w:rsid w:val="002208A9"/>
    <w:rsid w:val="002226A7"/>
    <w:rsid w:val="002274DA"/>
    <w:rsid w:val="00227A79"/>
    <w:rsid w:val="0023076E"/>
    <w:rsid w:val="00230ECB"/>
    <w:rsid w:val="0023602D"/>
    <w:rsid w:val="00236113"/>
    <w:rsid w:val="00236989"/>
    <w:rsid w:val="00236CB7"/>
    <w:rsid w:val="00237108"/>
    <w:rsid w:val="002375C4"/>
    <w:rsid w:val="00237C07"/>
    <w:rsid w:val="002429F3"/>
    <w:rsid w:val="002450B5"/>
    <w:rsid w:val="002474B3"/>
    <w:rsid w:val="00247542"/>
    <w:rsid w:val="00247BFE"/>
    <w:rsid w:val="00253DA8"/>
    <w:rsid w:val="002558B0"/>
    <w:rsid w:val="00256FEE"/>
    <w:rsid w:val="00261C04"/>
    <w:rsid w:val="00262CBC"/>
    <w:rsid w:val="00262ECD"/>
    <w:rsid w:val="00263180"/>
    <w:rsid w:val="002720E1"/>
    <w:rsid w:val="00272FBE"/>
    <w:rsid w:val="00274A5F"/>
    <w:rsid w:val="0027585C"/>
    <w:rsid w:val="00276678"/>
    <w:rsid w:val="00276FF3"/>
    <w:rsid w:val="0027710F"/>
    <w:rsid w:val="00280C26"/>
    <w:rsid w:val="00282D3C"/>
    <w:rsid w:val="00284EE0"/>
    <w:rsid w:val="0028521C"/>
    <w:rsid w:val="0028612D"/>
    <w:rsid w:val="0028641A"/>
    <w:rsid w:val="002865F3"/>
    <w:rsid w:val="002904AB"/>
    <w:rsid w:val="00291252"/>
    <w:rsid w:val="002916A7"/>
    <w:rsid w:val="002921DB"/>
    <w:rsid w:val="00292992"/>
    <w:rsid w:val="00292B9C"/>
    <w:rsid w:val="00292C8C"/>
    <w:rsid w:val="002933A2"/>
    <w:rsid w:val="00294380"/>
    <w:rsid w:val="00294A10"/>
    <w:rsid w:val="002965B1"/>
    <w:rsid w:val="00296D48"/>
    <w:rsid w:val="002A025C"/>
    <w:rsid w:val="002A0747"/>
    <w:rsid w:val="002A07BA"/>
    <w:rsid w:val="002A172D"/>
    <w:rsid w:val="002A4E11"/>
    <w:rsid w:val="002A5AA5"/>
    <w:rsid w:val="002A75E7"/>
    <w:rsid w:val="002A7B5E"/>
    <w:rsid w:val="002B03E6"/>
    <w:rsid w:val="002B0601"/>
    <w:rsid w:val="002B0777"/>
    <w:rsid w:val="002B0A7A"/>
    <w:rsid w:val="002B1C03"/>
    <w:rsid w:val="002B33ED"/>
    <w:rsid w:val="002B36AA"/>
    <w:rsid w:val="002B5435"/>
    <w:rsid w:val="002B5604"/>
    <w:rsid w:val="002B7BB8"/>
    <w:rsid w:val="002C11EC"/>
    <w:rsid w:val="002C2A1A"/>
    <w:rsid w:val="002C3100"/>
    <w:rsid w:val="002C3186"/>
    <w:rsid w:val="002C54E6"/>
    <w:rsid w:val="002C6BB2"/>
    <w:rsid w:val="002C780B"/>
    <w:rsid w:val="002C7F74"/>
    <w:rsid w:val="002D024C"/>
    <w:rsid w:val="002D1A0E"/>
    <w:rsid w:val="002D41E1"/>
    <w:rsid w:val="002D6199"/>
    <w:rsid w:val="002D665A"/>
    <w:rsid w:val="002D78BA"/>
    <w:rsid w:val="002E0984"/>
    <w:rsid w:val="002E2759"/>
    <w:rsid w:val="002E28A4"/>
    <w:rsid w:val="002E2A72"/>
    <w:rsid w:val="002E2EAD"/>
    <w:rsid w:val="002E4DB8"/>
    <w:rsid w:val="002E56DD"/>
    <w:rsid w:val="002E755C"/>
    <w:rsid w:val="002F2B96"/>
    <w:rsid w:val="002F35CC"/>
    <w:rsid w:val="002F4CA3"/>
    <w:rsid w:val="002F4CF2"/>
    <w:rsid w:val="002F565F"/>
    <w:rsid w:val="003002D1"/>
    <w:rsid w:val="00300440"/>
    <w:rsid w:val="003019F6"/>
    <w:rsid w:val="00301F6A"/>
    <w:rsid w:val="003022CA"/>
    <w:rsid w:val="00302BFE"/>
    <w:rsid w:val="00302F88"/>
    <w:rsid w:val="00303355"/>
    <w:rsid w:val="0030340F"/>
    <w:rsid w:val="003038CB"/>
    <w:rsid w:val="00303B0C"/>
    <w:rsid w:val="0030433F"/>
    <w:rsid w:val="00305DEB"/>
    <w:rsid w:val="00306A6B"/>
    <w:rsid w:val="00306FDC"/>
    <w:rsid w:val="003121D1"/>
    <w:rsid w:val="0031223E"/>
    <w:rsid w:val="00312414"/>
    <w:rsid w:val="00314018"/>
    <w:rsid w:val="00314931"/>
    <w:rsid w:val="00314A07"/>
    <w:rsid w:val="0031650C"/>
    <w:rsid w:val="0031702E"/>
    <w:rsid w:val="00317E75"/>
    <w:rsid w:val="003219E8"/>
    <w:rsid w:val="00321A58"/>
    <w:rsid w:val="00321FCD"/>
    <w:rsid w:val="00322FBA"/>
    <w:rsid w:val="0032463A"/>
    <w:rsid w:val="00325049"/>
    <w:rsid w:val="00325C5B"/>
    <w:rsid w:val="00325DBD"/>
    <w:rsid w:val="00326652"/>
    <w:rsid w:val="0032733E"/>
    <w:rsid w:val="00332838"/>
    <w:rsid w:val="003330D1"/>
    <w:rsid w:val="00333765"/>
    <w:rsid w:val="00333833"/>
    <w:rsid w:val="00333C25"/>
    <w:rsid w:val="0033554C"/>
    <w:rsid w:val="003357C6"/>
    <w:rsid w:val="00335B72"/>
    <w:rsid w:val="0033668C"/>
    <w:rsid w:val="003369CE"/>
    <w:rsid w:val="00336C90"/>
    <w:rsid w:val="00341004"/>
    <w:rsid w:val="003414EE"/>
    <w:rsid w:val="00343246"/>
    <w:rsid w:val="00345C0F"/>
    <w:rsid w:val="00350D3E"/>
    <w:rsid w:val="003513BE"/>
    <w:rsid w:val="00351C0D"/>
    <w:rsid w:val="003523CC"/>
    <w:rsid w:val="003534F0"/>
    <w:rsid w:val="00353D6E"/>
    <w:rsid w:val="00355A2C"/>
    <w:rsid w:val="00357966"/>
    <w:rsid w:val="0035798D"/>
    <w:rsid w:val="00360B3B"/>
    <w:rsid w:val="00361980"/>
    <w:rsid w:val="00362675"/>
    <w:rsid w:val="003644BA"/>
    <w:rsid w:val="00371FBE"/>
    <w:rsid w:val="00373E62"/>
    <w:rsid w:val="00377CF9"/>
    <w:rsid w:val="00382091"/>
    <w:rsid w:val="003843BA"/>
    <w:rsid w:val="003845B4"/>
    <w:rsid w:val="0038479D"/>
    <w:rsid w:val="003848BD"/>
    <w:rsid w:val="00384DCD"/>
    <w:rsid w:val="00385140"/>
    <w:rsid w:val="003864F0"/>
    <w:rsid w:val="003907A5"/>
    <w:rsid w:val="00391A76"/>
    <w:rsid w:val="00393335"/>
    <w:rsid w:val="00395794"/>
    <w:rsid w:val="003A07E0"/>
    <w:rsid w:val="003A2179"/>
    <w:rsid w:val="003A3139"/>
    <w:rsid w:val="003A39C7"/>
    <w:rsid w:val="003A5EDC"/>
    <w:rsid w:val="003A6D88"/>
    <w:rsid w:val="003B02B0"/>
    <w:rsid w:val="003B233D"/>
    <w:rsid w:val="003B2724"/>
    <w:rsid w:val="003B30AB"/>
    <w:rsid w:val="003B35C1"/>
    <w:rsid w:val="003B48C6"/>
    <w:rsid w:val="003B4C91"/>
    <w:rsid w:val="003B4D93"/>
    <w:rsid w:val="003B615D"/>
    <w:rsid w:val="003B76D5"/>
    <w:rsid w:val="003C0935"/>
    <w:rsid w:val="003C1198"/>
    <w:rsid w:val="003C11E0"/>
    <w:rsid w:val="003C3AAC"/>
    <w:rsid w:val="003C4646"/>
    <w:rsid w:val="003C5AA9"/>
    <w:rsid w:val="003C6918"/>
    <w:rsid w:val="003C7B7C"/>
    <w:rsid w:val="003D05C1"/>
    <w:rsid w:val="003D085A"/>
    <w:rsid w:val="003D12DA"/>
    <w:rsid w:val="003D167E"/>
    <w:rsid w:val="003D40E2"/>
    <w:rsid w:val="003D4420"/>
    <w:rsid w:val="003D77F6"/>
    <w:rsid w:val="003E094A"/>
    <w:rsid w:val="003E1AAD"/>
    <w:rsid w:val="003E3434"/>
    <w:rsid w:val="003E3A42"/>
    <w:rsid w:val="003E430E"/>
    <w:rsid w:val="003E5007"/>
    <w:rsid w:val="003E798F"/>
    <w:rsid w:val="003E7A55"/>
    <w:rsid w:val="003F1777"/>
    <w:rsid w:val="003F19FC"/>
    <w:rsid w:val="003F1B12"/>
    <w:rsid w:val="003F26D7"/>
    <w:rsid w:val="003F36C2"/>
    <w:rsid w:val="003F38FB"/>
    <w:rsid w:val="003F42E2"/>
    <w:rsid w:val="003F4594"/>
    <w:rsid w:val="003F5F93"/>
    <w:rsid w:val="004004B8"/>
    <w:rsid w:val="00401A1E"/>
    <w:rsid w:val="00401C51"/>
    <w:rsid w:val="0040502C"/>
    <w:rsid w:val="00406E5B"/>
    <w:rsid w:val="004071F3"/>
    <w:rsid w:val="00407584"/>
    <w:rsid w:val="00407A43"/>
    <w:rsid w:val="00412D28"/>
    <w:rsid w:val="00412EDE"/>
    <w:rsid w:val="00413669"/>
    <w:rsid w:val="004151C3"/>
    <w:rsid w:val="00416833"/>
    <w:rsid w:val="00417183"/>
    <w:rsid w:val="00417C99"/>
    <w:rsid w:val="00421ED1"/>
    <w:rsid w:val="0042394C"/>
    <w:rsid w:val="0042407B"/>
    <w:rsid w:val="00424AF6"/>
    <w:rsid w:val="00424EA4"/>
    <w:rsid w:val="004256F0"/>
    <w:rsid w:val="00425819"/>
    <w:rsid w:val="00430182"/>
    <w:rsid w:val="00432FF2"/>
    <w:rsid w:val="00436741"/>
    <w:rsid w:val="004373D8"/>
    <w:rsid w:val="00437DC3"/>
    <w:rsid w:val="00441D9A"/>
    <w:rsid w:val="00442A0B"/>
    <w:rsid w:val="00444744"/>
    <w:rsid w:val="004470D6"/>
    <w:rsid w:val="004471AC"/>
    <w:rsid w:val="0045077E"/>
    <w:rsid w:val="004512AD"/>
    <w:rsid w:val="00451A24"/>
    <w:rsid w:val="00452530"/>
    <w:rsid w:val="00453203"/>
    <w:rsid w:val="00453D3D"/>
    <w:rsid w:val="00453D54"/>
    <w:rsid w:val="0045497B"/>
    <w:rsid w:val="00455699"/>
    <w:rsid w:val="004558D4"/>
    <w:rsid w:val="004564ED"/>
    <w:rsid w:val="00456FC2"/>
    <w:rsid w:val="004575F9"/>
    <w:rsid w:val="00461D98"/>
    <w:rsid w:val="0046208A"/>
    <w:rsid w:val="004624AA"/>
    <w:rsid w:val="00462F31"/>
    <w:rsid w:val="00464FE9"/>
    <w:rsid w:val="004669DE"/>
    <w:rsid w:val="00466F18"/>
    <w:rsid w:val="004718CF"/>
    <w:rsid w:val="00471AC7"/>
    <w:rsid w:val="004731F6"/>
    <w:rsid w:val="004733A7"/>
    <w:rsid w:val="00474771"/>
    <w:rsid w:val="0047519B"/>
    <w:rsid w:val="004753C7"/>
    <w:rsid w:val="004758C0"/>
    <w:rsid w:val="0047705B"/>
    <w:rsid w:val="00477F5A"/>
    <w:rsid w:val="004802FD"/>
    <w:rsid w:val="00482007"/>
    <w:rsid w:val="00483ECF"/>
    <w:rsid w:val="00486697"/>
    <w:rsid w:val="004866E8"/>
    <w:rsid w:val="00487A9D"/>
    <w:rsid w:val="00487FC2"/>
    <w:rsid w:val="0049080F"/>
    <w:rsid w:val="004908C2"/>
    <w:rsid w:val="00490C91"/>
    <w:rsid w:val="00490D5C"/>
    <w:rsid w:val="0049181E"/>
    <w:rsid w:val="0049240C"/>
    <w:rsid w:val="0049253B"/>
    <w:rsid w:val="00493981"/>
    <w:rsid w:val="00495268"/>
    <w:rsid w:val="0049541A"/>
    <w:rsid w:val="004955DE"/>
    <w:rsid w:val="00495AF9"/>
    <w:rsid w:val="004966EF"/>
    <w:rsid w:val="004A10DA"/>
    <w:rsid w:val="004A1A10"/>
    <w:rsid w:val="004A64D9"/>
    <w:rsid w:val="004A779E"/>
    <w:rsid w:val="004B2B7A"/>
    <w:rsid w:val="004B5AE4"/>
    <w:rsid w:val="004B6E6E"/>
    <w:rsid w:val="004C06B7"/>
    <w:rsid w:val="004C13F4"/>
    <w:rsid w:val="004C298D"/>
    <w:rsid w:val="004C30E9"/>
    <w:rsid w:val="004C617B"/>
    <w:rsid w:val="004C62CF"/>
    <w:rsid w:val="004C70C0"/>
    <w:rsid w:val="004C7484"/>
    <w:rsid w:val="004C74F1"/>
    <w:rsid w:val="004D01BD"/>
    <w:rsid w:val="004D20C6"/>
    <w:rsid w:val="004D477D"/>
    <w:rsid w:val="004E04EB"/>
    <w:rsid w:val="004E093F"/>
    <w:rsid w:val="004E12C4"/>
    <w:rsid w:val="004E192A"/>
    <w:rsid w:val="004E2CD2"/>
    <w:rsid w:val="004E40F0"/>
    <w:rsid w:val="004E4B28"/>
    <w:rsid w:val="004E4E23"/>
    <w:rsid w:val="004E5C84"/>
    <w:rsid w:val="004E677E"/>
    <w:rsid w:val="004F0511"/>
    <w:rsid w:val="004F195A"/>
    <w:rsid w:val="004F4423"/>
    <w:rsid w:val="004F488D"/>
    <w:rsid w:val="004F4C77"/>
    <w:rsid w:val="004F5DFB"/>
    <w:rsid w:val="004F60D6"/>
    <w:rsid w:val="004F650A"/>
    <w:rsid w:val="00500744"/>
    <w:rsid w:val="00500DDC"/>
    <w:rsid w:val="00501239"/>
    <w:rsid w:val="005027EC"/>
    <w:rsid w:val="00503764"/>
    <w:rsid w:val="00503801"/>
    <w:rsid w:val="00505CA1"/>
    <w:rsid w:val="0050632F"/>
    <w:rsid w:val="00506925"/>
    <w:rsid w:val="005070CA"/>
    <w:rsid w:val="00510BEC"/>
    <w:rsid w:val="0051183E"/>
    <w:rsid w:val="00511BAD"/>
    <w:rsid w:val="005130A4"/>
    <w:rsid w:val="00515118"/>
    <w:rsid w:val="005162D7"/>
    <w:rsid w:val="00516BAB"/>
    <w:rsid w:val="005201E0"/>
    <w:rsid w:val="005214D5"/>
    <w:rsid w:val="005215A5"/>
    <w:rsid w:val="005239CC"/>
    <w:rsid w:val="00524F40"/>
    <w:rsid w:val="00525400"/>
    <w:rsid w:val="00526CAF"/>
    <w:rsid w:val="00527853"/>
    <w:rsid w:val="00527F13"/>
    <w:rsid w:val="00530BDE"/>
    <w:rsid w:val="005354FD"/>
    <w:rsid w:val="0053562C"/>
    <w:rsid w:val="00536F1E"/>
    <w:rsid w:val="00537129"/>
    <w:rsid w:val="0054326E"/>
    <w:rsid w:val="00544B41"/>
    <w:rsid w:val="00550998"/>
    <w:rsid w:val="0055107A"/>
    <w:rsid w:val="005521DC"/>
    <w:rsid w:val="00552B11"/>
    <w:rsid w:val="00552F8B"/>
    <w:rsid w:val="005537F6"/>
    <w:rsid w:val="00554A52"/>
    <w:rsid w:val="00555168"/>
    <w:rsid w:val="0055689C"/>
    <w:rsid w:val="00560A05"/>
    <w:rsid w:val="00561469"/>
    <w:rsid w:val="005614A8"/>
    <w:rsid w:val="0057094E"/>
    <w:rsid w:val="0057179B"/>
    <w:rsid w:val="00571960"/>
    <w:rsid w:val="00571C3A"/>
    <w:rsid w:val="005723C6"/>
    <w:rsid w:val="00573C39"/>
    <w:rsid w:val="00575ED9"/>
    <w:rsid w:val="005801DE"/>
    <w:rsid w:val="005801E1"/>
    <w:rsid w:val="0058021F"/>
    <w:rsid w:val="00580690"/>
    <w:rsid w:val="00580CF1"/>
    <w:rsid w:val="00582295"/>
    <w:rsid w:val="00582735"/>
    <w:rsid w:val="00585788"/>
    <w:rsid w:val="0058695C"/>
    <w:rsid w:val="00587441"/>
    <w:rsid w:val="00593BDB"/>
    <w:rsid w:val="00594EA1"/>
    <w:rsid w:val="00596411"/>
    <w:rsid w:val="005A24B5"/>
    <w:rsid w:val="005A256D"/>
    <w:rsid w:val="005A38AD"/>
    <w:rsid w:val="005A5A91"/>
    <w:rsid w:val="005B00DA"/>
    <w:rsid w:val="005B0173"/>
    <w:rsid w:val="005B094E"/>
    <w:rsid w:val="005B122D"/>
    <w:rsid w:val="005B365C"/>
    <w:rsid w:val="005B3927"/>
    <w:rsid w:val="005B3C68"/>
    <w:rsid w:val="005B3D05"/>
    <w:rsid w:val="005B3D06"/>
    <w:rsid w:val="005B5481"/>
    <w:rsid w:val="005B575B"/>
    <w:rsid w:val="005B644D"/>
    <w:rsid w:val="005C0945"/>
    <w:rsid w:val="005C0ADF"/>
    <w:rsid w:val="005C1440"/>
    <w:rsid w:val="005C18CC"/>
    <w:rsid w:val="005C2A45"/>
    <w:rsid w:val="005C2C22"/>
    <w:rsid w:val="005C3221"/>
    <w:rsid w:val="005C45A7"/>
    <w:rsid w:val="005C5A29"/>
    <w:rsid w:val="005C6B4E"/>
    <w:rsid w:val="005D19CB"/>
    <w:rsid w:val="005D235F"/>
    <w:rsid w:val="005D3579"/>
    <w:rsid w:val="005D40D3"/>
    <w:rsid w:val="005D58AC"/>
    <w:rsid w:val="005D6C76"/>
    <w:rsid w:val="005D76EF"/>
    <w:rsid w:val="005E0066"/>
    <w:rsid w:val="005E1DD8"/>
    <w:rsid w:val="005E35BB"/>
    <w:rsid w:val="005E47C3"/>
    <w:rsid w:val="005E5DC5"/>
    <w:rsid w:val="005E7B34"/>
    <w:rsid w:val="005F0684"/>
    <w:rsid w:val="005F1E32"/>
    <w:rsid w:val="005F36D0"/>
    <w:rsid w:val="005F5495"/>
    <w:rsid w:val="005F5D6F"/>
    <w:rsid w:val="00600FBD"/>
    <w:rsid w:val="00602484"/>
    <w:rsid w:val="00602AE0"/>
    <w:rsid w:val="00603FF3"/>
    <w:rsid w:val="00604722"/>
    <w:rsid w:val="00604D05"/>
    <w:rsid w:val="00605A49"/>
    <w:rsid w:val="00606823"/>
    <w:rsid w:val="006069D1"/>
    <w:rsid w:val="00610318"/>
    <w:rsid w:val="0061115D"/>
    <w:rsid w:val="00611C01"/>
    <w:rsid w:val="00612917"/>
    <w:rsid w:val="006130B5"/>
    <w:rsid w:val="006139D3"/>
    <w:rsid w:val="006140EB"/>
    <w:rsid w:val="006164F5"/>
    <w:rsid w:val="00617874"/>
    <w:rsid w:val="0062080C"/>
    <w:rsid w:val="006243DD"/>
    <w:rsid w:val="00624CA7"/>
    <w:rsid w:val="0062501D"/>
    <w:rsid w:val="006256EC"/>
    <w:rsid w:val="00625DFA"/>
    <w:rsid w:val="00627207"/>
    <w:rsid w:val="00627456"/>
    <w:rsid w:val="00627D1E"/>
    <w:rsid w:val="0063014E"/>
    <w:rsid w:val="006307EF"/>
    <w:rsid w:val="00630FA7"/>
    <w:rsid w:val="00632A6B"/>
    <w:rsid w:val="00632C2C"/>
    <w:rsid w:val="00633273"/>
    <w:rsid w:val="0063327E"/>
    <w:rsid w:val="0063560D"/>
    <w:rsid w:val="0063584F"/>
    <w:rsid w:val="006364AE"/>
    <w:rsid w:val="006369EE"/>
    <w:rsid w:val="00637A01"/>
    <w:rsid w:val="0064007A"/>
    <w:rsid w:val="00641BE4"/>
    <w:rsid w:val="00641EB5"/>
    <w:rsid w:val="00642133"/>
    <w:rsid w:val="0064213A"/>
    <w:rsid w:val="006429B7"/>
    <w:rsid w:val="00642D5B"/>
    <w:rsid w:val="00643751"/>
    <w:rsid w:val="0064682F"/>
    <w:rsid w:val="00647D20"/>
    <w:rsid w:val="00650673"/>
    <w:rsid w:val="006509A5"/>
    <w:rsid w:val="0065120B"/>
    <w:rsid w:val="0065163C"/>
    <w:rsid w:val="00651741"/>
    <w:rsid w:val="00652D78"/>
    <w:rsid w:val="00654064"/>
    <w:rsid w:val="00655A0D"/>
    <w:rsid w:val="00657B23"/>
    <w:rsid w:val="00660A40"/>
    <w:rsid w:val="00662995"/>
    <w:rsid w:val="00663105"/>
    <w:rsid w:val="00665EBE"/>
    <w:rsid w:val="00667E35"/>
    <w:rsid w:val="006704C7"/>
    <w:rsid w:val="00671634"/>
    <w:rsid w:val="00671E62"/>
    <w:rsid w:val="00672CE4"/>
    <w:rsid w:val="00674CFC"/>
    <w:rsid w:val="0067617D"/>
    <w:rsid w:val="006763A2"/>
    <w:rsid w:val="006773ED"/>
    <w:rsid w:val="006779E1"/>
    <w:rsid w:val="00677F20"/>
    <w:rsid w:val="00680CA3"/>
    <w:rsid w:val="0068318A"/>
    <w:rsid w:val="00684B97"/>
    <w:rsid w:val="00685B74"/>
    <w:rsid w:val="00685F4A"/>
    <w:rsid w:val="00692517"/>
    <w:rsid w:val="0069341A"/>
    <w:rsid w:val="00694648"/>
    <w:rsid w:val="00695C81"/>
    <w:rsid w:val="00695F62"/>
    <w:rsid w:val="00696483"/>
    <w:rsid w:val="006970D1"/>
    <w:rsid w:val="006973BE"/>
    <w:rsid w:val="00697F57"/>
    <w:rsid w:val="006A095C"/>
    <w:rsid w:val="006A29C5"/>
    <w:rsid w:val="006A5D58"/>
    <w:rsid w:val="006A64E4"/>
    <w:rsid w:val="006A7056"/>
    <w:rsid w:val="006B0A74"/>
    <w:rsid w:val="006B1166"/>
    <w:rsid w:val="006B653A"/>
    <w:rsid w:val="006B7179"/>
    <w:rsid w:val="006B7D59"/>
    <w:rsid w:val="006C0E74"/>
    <w:rsid w:val="006C2656"/>
    <w:rsid w:val="006C2E0F"/>
    <w:rsid w:val="006C3EA4"/>
    <w:rsid w:val="006C70D3"/>
    <w:rsid w:val="006C70E8"/>
    <w:rsid w:val="006C734D"/>
    <w:rsid w:val="006D241D"/>
    <w:rsid w:val="006D2522"/>
    <w:rsid w:val="006D320B"/>
    <w:rsid w:val="006D39E4"/>
    <w:rsid w:val="006D3B27"/>
    <w:rsid w:val="006D4EB5"/>
    <w:rsid w:val="006D6E33"/>
    <w:rsid w:val="006E14F0"/>
    <w:rsid w:val="006E2311"/>
    <w:rsid w:val="006E5A1F"/>
    <w:rsid w:val="006E7511"/>
    <w:rsid w:val="006F0111"/>
    <w:rsid w:val="006F39B4"/>
    <w:rsid w:val="006F5A2E"/>
    <w:rsid w:val="006F622C"/>
    <w:rsid w:val="006F772A"/>
    <w:rsid w:val="006F78B5"/>
    <w:rsid w:val="00702961"/>
    <w:rsid w:val="007041AB"/>
    <w:rsid w:val="00704477"/>
    <w:rsid w:val="00704E86"/>
    <w:rsid w:val="00705104"/>
    <w:rsid w:val="007052CF"/>
    <w:rsid w:val="00705525"/>
    <w:rsid w:val="00705E4A"/>
    <w:rsid w:val="0070613A"/>
    <w:rsid w:val="0070757A"/>
    <w:rsid w:val="00710FB1"/>
    <w:rsid w:val="00711BA7"/>
    <w:rsid w:val="00712F62"/>
    <w:rsid w:val="007146E9"/>
    <w:rsid w:val="00715A08"/>
    <w:rsid w:val="007160CA"/>
    <w:rsid w:val="007171DE"/>
    <w:rsid w:val="00723BAB"/>
    <w:rsid w:val="0072448E"/>
    <w:rsid w:val="0072528E"/>
    <w:rsid w:val="007260D2"/>
    <w:rsid w:val="0072711D"/>
    <w:rsid w:val="0072736A"/>
    <w:rsid w:val="007273FC"/>
    <w:rsid w:val="00730CC6"/>
    <w:rsid w:val="00732D4C"/>
    <w:rsid w:val="00733F60"/>
    <w:rsid w:val="007364A2"/>
    <w:rsid w:val="0074078B"/>
    <w:rsid w:val="007446B8"/>
    <w:rsid w:val="00746584"/>
    <w:rsid w:val="00747B07"/>
    <w:rsid w:val="00751767"/>
    <w:rsid w:val="00752B0C"/>
    <w:rsid w:val="00752F9B"/>
    <w:rsid w:val="007530AF"/>
    <w:rsid w:val="00753632"/>
    <w:rsid w:val="00753C14"/>
    <w:rsid w:val="0076047D"/>
    <w:rsid w:val="00760747"/>
    <w:rsid w:val="00760896"/>
    <w:rsid w:val="00760FEE"/>
    <w:rsid w:val="0076168D"/>
    <w:rsid w:val="007624BD"/>
    <w:rsid w:val="00763114"/>
    <w:rsid w:val="00764FC3"/>
    <w:rsid w:val="00765253"/>
    <w:rsid w:val="00765D9A"/>
    <w:rsid w:val="007663FB"/>
    <w:rsid w:val="00767AAA"/>
    <w:rsid w:val="00770A87"/>
    <w:rsid w:val="00771C69"/>
    <w:rsid w:val="007725D1"/>
    <w:rsid w:val="00775FC4"/>
    <w:rsid w:val="007778AC"/>
    <w:rsid w:val="00781584"/>
    <w:rsid w:val="0078243B"/>
    <w:rsid w:val="0078315E"/>
    <w:rsid w:val="0078396C"/>
    <w:rsid w:val="007847A4"/>
    <w:rsid w:val="0078726F"/>
    <w:rsid w:val="0078781C"/>
    <w:rsid w:val="00787899"/>
    <w:rsid w:val="00787B60"/>
    <w:rsid w:val="00790915"/>
    <w:rsid w:val="00791D43"/>
    <w:rsid w:val="00791F87"/>
    <w:rsid w:val="00792242"/>
    <w:rsid w:val="007947E2"/>
    <w:rsid w:val="00795052"/>
    <w:rsid w:val="00796461"/>
    <w:rsid w:val="0079673E"/>
    <w:rsid w:val="007967F3"/>
    <w:rsid w:val="007A2D3C"/>
    <w:rsid w:val="007A4A89"/>
    <w:rsid w:val="007A5AEA"/>
    <w:rsid w:val="007A62AF"/>
    <w:rsid w:val="007B0885"/>
    <w:rsid w:val="007B11B0"/>
    <w:rsid w:val="007B13F4"/>
    <w:rsid w:val="007B14C7"/>
    <w:rsid w:val="007B1892"/>
    <w:rsid w:val="007B1993"/>
    <w:rsid w:val="007B1E38"/>
    <w:rsid w:val="007B1F6D"/>
    <w:rsid w:val="007B36B8"/>
    <w:rsid w:val="007B5EC8"/>
    <w:rsid w:val="007B6866"/>
    <w:rsid w:val="007B6B3D"/>
    <w:rsid w:val="007B7372"/>
    <w:rsid w:val="007B79D4"/>
    <w:rsid w:val="007C002A"/>
    <w:rsid w:val="007C1952"/>
    <w:rsid w:val="007C5D86"/>
    <w:rsid w:val="007C6B16"/>
    <w:rsid w:val="007C77FF"/>
    <w:rsid w:val="007D0E73"/>
    <w:rsid w:val="007D2C6C"/>
    <w:rsid w:val="007D3758"/>
    <w:rsid w:val="007D42F0"/>
    <w:rsid w:val="007D4922"/>
    <w:rsid w:val="007D54E8"/>
    <w:rsid w:val="007D61A8"/>
    <w:rsid w:val="007D78AC"/>
    <w:rsid w:val="007E1E11"/>
    <w:rsid w:val="007E2CE0"/>
    <w:rsid w:val="007E49D5"/>
    <w:rsid w:val="007E623D"/>
    <w:rsid w:val="007E64FB"/>
    <w:rsid w:val="007F5349"/>
    <w:rsid w:val="007F5972"/>
    <w:rsid w:val="007F6F82"/>
    <w:rsid w:val="00800871"/>
    <w:rsid w:val="00800F67"/>
    <w:rsid w:val="00801A43"/>
    <w:rsid w:val="00801E2A"/>
    <w:rsid w:val="00803194"/>
    <w:rsid w:val="0080341A"/>
    <w:rsid w:val="0080520E"/>
    <w:rsid w:val="008057DD"/>
    <w:rsid w:val="00806D90"/>
    <w:rsid w:val="008070B5"/>
    <w:rsid w:val="00810990"/>
    <w:rsid w:val="0081249B"/>
    <w:rsid w:val="00812E6E"/>
    <w:rsid w:val="0081418C"/>
    <w:rsid w:val="008149E0"/>
    <w:rsid w:val="008151A0"/>
    <w:rsid w:val="008161D8"/>
    <w:rsid w:val="00816BDA"/>
    <w:rsid w:val="0082116A"/>
    <w:rsid w:val="008214CA"/>
    <w:rsid w:val="0082238C"/>
    <w:rsid w:val="0082333E"/>
    <w:rsid w:val="00823772"/>
    <w:rsid w:val="00823A65"/>
    <w:rsid w:val="00823EEC"/>
    <w:rsid w:val="00824CE4"/>
    <w:rsid w:val="00825A7F"/>
    <w:rsid w:val="00826333"/>
    <w:rsid w:val="0083006A"/>
    <w:rsid w:val="008306BD"/>
    <w:rsid w:val="00830FB5"/>
    <w:rsid w:val="00831804"/>
    <w:rsid w:val="00831EC2"/>
    <w:rsid w:val="00837CA5"/>
    <w:rsid w:val="00842AEB"/>
    <w:rsid w:val="00843927"/>
    <w:rsid w:val="008439A0"/>
    <w:rsid w:val="008439DC"/>
    <w:rsid w:val="008459AE"/>
    <w:rsid w:val="00847DA6"/>
    <w:rsid w:val="00850BFE"/>
    <w:rsid w:val="00852A7A"/>
    <w:rsid w:val="00853E09"/>
    <w:rsid w:val="00853EA4"/>
    <w:rsid w:val="00853F6F"/>
    <w:rsid w:val="00854077"/>
    <w:rsid w:val="0085495B"/>
    <w:rsid w:val="0085722A"/>
    <w:rsid w:val="00860049"/>
    <w:rsid w:val="00862693"/>
    <w:rsid w:val="00864246"/>
    <w:rsid w:val="00865376"/>
    <w:rsid w:val="00865D79"/>
    <w:rsid w:val="00866938"/>
    <w:rsid w:val="00866A83"/>
    <w:rsid w:val="008670C0"/>
    <w:rsid w:val="00871AE7"/>
    <w:rsid w:val="008724EC"/>
    <w:rsid w:val="0087255C"/>
    <w:rsid w:val="00872AFF"/>
    <w:rsid w:val="00880D98"/>
    <w:rsid w:val="00882110"/>
    <w:rsid w:val="0088546D"/>
    <w:rsid w:val="00886221"/>
    <w:rsid w:val="00887989"/>
    <w:rsid w:val="0089095D"/>
    <w:rsid w:val="00892765"/>
    <w:rsid w:val="00892D2E"/>
    <w:rsid w:val="00895326"/>
    <w:rsid w:val="008955B1"/>
    <w:rsid w:val="0089798E"/>
    <w:rsid w:val="00897B17"/>
    <w:rsid w:val="008A36D3"/>
    <w:rsid w:val="008A5FC8"/>
    <w:rsid w:val="008A65B9"/>
    <w:rsid w:val="008A6ADF"/>
    <w:rsid w:val="008A718F"/>
    <w:rsid w:val="008B12D7"/>
    <w:rsid w:val="008B1C69"/>
    <w:rsid w:val="008B2063"/>
    <w:rsid w:val="008B2BAE"/>
    <w:rsid w:val="008B2BBB"/>
    <w:rsid w:val="008B2CD8"/>
    <w:rsid w:val="008B30FA"/>
    <w:rsid w:val="008B4736"/>
    <w:rsid w:val="008B6B17"/>
    <w:rsid w:val="008B7198"/>
    <w:rsid w:val="008B7442"/>
    <w:rsid w:val="008C0C6F"/>
    <w:rsid w:val="008C12DF"/>
    <w:rsid w:val="008C20C2"/>
    <w:rsid w:val="008C2193"/>
    <w:rsid w:val="008C48E7"/>
    <w:rsid w:val="008D17B8"/>
    <w:rsid w:val="008D3959"/>
    <w:rsid w:val="008D39D8"/>
    <w:rsid w:val="008D3F69"/>
    <w:rsid w:val="008D4C6D"/>
    <w:rsid w:val="008D5ED0"/>
    <w:rsid w:val="008D7615"/>
    <w:rsid w:val="008E1BE8"/>
    <w:rsid w:val="008E297E"/>
    <w:rsid w:val="008E32EC"/>
    <w:rsid w:val="008E599D"/>
    <w:rsid w:val="008E5E95"/>
    <w:rsid w:val="008E60BC"/>
    <w:rsid w:val="008E6492"/>
    <w:rsid w:val="008E7A29"/>
    <w:rsid w:val="008F0C14"/>
    <w:rsid w:val="008F4BB9"/>
    <w:rsid w:val="008F51AF"/>
    <w:rsid w:val="008F63F2"/>
    <w:rsid w:val="008F7B5E"/>
    <w:rsid w:val="008F7DF4"/>
    <w:rsid w:val="009002CB"/>
    <w:rsid w:val="0090144A"/>
    <w:rsid w:val="00901F9A"/>
    <w:rsid w:val="00902760"/>
    <w:rsid w:val="00903C81"/>
    <w:rsid w:val="00905F29"/>
    <w:rsid w:val="00906452"/>
    <w:rsid w:val="00906DDE"/>
    <w:rsid w:val="009120F7"/>
    <w:rsid w:val="00912A45"/>
    <w:rsid w:val="00914185"/>
    <w:rsid w:val="00917274"/>
    <w:rsid w:val="00917E9B"/>
    <w:rsid w:val="0092103C"/>
    <w:rsid w:val="00922DEC"/>
    <w:rsid w:val="0092426A"/>
    <w:rsid w:val="0092427D"/>
    <w:rsid w:val="009242F8"/>
    <w:rsid w:val="00926F32"/>
    <w:rsid w:val="009270E7"/>
    <w:rsid w:val="00930970"/>
    <w:rsid w:val="00930DC5"/>
    <w:rsid w:val="0093174D"/>
    <w:rsid w:val="00933ACE"/>
    <w:rsid w:val="009365C6"/>
    <w:rsid w:val="00937BAA"/>
    <w:rsid w:val="00940974"/>
    <w:rsid w:val="00941468"/>
    <w:rsid w:val="00942034"/>
    <w:rsid w:val="009421E8"/>
    <w:rsid w:val="00942C21"/>
    <w:rsid w:val="00942FD3"/>
    <w:rsid w:val="0094631A"/>
    <w:rsid w:val="0094758D"/>
    <w:rsid w:val="009513B9"/>
    <w:rsid w:val="00952792"/>
    <w:rsid w:val="009541CA"/>
    <w:rsid w:val="009542A6"/>
    <w:rsid w:val="00954A34"/>
    <w:rsid w:val="009563E7"/>
    <w:rsid w:val="00956E5F"/>
    <w:rsid w:val="009573AA"/>
    <w:rsid w:val="009575A0"/>
    <w:rsid w:val="00957F6B"/>
    <w:rsid w:val="00962782"/>
    <w:rsid w:val="009649B8"/>
    <w:rsid w:val="009659B1"/>
    <w:rsid w:val="00970A87"/>
    <w:rsid w:val="0097484C"/>
    <w:rsid w:val="009749D7"/>
    <w:rsid w:val="00974D1B"/>
    <w:rsid w:val="00980639"/>
    <w:rsid w:val="00983739"/>
    <w:rsid w:val="009856CD"/>
    <w:rsid w:val="00986E85"/>
    <w:rsid w:val="0099005D"/>
    <w:rsid w:val="009917EE"/>
    <w:rsid w:val="009940AB"/>
    <w:rsid w:val="009959F3"/>
    <w:rsid w:val="00996579"/>
    <w:rsid w:val="00996D09"/>
    <w:rsid w:val="009A12E1"/>
    <w:rsid w:val="009A1B28"/>
    <w:rsid w:val="009A3C63"/>
    <w:rsid w:val="009A3D63"/>
    <w:rsid w:val="009A4E73"/>
    <w:rsid w:val="009A6B9A"/>
    <w:rsid w:val="009B0FEA"/>
    <w:rsid w:val="009B2086"/>
    <w:rsid w:val="009B27D9"/>
    <w:rsid w:val="009B34EB"/>
    <w:rsid w:val="009B3FED"/>
    <w:rsid w:val="009B67D0"/>
    <w:rsid w:val="009B67F8"/>
    <w:rsid w:val="009B7686"/>
    <w:rsid w:val="009C0AD1"/>
    <w:rsid w:val="009C0FB7"/>
    <w:rsid w:val="009C1A95"/>
    <w:rsid w:val="009C1CC3"/>
    <w:rsid w:val="009C4ECD"/>
    <w:rsid w:val="009C5AC9"/>
    <w:rsid w:val="009D0F15"/>
    <w:rsid w:val="009D387A"/>
    <w:rsid w:val="009D4F3A"/>
    <w:rsid w:val="009D5CE5"/>
    <w:rsid w:val="009D7562"/>
    <w:rsid w:val="009D7676"/>
    <w:rsid w:val="009D776E"/>
    <w:rsid w:val="009E0A1D"/>
    <w:rsid w:val="009E3211"/>
    <w:rsid w:val="009E441D"/>
    <w:rsid w:val="009E5211"/>
    <w:rsid w:val="009E5BE4"/>
    <w:rsid w:val="009E5F72"/>
    <w:rsid w:val="009F0222"/>
    <w:rsid w:val="009F3E5C"/>
    <w:rsid w:val="009F6351"/>
    <w:rsid w:val="009F764E"/>
    <w:rsid w:val="009F7CD4"/>
    <w:rsid w:val="00A004CE"/>
    <w:rsid w:val="00A0082B"/>
    <w:rsid w:val="00A00D68"/>
    <w:rsid w:val="00A04421"/>
    <w:rsid w:val="00A049F0"/>
    <w:rsid w:val="00A04F0B"/>
    <w:rsid w:val="00A0560E"/>
    <w:rsid w:val="00A05CA1"/>
    <w:rsid w:val="00A0727C"/>
    <w:rsid w:val="00A07703"/>
    <w:rsid w:val="00A11E31"/>
    <w:rsid w:val="00A121E0"/>
    <w:rsid w:val="00A1304A"/>
    <w:rsid w:val="00A1343C"/>
    <w:rsid w:val="00A142A8"/>
    <w:rsid w:val="00A145DA"/>
    <w:rsid w:val="00A14BDB"/>
    <w:rsid w:val="00A1529D"/>
    <w:rsid w:val="00A17156"/>
    <w:rsid w:val="00A17EAD"/>
    <w:rsid w:val="00A22E6B"/>
    <w:rsid w:val="00A2310F"/>
    <w:rsid w:val="00A26E10"/>
    <w:rsid w:val="00A30EF3"/>
    <w:rsid w:val="00A31900"/>
    <w:rsid w:val="00A32406"/>
    <w:rsid w:val="00A33212"/>
    <w:rsid w:val="00A34653"/>
    <w:rsid w:val="00A34994"/>
    <w:rsid w:val="00A354D1"/>
    <w:rsid w:val="00A3560E"/>
    <w:rsid w:val="00A36D22"/>
    <w:rsid w:val="00A40C68"/>
    <w:rsid w:val="00A4348B"/>
    <w:rsid w:val="00A43D75"/>
    <w:rsid w:val="00A46A4F"/>
    <w:rsid w:val="00A5042D"/>
    <w:rsid w:val="00A50C83"/>
    <w:rsid w:val="00A51235"/>
    <w:rsid w:val="00A5572B"/>
    <w:rsid w:val="00A56AC1"/>
    <w:rsid w:val="00A572B8"/>
    <w:rsid w:val="00A623FA"/>
    <w:rsid w:val="00A64B64"/>
    <w:rsid w:val="00A64D22"/>
    <w:rsid w:val="00A662FA"/>
    <w:rsid w:val="00A66D9B"/>
    <w:rsid w:val="00A713F2"/>
    <w:rsid w:val="00A714D9"/>
    <w:rsid w:val="00A7150F"/>
    <w:rsid w:val="00A715AD"/>
    <w:rsid w:val="00A719FA"/>
    <w:rsid w:val="00A726EB"/>
    <w:rsid w:val="00A72AE4"/>
    <w:rsid w:val="00A738A0"/>
    <w:rsid w:val="00A7702D"/>
    <w:rsid w:val="00A80968"/>
    <w:rsid w:val="00A809DB"/>
    <w:rsid w:val="00A82A90"/>
    <w:rsid w:val="00A83BE2"/>
    <w:rsid w:val="00A83E1E"/>
    <w:rsid w:val="00A83F96"/>
    <w:rsid w:val="00A83FFA"/>
    <w:rsid w:val="00A844FC"/>
    <w:rsid w:val="00A847C7"/>
    <w:rsid w:val="00A8598D"/>
    <w:rsid w:val="00A915AC"/>
    <w:rsid w:val="00A91D8A"/>
    <w:rsid w:val="00A931E2"/>
    <w:rsid w:val="00A9448E"/>
    <w:rsid w:val="00A95285"/>
    <w:rsid w:val="00A95B3D"/>
    <w:rsid w:val="00A96493"/>
    <w:rsid w:val="00A96BC1"/>
    <w:rsid w:val="00A97E3B"/>
    <w:rsid w:val="00AA0DD9"/>
    <w:rsid w:val="00AA267D"/>
    <w:rsid w:val="00AA68ED"/>
    <w:rsid w:val="00AA6988"/>
    <w:rsid w:val="00AA7243"/>
    <w:rsid w:val="00AA7A96"/>
    <w:rsid w:val="00AB1B4A"/>
    <w:rsid w:val="00AB1CE5"/>
    <w:rsid w:val="00AB2119"/>
    <w:rsid w:val="00AB2136"/>
    <w:rsid w:val="00AB2940"/>
    <w:rsid w:val="00AB2F6B"/>
    <w:rsid w:val="00AB3E9D"/>
    <w:rsid w:val="00AB7185"/>
    <w:rsid w:val="00AB7A38"/>
    <w:rsid w:val="00AB7FCB"/>
    <w:rsid w:val="00AC00B2"/>
    <w:rsid w:val="00AC02CC"/>
    <w:rsid w:val="00AC3345"/>
    <w:rsid w:val="00AC46DB"/>
    <w:rsid w:val="00AC4780"/>
    <w:rsid w:val="00AC48DE"/>
    <w:rsid w:val="00AC4925"/>
    <w:rsid w:val="00AC5AA5"/>
    <w:rsid w:val="00AC6DBB"/>
    <w:rsid w:val="00AD13CF"/>
    <w:rsid w:val="00AD1CCE"/>
    <w:rsid w:val="00AD213E"/>
    <w:rsid w:val="00AD2F2E"/>
    <w:rsid w:val="00AD2FE8"/>
    <w:rsid w:val="00AD3343"/>
    <w:rsid w:val="00AD4E79"/>
    <w:rsid w:val="00AD5407"/>
    <w:rsid w:val="00AD6F30"/>
    <w:rsid w:val="00AE0E96"/>
    <w:rsid w:val="00AE4FBB"/>
    <w:rsid w:val="00AE6016"/>
    <w:rsid w:val="00AE6A64"/>
    <w:rsid w:val="00AE71F7"/>
    <w:rsid w:val="00AE76CA"/>
    <w:rsid w:val="00AF020C"/>
    <w:rsid w:val="00AF0881"/>
    <w:rsid w:val="00AF36F5"/>
    <w:rsid w:val="00AF418F"/>
    <w:rsid w:val="00AF46F0"/>
    <w:rsid w:val="00AF5374"/>
    <w:rsid w:val="00AF598E"/>
    <w:rsid w:val="00AF6924"/>
    <w:rsid w:val="00AF737B"/>
    <w:rsid w:val="00B00DEB"/>
    <w:rsid w:val="00B00DF0"/>
    <w:rsid w:val="00B02A33"/>
    <w:rsid w:val="00B0325F"/>
    <w:rsid w:val="00B04D95"/>
    <w:rsid w:val="00B057B3"/>
    <w:rsid w:val="00B06818"/>
    <w:rsid w:val="00B1342A"/>
    <w:rsid w:val="00B149C1"/>
    <w:rsid w:val="00B16B95"/>
    <w:rsid w:val="00B1792C"/>
    <w:rsid w:val="00B204B6"/>
    <w:rsid w:val="00B20B0F"/>
    <w:rsid w:val="00B20C6C"/>
    <w:rsid w:val="00B20E05"/>
    <w:rsid w:val="00B20E7C"/>
    <w:rsid w:val="00B21981"/>
    <w:rsid w:val="00B21AA8"/>
    <w:rsid w:val="00B21C98"/>
    <w:rsid w:val="00B244C3"/>
    <w:rsid w:val="00B26106"/>
    <w:rsid w:val="00B26387"/>
    <w:rsid w:val="00B27996"/>
    <w:rsid w:val="00B27A2C"/>
    <w:rsid w:val="00B316E3"/>
    <w:rsid w:val="00B32A24"/>
    <w:rsid w:val="00B33D34"/>
    <w:rsid w:val="00B33EB7"/>
    <w:rsid w:val="00B34E32"/>
    <w:rsid w:val="00B3555F"/>
    <w:rsid w:val="00B35BAB"/>
    <w:rsid w:val="00B3771C"/>
    <w:rsid w:val="00B405CE"/>
    <w:rsid w:val="00B40936"/>
    <w:rsid w:val="00B40A00"/>
    <w:rsid w:val="00B40B36"/>
    <w:rsid w:val="00B41997"/>
    <w:rsid w:val="00B4234E"/>
    <w:rsid w:val="00B44303"/>
    <w:rsid w:val="00B4576B"/>
    <w:rsid w:val="00B45BF4"/>
    <w:rsid w:val="00B46A04"/>
    <w:rsid w:val="00B50F34"/>
    <w:rsid w:val="00B52033"/>
    <w:rsid w:val="00B54A78"/>
    <w:rsid w:val="00B54BCB"/>
    <w:rsid w:val="00B55508"/>
    <w:rsid w:val="00B6235B"/>
    <w:rsid w:val="00B65196"/>
    <w:rsid w:val="00B6556D"/>
    <w:rsid w:val="00B6666F"/>
    <w:rsid w:val="00B676A3"/>
    <w:rsid w:val="00B677FA"/>
    <w:rsid w:val="00B71183"/>
    <w:rsid w:val="00B732D0"/>
    <w:rsid w:val="00B736D9"/>
    <w:rsid w:val="00B73E5A"/>
    <w:rsid w:val="00B74975"/>
    <w:rsid w:val="00B74C19"/>
    <w:rsid w:val="00B74EBF"/>
    <w:rsid w:val="00B76365"/>
    <w:rsid w:val="00B8113C"/>
    <w:rsid w:val="00B81D03"/>
    <w:rsid w:val="00B85392"/>
    <w:rsid w:val="00B8703D"/>
    <w:rsid w:val="00B870A8"/>
    <w:rsid w:val="00B90C91"/>
    <w:rsid w:val="00B92332"/>
    <w:rsid w:val="00B92EB2"/>
    <w:rsid w:val="00B93DF4"/>
    <w:rsid w:val="00B93F65"/>
    <w:rsid w:val="00B9453B"/>
    <w:rsid w:val="00B94AB9"/>
    <w:rsid w:val="00B952C4"/>
    <w:rsid w:val="00BA382D"/>
    <w:rsid w:val="00BA7678"/>
    <w:rsid w:val="00BB00EC"/>
    <w:rsid w:val="00BB01B7"/>
    <w:rsid w:val="00BB09C4"/>
    <w:rsid w:val="00BB204D"/>
    <w:rsid w:val="00BB33B2"/>
    <w:rsid w:val="00BB5C3C"/>
    <w:rsid w:val="00BB7C53"/>
    <w:rsid w:val="00BC0472"/>
    <w:rsid w:val="00BC0C94"/>
    <w:rsid w:val="00BC21DF"/>
    <w:rsid w:val="00BC24E4"/>
    <w:rsid w:val="00BC382B"/>
    <w:rsid w:val="00BC4C07"/>
    <w:rsid w:val="00BC5592"/>
    <w:rsid w:val="00BC5C10"/>
    <w:rsid w:val="00BC7382"/>
    <w:rsid w:val="00BC77FC"/>
    <w:rsid w:val="00BC7A5C"/>
    <w:rsid w:val="00BD09AD"/>
    <w:rsid w:val="00BD16BC"/>
    <w:rsid w:val="00BD1B5B"/>
    <w:rsid w:val="00BD2CF6"/>
    <w:rsid w:val="00BD3283"/>
    <w:rsid w:val="00BD3C3A"/>
    <w:rsid w:val="00BD44B0"/>
    <w:rsid w:val="00BD4898"/>
    <w:rsid w:val="00BD6894"/>
    <w:rsid w:val="00BE0023"/>
    <w:rsid w:val="00BE0DC1"/>
    <w:rsid w:val="00BE15A7"/>
    <w:rsid w:val="00BE284B"/>
    <w:rsid w:val="00BE4B0F"/>
    <w:rsid w:val="00BE4DD9"/>
    <w:rsid w:val="00BE7910"/>
    <w:rsid w:val="00BF0779"/>
    <w:rsid w:val="00BF1FFD"/>
    <w:rsid w:val="00BF338B"/>
    <w:rsid w:val="00BF54CA"/>
    <w:rsid w:val="00BF55A8"/>
    <w:rsid w:val="00BF56AB"/>
    <w:rsid w:val="00BF6655"/>
    <w:rsid w:val="00BF682A"/>
    <w:rsid w:val="00BF6917"/>
    <w:rsid w:val="00BF7CBB"/>
    <w:rsid w:val="00C00EBB"/>
    <w:rsid w:val="00C01FE5"/>
    <w:rsid w:val="00C0280C"/>
    <w:rsid w:val="00C02D2C"/>
    <w:rsid w:val="00C0303D"/>
    <w:rsid w:val="00C03DCD"/>
    <w:rsid w:val="00C0430F"/>
    <w:rsid w:val="00C05952"/>
    <w:rsid w:val="00C10303"/>
    <w:rsid w:val="00C1288E"/>
    <w:rsid w:val="00C12D7B"/>
    <w:rsid w:val="00C12E9C"/>
    <w:rsid w:val="00C15C0C"/>
    <w:rsid w:val="00C16060"/>
    <w:rsid w:val="00C1614A"/>
    <w:rsid w:val="00C161BE"/>
    <w:rsid w:val="00C17923"/>
    <w:rsid w:val="00C2005B"/>
    <w:rsid w:val="00C20DF3"/>
    <w:rsid w:val="00C21236"/>
    <w:rsid w:val="00C23A04"/>
    <w:rsid w:val="00C2473D"/>
    <w:rsid w:val="00C24EED"/>
    <w:rsid w:val="00C25BF2"/>
    <w:rsid w:val="00C27274"/>
    <w:rsid w:val="00C33503"/>
    <w:rsid w:val="00C3360D"/>
    <w:rsid w:val="00C33734"/>
    <w:rsid w:val="00C33959"/>
    <w:rsid w:val="00C3416D"/>
    <w:rsid w:val="00C34490"/>
    <w:rsid w:val="00C3526C"/>
    <w:rsid w:val="00C41112"/>
    <w:rsid w:val="00C44888"/>
    <w:rsid w:val="00C45FC7"/>
    <w:rsid w:val="00C46565"/>
    <w:rsid w:val="00C4790A"/>
    <w:rsid w:val="00C50645"/>
    <w:rsid w:val="00C50BDC"/>
    <w:rsid w:val="00C50C10"/>
    <w:rsid w:val="00C50E68"/>
    <w:rsid w:val="00C52864"/>
    <w:rsid w:val="00C52C5F"/>
    <w:rsid w:val="00C52D69"/>
    <w:rsid w:val="00C53234"/>
    <w:rsid w:val="00C5367D"/>
    <w:rsid w:val="00C53FA1"/>
    <w:rsid w:val="00C53FFB"/>
    <w:rsid w:val="00C6150E"/>
    <w:rsid w:val="00C61BAD"/>
    <w:rsid w:val="00C6255F"/>
    <w:rsid w:val="00C6271D"/>
    <w:rsid w:val="00C6279B"/>
    <w:rsid w:val="00C63FE1"/>
    <w:rsid w:val="00C67E61"/>
    <w:rsid w:val="00C70CD4"/>
    <w:rsid w:val="00C72E06"/>
    <w:rsid w:val="00C7360F"/>
    <w:rsid w:val="00C739A4"/>
    <w:rsid w:val="00C73B16"/>
    <w:rsid w:val="00C7463A"/>
    <w:rsid w:val="00C748BE"/>
    <w:rsid w:val="00C76403"/>
    <w:rsid w:val="00C765A1"/>
    <w:rsid w:val="00C82749"/>
    <w:rsid w:val="00C837DF"/>
    <w:rsid w:val="00C84991"/>
    <w:rsid w:val="00C8682B"/>
    <w:rsid w:val="00C906D7"/>
    <w:rsid w:val="00C91A58"/>
    <w:rsid w:val="00C9472F"/>
    <w:rsid w:val="00C95374"/>
    <w:rsid w:val="00C95C0A"/>
    <w:rsid w:val="00C9728B"/>
    <w:rsid w:val="00CA1178"/>
    <w:rsid w:val="00CA1C33"/>
    <w:rsid w:val="00CA23D1"/>
    <w:rsid w:val="00CA26F8"/>
    <w:rsid w:val="00CA3664"/>
    <w:rsid w:val="00CA3726"/>
    <w:rsid w:val="00CA3925"/>
    <w:rsid w:val="00CA4D9B"/>
    <w:rsid w:val="00CA541D"/>
    <w:rsid w:val="00CA5F11"/>
    <w:rsid w:val="00CA6176"/>
    <w:rsid w:val="00CB08A7"/>
    <w:rsid w:val="00CB0E13"/>
    <w:rsid w:val="00CB25B8"/>
    <w:rsid w:val="00CB2CC9"/>
    <w:rsid w:val="00CB53AE"/>
    <w:rsid w:val="00CB5873"/>
    <w:rsid w:val="00CB5C61"/>
    <w:rsid w:val="00CB6AC9"/>
    <w:rsid w:val="00CB7961"/>
    <w:rsid w:val="00CC0CE7"/>
    <w:rsid w:val="00CC14DD"/>
    <w:rsid w:val="00CC318B"/>
    <w:rsid w:val="00CC3B90"/>
    <w:rsid w:val="00CC4DA9"/>
    <w:rsid w:val="00CC53D7"/>
    <w:rsid w:val="00CC63D8"/>
    <w:rsid w:val="00CC6B9F"/>
    <w:rsid w:val="00CD01D3"/>
    <w:rsid w:val="00CD024F"/>
    <w:rsid w:val="00CD0A99"/>
    <w:rsid w:val="00CD2FF6"/>
    <w:rsid w:val="00CD36D8"/>
    <w:rsid w:val="00CD37C9"/>
    <w:rsid w:val="00CD782D"/>
    <w:rsid w:val="00CD7AEB"/>
    <w:rsid w:val="00CE028C"/>
    <w:rsid w:val="00CE152A"/>
    <w:rsid w:val="00CE3F25"/>
    <w:rsid w:val="00CE4F68"/>
    <w:rsid w:val="00CE6BC2"/>
    <w:rsid w:val="00CE7DB8"/>
    <w:rsid w:val="00CF005D"/>
    <w:rsid w:val="00CF07D1"/>
    <w:rsid w:val="00CF0A22"/>
    <w:rsid w:val="00CF0C56"/>
    <w:rsid w:val="00CF1146"/>
    <w:rsid w:val="00CF4191"/>
    <w:rsid w:val="00CF57BD"/>
    <w:rsid w:val="00CF60EE"/>
    <w:rsid w:val="00D014DA"/>
    <w:rsid w:val="00D0188C"/>
    <w:rsid w:val="00D0206B"/>
    <w:rsid w:val="00D0340C"/>
    <w:rsid w:val="00D07A7C"/>
    <w:rsid w:val="00D10534"/>
    <w:rsid w:val="00D10A65"/>
    <w:rsid w:val="00D10E98"/>
    <w:rsid w:val="00D11AEB"/>
    <w:rsid w:val="00D15075"/>
    <w:rsid w:val="00D22053"/>
    <w:rsid w:val="00D2299E"/>
    <w:rsid w:val="00D2751D"/>
    <w:rsid w:val="00D27CC7"/>
    <w:rsid w:val="00D31125"/>
    <w:rsid w:val="00D31D54"/>
    <w:rsid w:val="00D32FFD"/>
    <w:rsid w:val="00D33519"/>
    <w:rsid w:val="00D37D24"/>
    <w:rsid w:val="00D40310"/>
    <w:rsid w:val="00D42A8B"/>
    <w:rsid w:val="00D442CD"/>
    <w:rsid w:val="00D45BCA"/>
    <w:rsid w:val="00D464DB"/>
    <w:rsid w:val="00D467A5"/>
    <w:rsid w:val="00D475D2"/>
    <w:rsid w:val="00D5038F"/>
    <w:rsid w:val="00D52331"/>
    <w:rsid w:val="00D523C2"/>
    <w:rsid w:val="00D52955"/>
    <w:rsid w:val="00D5399B"/>
    <w:rsid w:val="00D54D86"/>
    <w:rsid w:val="00D55BE7"/>
    <w:rsid w:val="00D55CDD"/>
    <w:rsid w:val="00D567C6"/>
    <w:rsid w:val="00D600ED"/>
    <w:rsid w:val="00D608AE"/>
    <w:rsid w:val="00D60F77"/>
    <w:rsid w:val="00D62AF7"/>
    <w:rsid w:val="00D62D7D"/>
    <w:rsid w:val="00D62E59"/>
    <w:rsid w:val="00D63A53"/>
    <w:rsid w:val="00D63AAF"/>
    <w:rsid w:val="00D65DBB"/>
    <w:rsid w:val="00D66984"/>
    <w:rsid w:val="00D66C31"/>
    <w:rsid w:val="00D70BCF"/>
    <w:rsid w:val="00D70E67"/>
    <w:rsid w:val="00D71732"/>
    <w:rsid w:val="00D71C66"/>
    <w:rsid w:val="00D72DAE"/>
    <w:rsid w:val="00D777DF"/>
    <w:rsid w:val="00D821DE"/>
    <w:rsid w:val="00D85051"/>
    <w:rsid w:val="00D85570"/>
    <w:rsid w:val="00D8687D"/>
    <w:rsid w:val="00D86DB1"/>
    <w:rsid w:val="00D87D97"/>
    <w:rsid w:val="00D90001"/>
    <w:rsid w:val="00D90885"/>
    <w:rsid w:val="00D95CA3"/>
    <w:rsid w:val="00D95DD5"/>
    <w:rsid w:val="00D95FD3"/>
    <w:rsid w:val="00D961B4"/>
    <w:rsid w:val="00D96976"/>
    <w:rsid w:val="00DA0AF7"/>
    <w:rsid w:val="00DA0FAE"/>
    <w:rsid w:val="00DA1671"/>
    <w:rsid w:val="00DA29AD"/>
    <w:rsid w:val="00DA3460"/>
    <w:rsid w:val="00DA3E1A"/>
    <w:rsid w:val="00DA43AB"/>
    <w:rsid w:val="00DA524D"/>
    <w:rsid w:val="00DA5BDB"/>
    <w:rsid w:val="00DA6E30"/>
    <w:rsid w:val="00DA7980"/>
    <w:rsid w:val="00DA7BEB"/>
    <w:rsid w:val="00DB01BE"/>
    <w:rsid w:val="00DB3D83"/>
    <w:rsid w:val="00DB4673"/>
    <w:rsid w:val="00DB56CB"/>
    <w:rsid w:val="00DB6286"/>
    <w:rsid w:val="00DB7F4B"/>
    <w:rsid w:val="00DC072D"/>
    <w:rsid w:val="00DC1D4B"/>
    <w:rsid w:val="00DC525B"/>
    <w:rsid w:val="00DC58EB"/>
    <w:rsid w:val="00DD01C6"/>
    <w:rsid w:val="00DD0910"/>
    <w:rsid w:val="00DD1692"/>
    <w:rsid w:val="00DD16D3"/>
    <w:rsid w:val="00DD1D9B"/>
    <w:rsid w:val="00DD2F56"/>
    <w:rsid w:val="00DD3C8C"/>
    <w:rsid w:val="00DD4B93"/>
    <w:rsid w:val="00DD57C7"/>
    <w:rsid w:val="00DD765B"/>
    <w:rsid w:val="00DE011B"/>
    <w:rsid w:val="00DE2AA0"/>
    <w:rsid w:val="00DE2B5A"/>
    <w:rsid w:val="00DE461A"/>
    <w:rsid w:val="00DE4C3D"/>
    <w:rsid w:val="00DE5DBF"/>
    <w:rsid w:val="00DE68BB"/>
    <w:rsid w:val="00DE7EED"/>
    <w:rsid w:val="00DF22E7"/>
    <w:rsid w:val="00DF2D3C"/>
    <w:rsid w:val="00DF3451"/>
    <w:rsid w:val="00DF4B5E"/>
    <w:rsid w:val="00DF79EF"/>
    <w:rsid w:val="00DF7DED"/>
    <w:rsid w:val="00DF7E02"/>
    <w:rsid w:val="00E012E2"/>
    <w:rsid w:val="00E028AB"/>
    <w:rsid w:val="00E03EAC"/>
    <w:rsid w:val="00E044FB"/>
    <w:rsid w:val="00E05225"/>
    <w:rsid w:val="00E05D31"/>
    <w:rsid w:val="00E06030"/>
    <w:rsid w:val="00E06747"/>
    <w:rsid w:val="00E10449"/>
    <w:rsid w:val="00E11154"/>
    <w:rsid w:val="00E127A0"/>
    <w:rsid w:val="00E129F2"/>
    <w:rsid w:val="00E139C2"/>
    <w:rsid w:val="00E139C5"/>
    <w:rsid w:val="00E14AF4"/>
    <w:rsid w:val="00E14BC0"/>
    <w:rsid w:val="00E1558F"/>
    <w:rsid w:val="00E162D2"/>
    <w:rsid w:val="00E17B39"/>
    <w:rsid w:val="00E2018A"/>
    <w:rsid w:val="00E21149"/>
    <w:rsid w:val="00E21647"/>
    <w:rsid w:val="00E21B3A"/>
    <w:rsid w:val="00E22FF4"/>
    <w:rsid w:val="00E246AD"/>
    <w:rsid w:val="00E26320"/>
    <w:rsid w:val="00E3482A"/>
    <w:rsid w:val="00E377CF"/>
    <w:rsid w:val="00E37AA0"/>
    <w:rsid w:val="00E42B73"/>
    <w:rsid w:val="00E43CA3"/>
    <w:rsid w:val="00E43EBC"/>
    <w:rsid w:val="00E44AA4"/>
    <w:rsid w:val="00E458FE"/>
    <w:rsid w:val="00E46A95"/>
    <w:rsid w:val="00E470CE"/>
    <w:rsid w:val="00E5029C"/>
    <w:rsid w:val="00E504E0"/>
    <w:rsid w:val="00E52E5C"/>
    <w:rsid w:val="00E53832"/>
    <w:rsid w:val="00E5427A"/>
    <w:rsid w:val="00E54ADA"/>
    <w:rsid w:val="00E56E5D"/>
    <w:rsid w:val="00E579ED"/>
    <w:rsid w:val="00E605A9"/>
    <w:rsid w:val="00E62C66"/>
    <w:rsid w:val="00E637F3"/>
    <w:rsid w:val="00E6394E"/>
    <w:rsid w:val="00E64FFD"/>
    <w:rsid w:val="00E65272"/>
    <w:rsid w:val="00E65CB9"/>
    <w:rsid w:val="00E672FA"/>
    <w:rsid w:val="00E67E7B"/>
    <w:rsid w:val="00E70D81"/>
    <w:rsid w:val="00E71138"/>
    <w:rsid w:val="00E71372"/>
    <w:rsid w:val="00E715AF"/>
    <w:rsid w:val="00E71690"/>
    <w:rsid w:val="00E723E4"/>
    <w:rsid w:val="00E7304A"/>
    <w:rsid w:val="00E731E6"/>
    <w:rsid w:val="00E735E2"/>
    <w:rsid w:val="00E75FA8"/>
    <w:rsid w:val="00E77489"/>
    <w:rsid w:val="00E779B8"/>
    <w:rsid w:val="00E800AF"/>
    <w:rsid w:val="00E801BA"/>
    <w:rsid w:val="00E8031B"/>
    <w:rsid w:val="00E811E8"/>
    <w:rsid w:val="00E81BB5"/>
    <w:rsid w:val="00E81CC5"/>
    <w:rsid w:val="00E82643"/>
    <w:rsid w:val="00E82B06"/>
    <w:rsid w:val="00E83E3E"/>
    <w:rsid w:val="00E840B5"/>
    <w:rsid w:val="00E8460E"/>
    <w:rsid w:val="00E85B4D"/>
    <w:rsid w:val="00E87A16"/>
    <w:rsid w:val="00E90941"/>
    <w:rsid w:val="00E90CB7"/>
    <w:rsid w:val="00E92A93"/>
    <w:rsid w:val="00E92B10"/>
    <w:rsid w:val="00E92CD0"/>
    <w:rsid w:val="00E9386C"/>
    <w:rsid w:val="00E9522C"/>
    <w:rsid w:val="00E96270"/>
    <w:rsid w:val="00E9793B"/>
    <w:rsid w:val="00EA0120"/>
    <w:rsid w:val="00EA0202"/>
    <w:rsid w:val="00EA127C"/>
    <w:rsid w:val="00EA379A"/>
    <w:rsid w:val="00EA41C4"/>
    <w:rsid w:val="00EA6DB2"/>
    <w:rsid w:val="00EA7C4A"/>
    <w:rsid w:val="00EB058F"/>
    <w:rsid w:val="00EB291D"/>
    <w:rsid w:val="00EB2CFC"/>
    <w:rsid w:val="00EB41A5"/>
    <w:rsid w:val="00EB6C0C"/>
    <w:rsid w:val="00EC0A9A"/>
    <w:rsid w:val="00EC326B"/>
    <w:rsid w:val="00EC4CD0"/>
    <w:rsid w:val="00ED023A"/>
    <w:rsid w:val="00ED08E6"/>
    <w:rsid w:val="00ED103B"/>
    <w:rsid w:val="00ED126C"/>
    <w:rsid w:val="00ED2BC7"/>
    <w:rsid w:val="00ED2EE4"/>
    <w:rsid w:val="00ED37A5"/>
    <w:rsid w:val="00EE0CF0"/>
    <w:rsid w:val="00EE229D"/>
    <w:rsid w:val="00EE433D"/>
    <w:rsid w:val="00EE7557"/>
    <w:rsid w:val="00EE784B"/>
    <w:rsid w:val="00EF009E"/>
    <w:rsid w:val="00EF018C"/>
    <w:rsid w:val="00EF11F2"/>
    <w:rsid w:val="00EF1C96"/>
    <w:rsid w:val="00EF225B"/>
    <w:rsid w:val="00EF2AF8"/>
    <w:rsid w:val="00EF35B3"/>
    <w:rsid w:val="00EF3777"/>
    <w:rsid w:val="00EF3CF5"/>
    <w:rsid w:val="00EF73EF"/>
    <w:rsid w:val="00F008A5"/>
    <w:rsid w:val="00F0096D"/>
    <w:rsid w:val="00F00D39"/>
    <w:rsid w:val="00F01606"/>
    <w:rsid w:val="00F04DF2"/>
    <w:rsid w:val="00F0523F"/>
    <w:rsid w:val="00F053E9"/>
    <w:rsid w:val="00F059FC"/>
    <w:rsid w:val="00F061F4"/>
    <w:rsid w:val="00F10D91"/>
    <w:rsid w:val="00F10F6B"/>
    <w:rsid w:val="00F129B8"/>
    <w:rsid w:val="00F20614"/>
    <w:rsid w:val="00F21883"/>
    <w:rsid w:val="00F22889"/>
    <w:rsid w:val="00F23CED"/>
    <w:rsid w:val="00F2403A"/>
    <w:rsid w:val="00F24943"/>
    <w:rsid w:val="00F27394"/>
    <w:rsid w:val="00F275BC"/>
    <w:rsid w:val="00F30839"/>
    <w:rsid w:val="00F3106D"/>
    <w:rsid w:val="00F31A01"/>
    <w:rsid w:val="00F3211F"/>
    <w:rsid w:val="00F324CD"/>
    <w:rsid w:val="00F3264D"/>
    <w:rsid w:val="00F34F39"/>
    <w:rsid w:val="00F3714C"/>
    <w:rsid w:val="00F40E19"/>
    <w:rsid w:val="00F424A4"/>
    <w:rsid w:val="00F45B23"/>
    <w:rsid w:val="00F469AA"/>
    <w:rsid w:val="00F46BA9"/>
    <w:rsid w:val="00F470A2"/>
    <w:rsid w:val="00F4713A"/>
    <w:rsid w:val="00F513EE"/>
    <w:rsid w:val="00F51476"/>
    <w:rsid w:val="00F532C2"/>
    <w:rsid w:val="00F54320"/>
    <w:rsid w:val="00F556F0"/>
    <w:rsid w:val="00F55756"/>
    <w:rsid w:val="00F56ACC"/>
    <w:rsid w:val="00F56B39"/>
    <w:rsid w:val="00F6093F"/>
    <w:rsid w:val="00F615A9"/>
    <w:rsid w:val="00F61EE5"/>
    <w:rsid w:val="00F63180"/>
    <w:rsid w:val="00F63BD2"/>
    <w:rsid w:val="00F63D86"/>
    <w:rsid w:val="00F64C70"/>
    <w:rsid w:val="00F64FA5"/>
    <w:rsid w:val="00F65A82"/>
    <w:rsid w:val="00F66588"/>
    <w:rsid w:val="00F66663"/>
    <w:rsid w:val="00F66D86"/>
    <w:rsid w:val="00F67652"/>
    <w:rsid w:val="00F70345"/>
    <w:rsid w:val="00F70866"/>
    <w:rsid w:val="00F710FF"/>
    <w:rsid w:val="00F7160B"/>
    <w:rsid w:val="00F717BC"/>
    <w:rsid w:val="00F719CA"/>
    <w:rsid w:val="00F72EDB"/>
    <w:rsid w:val="00F75A50"/>
    <w:rsid w:val="00F768D4"/>
    <w:rsid w:val="00F77A50"/>
    <w:rsid w:val="00F77A78"/>
    <w:rsid w:val="00F77B34"/>
    <w:rsid w:val="00F815BC"/>
    <w:rsid w:val="00F81921"/>
    <w:rsid w:val="00F81928"/>
    <w:rsid w:val="00F82D64"/>
    <w:rsid w:val="00F837B9"/>
    <w:rsid w:val="00F84315"/>
    <w:rsid w:val="00F85B82"/>
    <w:rsid w:val="00F860A2"/>
    <w:rsid w:val="00F868A8"/>
    <w:rsid w:val="00F91096"/>
    <w:rsid w:val="00F924E4"/>
    <w:rsid w:val="00F9262C"/>
    <w:rsid w:val="00F92A2B"/>
    <w:rsid w:val="00F93D20"/>
    <w:rsid w:val="00F94389"/>
    <w:rsid w:val="00F964A2"/>
    <w:rsid w:val="00F97BF3"/>
    <w:rsid w:val="00FA243D"/>
    <w:rsid w:val="00FA2B3D"/>
    <w:rsid w:val="00FA3526"/>
    <w:rsid w:val="00FA3C76"/>
    <w:rsid w:val="00FA440A"/>
    <w:rsid w:val="00FA6B37"/>
    <w:rsid w:val="00FA7044"/>
    <w:rsid w:val="00FA777F"/>
    <w:rsid w:val="00FA7C74"/>
    <w:rsid w:val="00FB0088"/>
    <w:rsid w:val="00FB1AC6"/>
    <w:rsid w:val="00FB5279"/>
    <w:rsid w:val="00FB5422"/>
    <w:rsid w:val="00FB553C"/>
    <w:rsid w:val="00FB64BD"/>
    <w:rsid w:val="00FB714F"/>
    <w:rsid w:val="00FC2222"/>
    <w:rsid w:val="00FC4476"/>
    <w:rsid w:val="00FC45E0"/>
    <w:rsid w:val="00FC5617"/>
    <w:rsid w:val="00FC5C3C"/>
    <w:rsid w:val="00FC5C72"/>
    <w:rsid w:val="00FC7599"/>
    <w:rsid w:val="00FD1268"/>
    <w:rsid w:val="00FD1FF6"/>
    <w:rsid w:val="00FD4367"/>
    <w:rsid w:val="00FD4983"/>
    <w:rsid w:val="00FD4DAE"/>
    <w:rsid w:val="00FD5C35"/>
    <w:rsid w:val="00FD69E6"/>
    <w:rsid w:val="00FD6FE4"/>
    <w:rsid w:val="00FD7522"/>
    <w:rsid w:val="00FD7C46"/>
    <w:rsid w:val="00FE2A96"/>
    <w:rsid w:val="00FE3F36"/>
    <w:rsid w:val="00FE4732"/>
    <w:rsid w:val="00FE5AFB"/>
    <w:rsid w:val="00FE6C4F"/>
    <w:rsid w:val="00FE7D17"/>
    <w:rsid w:val="00FF0CA9"/>
    <w:rsid w:val="00FF1A19"/>
    <w:rsid w:val="00FF2B56"/>
    <w:rsid w:val="00FF2ECC"/>
    <w:rsid w:val="00FF3531"/>
    <w:rsid w:val="00FF4D0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heme="minorBidi"/>
        <w:szCs w:val="22"/>
        <w:lang w:val="cs-CZ"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F38FB"/>
  </w:style>
  <w:style w:type="paragraph" w:styleId="Nadpis1">
    <w:name w:val="heading 1"/>
    <w:aliases w:val="h1,H1,Nadpis 1-Nadpis smlouvy,Základní kapitola,V_Head1,Záhlaví 1,0Überschrift 1,1Überschrift 1,2Überschrift 1,3Überschrift 1,4Überschrift 1,5Überschrift 1,6Überschrift 1,7Überschrift 1,8Überschrift 1,9Überschrift 1,10Überschrift 1,Clanek1"/>
    <w:basedOn w:val="Normln"/>
    <w:next w:val="Normln"/>
    <w:link w:val="Nadpis1Char"/>
    <w:uiPriority w:val="9"/>
    <w:qFormat/>
    <w:rsid w:val="009C5AC9"/>
    <w:pPr>
      <w:keepNext/>
      <w:pageBreakBefore/>
      <w:numPr>
        <w:numId w:val="2"/>
      </w:numPr>
      <w:spacing w:before="240" w:after="240"/>
      <w:outlineLvl w:val="0"/>
    </w:pPr>
    <w:rPr>
      <w:rFonts w:ascii="Times New Roman" w:eastAsia="Times New Roman" w:hAnsi="Times New Roman" w:cs="Arial"/>
      <w:b/>
      <w:bCs/>
      <w:color w:val="000066"/>
      <w:kern w:val="32"/>
      <w:sz w:val="28"/>
      <w:szCs w:val="28"/>
    </w:rPr>
  </w:style>
  <w:style w:type="paragraph" w:styleId="Nadpis2">
    <w:name w:val="heading 2"/>
    <w:basedOn w:val="Normln"/>
    <w:next w:val="Normln"/>
    <w:link w:val="Nadpis2Char"/>
    <w:qFormat/>
    <w:rsid w:val="009C5AC9"/>
    <w:pPr>
      <w:keepNext/>
      <w:numPr>
        <w:ilvl w:val="1"/>
        <w:numId w:val="2"/>
      </w:numPr>
      <w:spacing w:before="240" w:after="240"/>
      <w:outlineLvl w:val="1"/>
    </w:pPr>
    <w:rPr>
      <w:rFonts w:ascii="Times New Roman" w:eastAsia="Times New Roman" w:hAnsi="Times New Roman" w:cs="Arial"/>
      <w:b/>
      <w:bCs/>
      <w:iCs/>
      <w:color w:val="000066"/>
      <w:sz w:val="24"/>
      <w:szCs w:val="28"/>
    </w:rPr>
  </w:style>
  <w:style w:type="paragraph" w:styleId="Nadpis3">
    <w:name w:val="heading 3"/>
    <w:basedOn w:val="Normln"/>
    <w:link w:val="Nadpis3Char"/>
    <w:uiPriority w:val="9"/>
    <w:qFormat/>
    <w:rsid w:val="009C5AC9"/>
    <w:pPr>
      <w:numPr>
        <w:ilvl w:val="2"/>
        <w:numId w:val="2"/>
      </w:numPr>
      <w:spacing w:before="100" w:beforeAutospacing="1" w:after="100" w:afterAutospacing="1"/>
      <w:jc w:val="left"/>
      <w:outlineLvl w:val="2"/>
    </w:pPr>
    <w:rPr>
      <w:rFonts w:ascii="Times New Roman" w:eastAsia="Times New Roman" w:hAnsi="Times New Roman" w:cs="Times New Roman"/>
      <w:bCs/>
      <w:color w:val="002060"/>
      <w:sz w:val="24"/>
      <w:szCs w:val="24"/>
      <w:lang w:eastAsia="cs-CZ"/>
    </w:rPr>
  </w:style>
  <w:style w:type="paragraph" w:styleId="Nadpis4">
    <w:name w:val="heading 4"/>
    <w:basedOn w:val="Normln"/>
    <w:next w:val="Normln"/>
    <w:link w:val="Nadpis4Char"/>
    <w:uiPriority w:val="9"/>
    <w:semiHidden/>
    <w:unhideWhenUsed/>
    <w:qFormat/>
    <w:rsid w:val="00AD5407"/>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AD5407"/>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D5407"/>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D5407"/>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D5407"/>
    <w:pPr>
      <w:keepNext/>
      <w:keepLines/>
      <w:numPr>
        <w:ilvl w:val="7"/>
        <w:numId w:val="2"/>
      </w:numPr>
      <w:spacing w:before="20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AD5407"/>
    <w:pPr>
      <w:keepNext/>
      <w:keepLines/>
      <w:numPr>
        <w:ilvl w:val="8"/>
        <w:numId w:val="2"/>
      </w:numPr>
      <w:spacing w:before="20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Nadpis 1-Nadpis smlouvy Char,Základní kapitola Char,V_Head1 Char,Záhlaví 1 Char,0Überschrift 1 Char,1Überschrift 1 Char,2Überschrift 1 Char,3Überschrift 1 Char,4Überschrift 1 Char,5Überschrift 1 Char,6Überschrift 1 Char"/>
    <w:basedOn w:val="Standardnpsmoodstavce"/>
    <w:link w:val="Nadpis1"/>
    <w:uiPriority w:val="9"/>
    <w:rsid w:val="009C5AC9"/>
    <w:rPr>
      <w:rFonts w:ascii="Times New Roman" w:eastAsia="Times New Roman" w:hAnsi="Times New Roman" w:cs="Arial"/>
      <w:b/>
      <w:bCs/>
      <w:color w:val="000066"/>
      <w:kern w:val="32"/>
      <w:sz w:val="28"/>
      <w:szCs w:val="28"/>
    </w:rPr>
  </w:style>
  <w:style w:type="character" w:customStyle="1" w:styleId="Nadpis2Char">
    <w:name w:val="Nadpis 2 Char"/>
    <w:basedOn w:val="Standardnpsmoodstavce"/>
    <w:link w:val="Nadpis2"/>
    <w:rsid w:val="009C5AC9"/>
    <w:rPr>
      <w:rFonts w:ascii="Times New Roman" w:eastAsia="Times New Roman" w:hAnsi="Times New Roman" w:cs="Arial"/>
      <w:b/>
      <w:bCs/>
      <w:iCs/>
      <w:color w:val="000066"/>
      <w:sz w:val="24"/>
      <w:szCs w:val="28"/>
    </w:rPr>
  </w:style>
  <w:style w:type="character" w:customStyle="1" w:styleId="Nadpis3Char">
    <w:name w:val="Nadpis 3 Char"/>
    <w:basedOn w:val="Standardnpsmoodstavce"/>
    <w:link w:val="Nadpis3"/>
    <w:uiPriority w:val="9"/>
    <w:rsid w:val="009C5AC9"/>
    <w:rPr>
      <w:rFonts w:ascii="Times New Roman" w:eastAsia="Times New Roman" w:hAnsi="Times New Roman" w:cs="Times New Roman"/>
      <w:bCs/>
      <w:color w:val="002060"/>
      <w:sz w:val="24"/>
      <w:szCs w:val="24"/>
      <w:lang w:eastAsia="cs-CZ"/>
    </w:rPr>
  </w:style>
  <w:style w:type="character" w:customStyle="1" w:styleId="Nadpis4Char">
    <w:name w:val="Nadpis 4 Char"/>
    <w:basedOn w:val="Standardnpsmoodstavce"/>
    <w:link w:val="Nadpis4"/>
    <w:uiPriority w:val="9"/>
    <w:semiHidden/>
    <w:rsid w:val="00AD5407"/>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AD5407"/>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AD5407"/>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AD5407"/>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AD5407"/>
    <w:rPr>
      <w:rFonts w:asciiTheme="majorHAnsi" w:eastAsiaTheme="majorEastAsia" w:hAnsiTheme="majorHAnsi" w:cstheme="majorBidi"/>
      <w:color w:val="404040" w:themeColor="text1" w:themeTint="BF"/>
      <w:szCs w:val="20"/>
    </w:rPr>
  </w:style>
  <w:style w:type="character" w:customStyle="1" w:styleId="Nadpis9Char">
    <w:name w:val="Nadpis 9 Char"/>
    <w:basedOn w:val="Standardnpsmoodstavce"/>
    <w:link w:val="Nadpis9"/>
    <w:uiPriority w:val="9"/>
    <w:semiHidden/>
    <w:rsid w:val="00AD5407"/>
    <w:rPr>
      <w:rFonts w:asciiTheme="majorHAnsi" w:eastAsiaTheme="majorEastAsia" w:hAnsiTheme="majorHAnsi" w:cstheme="majorBidi"/>
      <w:i/>
      <w:iCs/>
      <w:color w:val="404040" w:themeColor="text1" w:themeTint="BF"/>
      <w:szCs w:val="20"/>
    </w:rPr>
  </w:style>
  <w:style w:type="character" w:styleId="Hypertextovodkaz">
    <w:name w:val="Hyperlink"/>
    <w:basedOn w:val="Standardnpsmoodstavce"/>
    <w:uiPriority w:val="99"/>
    <w:rsid w:val="004C617B"/>
    <w:rPr>
      <w:color w:val="0000FF"/>
      <w:u w:val="single"/>
    </w:rPr>
  </w:style>
  <w:style w:type="paragraph" w:styleId="Odstavecseseznamem">
    <w:name w:val="List Paragraph"/>
    <w:basedOn w:val="Normln"/>
    <w:link w:val="OdstavecseseznamemChar"/>
    <w:uiPriority w:val="34"/>
    <w:qFormat/>
    <w:rsid w:val="00065FC1"/>
    <w:pPr>
      <w:ind w:left="720"/>
      <w:contextualSpacing/>
      <w:jc w:val="left"/>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A4B4B"/>
    <w:rPr>
      <w:rFonts w:cs="Tahoma"/>
      <w:sz w:val="16"/>
      <w:szCs w:val="16"/>
    </w:rPr>
  </w:style>
  <w:style w:type="character" w:customStyle="1" w:styleId="TextbublinyChar">
    <w:name w:val="Text bubliny Char"/>
    <w:basedOn w:val="Standardnpsmoodstavce"/>
    <w:link w:val="Textbubliny"/>
    <w:uiPriority w:val="99"/>
    <w:semiHidden/>
    <w:rsid w:val="001A4B4B"/>
    <w:rPr>
      <w:rFonts w:cs="Tahoma"/>
      <w:sz w:val="16"/>
      <w:szCs w:val="16"/>
    </w:rPr>
  </w:style>
  <w:style w:type="table" w:styleId="Mkatabulky">
    <w:name w:val="Table Grid"/>
    <w:basedOn w:val="Normlntabulka"/>
    <w:uiPriority w:val="59"/>
    <w:rsid w:val="008862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
    <w:name w:val="Body Text"/>
    <w:aliases w:val="Základní text Char Char Char Char Char Char"/>
    <w:basedOn w:val="Normln"/>
    <w:link w:val="ZkladntextChar"/>
    <w:rsid w:val="00413669"/>
    <w:pPr>
      <w:jc w:val="left"/>
    </w:pPr>
    <w:rPr>
      <w:rFonts w:ascii="Verdana" w:eastAsia="Times New Roman" w:hAnsi="Verdana" w:cs="Arial"/>
      <w:sz w:val="22"/>
      <w:lang w:eastAsia="cs-CZ"/>
    </w:rPr>
  </w:style>
  <w:style w:type="character" w:customStyle="1" w:styleId="ZkladntextChar">
    <w:name w:val="Základní text Char"/>
    <w:aliases w:val="Základní text Char Char Char Char Char Char Char"/>
    <w:basedOn w:val="Standardnpsmoodstavce"/>
    <w:link w:val="Zkladntext"/>
    <w:rsid w:val="00413669"/>
    <w:rPr>
      <w:rFonts w:ascii="Verdana" w:eastAsia="Times New Roman" w:hAnsi="Verdana" w:cs="Arial"/>
      <w:sz w:val="22"/>
      <w:lang w:eastAsia="cs-CZ"/>
    </w:rPr>
  </w:style>
  <w:style w:type="paragraph" w:customStyle="1" w:styleId="Default">
    <w:name w:val="Default"/>
    <w:rsid w:val="00D65DBB"/>
    <w:pPr>
      <w:autoSpaceDE w:val="0"/>
      <w:autoSpaceDN w:val="0"/>
      <w:adjustRightInd w:val="0"/>
      <w:jc w:val="left"/>
    </w:pPr>
    <w:rPr>
      <w:rFonts w:ascii="Arial" w:hAnsi="Arial" w:cs="Arial"/>
      <w:color w:val="000000"/>
      <w:sz w:val="24"/>
      <w:szCs w:val="24"/>
    </w:rPr>
  </w:style>
  <w:style w:type="paragraph" w:customStyle="1" w:styleId="StylArial11bZarovnatdoblokuVlevo063cm">
    <w:name w:val="Styl Arial 11 b. Zarovnat do bloku Vlevo:  063 cm"/>
    <w:basedOn w:val="Normln"/>
    <w:rsid w:val="00AD5407"/>
    <w:pPr>
      <w:spacing w:before="120"/>
      <w:ind w:left="357"/>
    </w:pPr>
    <w:rPr>
      <w:rFonts w:ascii="Arial" w:eastAsia="Times New Roman" w:hAnsi="Arial" w:cs="Times New Roman"/>
      <w:sz w:val="22"/>
      <w:szCs w:val="20"/>
      <w:lang w:eastAsia="cs-CZ"/>
    </w:rPr>
  </w:style>
  <w:style w:type="character" w:styleId="Siln">
    <w:name w:val="Strong"/>
    <w:basedOn w:val="Standardnpsmoodstavce"/>
    <w:uiPriority w:val="22"/>
    <w:qFormat/>
    <w:rsid w:val="00AD5407"/>
    <w:rPr>
      <w:b/>
      <w:bCs/>
    </w:rPr>
  </w:style>
  <w:style w:type="paragraph" w:customStyle="1" w:styleId="Normln1">
    <w:name w:val="Normální1"/>
    <w:basedOn w:val="Normln"/>
    <w:rsid w:val="00AD5407"/>
    <w:pPr>
      <w:spacing w:before="100" w:beforeAutospacing="1" w:after="100" w:afterAutospacing="1"/>
      <w:jc w:val="left"/>
    </w:pPr>
    <w:rPr>
      <w:rFonts w:ascii="Times New Roman" w:eastAsia="Times New Roman" w:hAnsi="Times New Roman" w:cs="Times New Roman"/>
      <w:sz w:val="24"/>
      <w:szCs w:val="24"/>
      <w:lang w:eastAsia="cs-CZ"/>
    </w:rPr>
  </w:style>
  <w:style w:type="paragraph" w:customStyle="1" w:styleId="normln0">
    <w:name w:val="normální"/>
    <w:basedOn w:val="Normln"/>
    <w:rsid w:val="00AD5407"/>
    <w:pPr>
      <w:tabs>
        <w:tab w:val="left" w:pos="0"/>
      </w:tabs>
      <w:overflowPunct w:val="0"/>
      <w:autoSpaceDE w:val="0"/>
      <w:autoSpaceDN w:val="0"/>
      <w:adjustRightInd w:val="0"/>
      <w:spacing w:before="120"/>
      <w:textAlignment w:val="baseline"/>
    </w:pPr>
    <w:rPr>
      <w:rFonts w:ascii="Arial" w:eastAsia="Times New Roman" w:hAnsi="Arial" w:cs="Times New Roman"/>
      <w:bCs/>
      <w:sz w:val="22"/>
      <w:szCs w:val="20"/>
      <w:lang w:eastAsia="cs-CZ"/>
    </w:rPr>
  </w:style>
  <w:style w:type="character" w:customStyle="1" w:styleId="TextvysvtlivekChar">
    <w:name w:val="Text vysvětlivek Char"/>
    <w:basedOn w:val="Standardnpsmoodstavce"/>
    <w:link w:val="Textvysvtlivek"/>
    <w:uiPriority w:val="99"/>
    <w:semiHidden/>
    <w:rsid w:val="00D014DA"/>
    <w:rPr>
      <w:szCs w:val="20"/>
    </w:rPr>
  </w:style>
  <w:style w:type="paragraph" w:styleId="Textvysvtlivek">
    <w:name w:val="endnote text"/>
    <w:basedOn w:val="Normln"/>
    <w:link w:val="TextvysvtlivekChar"/>
    <w:uiPriority w:val="99"/>
    <w:semiHidden/>
    <w:unhideWhenUsed/>
    <w:rsid w:val="00D014DA"/>
    <w:rPr>
      <w:szCs w:val="20"/>
    </w:rPr>
  </w:style>
  <w:style w:type="character" w:customStyle="1" w:styleId="TextpoznpodarouChar">
    <w:name w:val="Text pozn. pod čarou Char"/>
    <w:basedOn w:val="Standardnpsmoodstavce"/>
    <w:link w:val="Textpoznpodarou"/>
    <w:uiPriority w:val="99"/>
    <w:semiHidden/>
    <w:rsid w:val="00D014DA"/>
    <w:rPr>
      <w:szCs w:val="20"/>
    </w:rPr>
  </w:style>
  <w:style w:type="paragraph" w:styleId="Textpoznpodarou">
    <w:name w:val="footnote text"/>
    <w:basedOn w:val="Normln"/>
    <w:link w:val="TextpoznpodarouChar"/>
    <w:uiPriority w:val="99"/>
    <w:semiHidden/>
    <w:unhideWhenUsed/>
    <w:rsid w:val="00D014DA"/>
    <w:rPr>
      <w:szCs w:val="20"/>
    </w:rPr>
  </w:style>
  <w:style w:type="character" w:styleId="Znakapoznpodarou">
    <w:name w:val="footnote reference"/>
    <w:aliases w:val="PGI Fußnote Ziffer,BVI fnr,Footnote symbol,Footnote Reference Number,Footnote Reference Superscript,Appel note de bas de p,Appel note de bas de page,Légende,Char Car Car Car Car,Voetnootverwijzing,Légende;Char Car Car Car Car"/>
    <w:basedOn w:val="Standardnpsmoodstavce"/>
    <w:rsid w:val="0028641A"/>
    <w:rPr>
      <w:vertAlign w:val="superscript"/>
    </w:rPr>
  </w:style>
  <w:style w:type="paragraph" w:customStyle="1" w:styleId="beznytext">
    <w:name w:val="bezny_text"/>
    <w:basedOn w:val="Normln"/>
    <w:rsid w:val="0062080C"/>
    <w:pPr>
      <w:spacing w:before="100" w:beforeAutospacing="1" w:after="100" w:afterAutospacing="1"/>
      <w:jc w:val="left"/>
    </w:pPr>
    <w:rPr>
      <w:rFonts w:ascii="Times New Roman" w:eastAsia="Times New Roman" w:hAnsi="Times New Roman" w:cs="Times New Roman"/>
      <w:sz w:val="24"/>
      <w:szCs w:val="24"/>
      <w:lang w:eastAsia="cs-CZ"/>
    </w:rPr>
  </w:style>
  <w:style w:type="paragraph" w:styleId="Titulek">
    <w:name w:val="caption"/>
    <w:basedOn w:val="Normln"/>
    <w:next w:val="Normln"/>
    <w:unhideWhenUsed/>
    <w:qFormat/>
    <w:rsid w:val="005354FD"/>
    <w:pPr>
      <w:spacing w:after="200"/>
    </w:pPr>
    <w:rPr>
      <w:b/>
      <w:bCs/>
      <w:color w:val="4F81BD" w:themeColor="accent1"/>
      <w:sz w:val="18"/>
      <w:szCs w:val="18"/>
    </w:rPr>
  </w:style>
  <w:style w:type="paragraph" w:styleId="Nadpisobsahu">
    <w:name w:val="TOC Heading"/>
    <w:basedOn w:val="Nadpis1"/>
    <w:next w:val="Normln"/>
    <w:uiPriority w:val="39"/>
    <w:semiHidden/>
    <w:unhideWhenUsed/>
    <w:qFormat/>
    <w:rsid w:val="00B50F34"/>
    <w:pPr>
      <w:keepLines/>
      <w:pageBreakBefore w:val="0"/>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rPr>
  </w:style>
  <w:style w:type="paragraph" w:styleId="Obsah1">
    <w:name w:val="toc 1"/>
    <w:basedOn w:val="Normln"/>
    <w:next w:val="Normln"/>
    <w:autoRedefine/>
    <w:uiPriority w:val="39"/>
    <w:unhideWhenUsed/>
    <w:rsid w:val="00B50F34"/>
    <w:pPr>
      <w:spacing w:after="100"/>
    </w:pPr>
  </w:style>
  <w:style w:type="paragraph" w:styleId="Obsah2">
    <w:name w:val="toc 2"/>
    <w:basedOn w:val="Normln"/>
    <w:next w:val="Normln"/>
    <w:autoRedefine/>
    <w:uiPriority w:val="39"/>
    <w:unhideWhenUsed/>
    <w:rsid w:val="00B50F34"/>
    <w:pPr>
      <w:spacing w:after="100"/>
      <w:ind w:left="200"/>
    </w:pPr>
  </w:style>
  <w:style w:type="paragraph" w:styleId="Obsah3">
    <w:name w:val="toc 3"/>
    <w:basedOn w:val="Normln"/>
    <w:next w:val="Normln"/>
    <w:autoRedefine/>
    <w:uiPriority w:val="39"/>
    <w:unhideWhenUsed/>
    <w:rsid w:val="00B50F34"/>
    <w:pPr>
      <w:spacing w:after="100"/>
      <w:ind w:left="400"/>
    </w:pPr>
  </w:style>
  <w:style w:type="paragraph" w:styleId="Zhlav">
    <w:name w:val="header"/>
    <w:basedOn w:val="Normln"/>
    <w:link w:val="ZhlavChar"/>
    <w:uiPriority w:val="99"/>
    <w:semiHidden/>
    <w:unhideWhenUsed/>
    <w:rsid w:val="00B50F34"/>
    <w:pPr>
      <w:tabs>
        <w:tab w:val="center" w:pos="4536"/>
        <w:tab w:val="right" w:pos="9072"/>
      </w:tabs>
    </w:pPr>
  </w:style>
  <w:style w:type="character" w:customStyle="1" w:styleId="ZhlavChar">
    <w:name w:val="Záhlaví Char"/>
    <w:basedOn w:val="Standardnpsmoodstavce"/>
    <w:link w:val="Zhlav"/>
    <w:uiPriority w:val="99"/>
    <w:semiHidden/>
    <w:rsid w:val="00B50F34"/>
  </w:style>
  <w:style w:type="paragraph" w:styleId="Zpat">
    <w:name w:val="footer"/>
    <w:basedOn w:val="Normln"/>
    <w:link w:val="ZpatChar"/>
    <w:uiPriority w:val="99"/>
    <w:unhideWhenUsed/>
    <w:rsid w:val="00B50F34"/>
    <w:pPr>
      <w:tabs>
        <w:tab w:val="center" w:pos="4536"/>
        <w:tab w:val="right" w:pos="9072"/>
      </w:tabs>
    </w:pPr>
  </w:style>
  <w:style w:type="character" w:customStyle="1" w:styleId="ZpatChar">
    <w:name w:val="Zápatí Char"/>
    <w:basedOn w:val="Standardnpsmoodstavce"/>
    <w:link w:val="Zpat"/>
    <w:uiPriority w:val="99"/>
    <w:rsid w:val="00B50F34"/>
  </w:style>
  <w:style w:type="character" w:customStyle="1" w:styleId="OdstavecseseznamemChar">
    <w:name w:val="Odstavec se seznamem Char"/>
    <w:link w:val="Odstavecseseznamem"/>
    <w:uiPriority w:val="99"/>
    <w:locked/>
    <w:rsid w:val="00011FD3"/>
    <w:rPr>
      <w:rFonts w:ascii="Times New Roman" w:eastAsia="Times New Roman" w:hAnsi="Times New Roman" w:cs="Times New Roman"/>
      <w:sz w:val="24"/>
      <w:szCs w:val="24"/>
      <w:lang w:eastAsia="cs-CZ"/>
    </w:rPr>
  </w:style>
  <w:style w:type="paragraph" w:customStyle="1" w:styleId="DAVA">
    <w:name w:val="DAVA"/>
    <w:basedOn w:val="Normln"/>
    <w:link w:val="DAVAChar"/>
    <w:qFormat/>
    <w:rsid w:val="00093792"/>
    <w:pPr>
      <w:spacing w:before="120"/>
    </w:pPr>
    <w:rPr>
      <w:rFonts w:ascii="Times New Roman" w:eastAsia="Times New Roman" w:hAnsi="Times New Roman" w:cs="Times New Roman"/>
      <w:sz w:val="24"/>
      <w:szCs w:val="24"/>
      <w:lang w:eastAsia="cs-CZ"/>
    </w:rPr>
  </w:style>
  <w:style w:type="character" w:customStyle="1" w:styleId="DAVAChar">
    <w:name w:val="DAVA Char"/>
    <w:basedOn w:val="Standardnpsmoodstavce"/>
    <w:link w:val="DAVA"/>
    <w:rsid w:val="00093792"/>
    <w:rPr>
      <w:rFonts w:ascii="Times New Roman" w:eastAsia="Times New Roman" w:hAnsi="Times New Roman" w:cs="Times New Roman"/>
      <w:sz w:val="24"/>
      <w:szCs w:val="24"/>
      <w:lang w:eastAsia="cs-CZ"/>
    </w:rPr>
  </w:style>
  <w:style w:type="paragraph" w:styleId="Textkomente">
    <w:name w:val="annotation text"/>
    <w:basedOn w:val="Normln"/>
    <w:link w:val="TextkomenteChar"/>
    <w:unhideWhenUsed/>
    <w:rsid w:val="00F04DF2"/>
    <w:pPr>
      <w:spacing w:after="200"/>
      <w:jc w:val="left"/>
    </w:pPr>
    <w:rPr>
      <w:rFonts w:asciiTheme="minorHAnsi" w:eastAsiaTheme="minorEastAsia" w:hAnsiTheme="minorHAnsi"/>
      <w:szCs w:val="20"/>
      <w:lang w:eastAsia="cs-CZ"/>
    </w:rPr>
  </w:style>
  <w:style w:type="character" w:customStyle="1" w:styleId="TextkomenteChar">
    <w:name w:val="Text komentáře Char"/>
    <w:basedOn w:val="Standardnpsmoodstavce"/>
    <w:link w:val="Textkomente"/>
    <w:rsid w:val="00F04DF2"/>
    <w:rPr>
      <w:rFonts w:asciiTheme="minorHAnsi" w:eastAsiaTheme="minorEastAsia" w:hAnsiTheme="minorHAnsi"/>
      <w:szCs w:val="20"/>
      <w:lang w:eastAsia="cs-CZ"/>
    </w:rPr>
  </w:style>
  <w:style w:type="character" w:styleId="Odkaznakoment">
    <w:name w:val="annotation reference"/>
    <w:basedOn w:val="Standardnpsmoodstavce"/>
    <w:unhideWhenUsed/>
    <w:rsid w:val="00490C91"/>
    <w:rPr>
      <w:sz w:val="16"/>
      <w:szCs w:val="16"/>
    </w:rPr>
  </w:style>
  <w:style w:type="paragraph" w:customStyle="1" w:styleId="TextNOK">
    <w:name w:val="Text NOK"/>
    <w:basedOn w:val="Normln"/>
    <w:link w:val="TextNOKChar"/>
    <w:qFormat/>
    <w:rsid w:val="00902760"/>
    <w:pPr>
      <w:spacing w:after="120" w:line="288" w:lineRule="auto"/>
    </w:pPr>
    <w:rPr>
      <w:rFonts w:ascii="Arial" w:eastAsia="Times New Roman" w:hAnsi="Arial" w:cs="Times New Roman"/>
      <w:lang w:eastAsia="cs-CZ"/>
    </w:rPr>
  </w:style>
  <w:style w:type="character" w:customStyle="1" w:styleId="TextNOKChar">
    <w:name w:val="Text NOK Char"/>
    <w:basedOn w:val="Standardnpsmoodstavce"/>
    <w:link w:val="TextNOK"/>
    <w:rsid w:val="00902760"/>
    <w:rPr>
      <w:rFonts w:ascii="Arial" w:eastAsia="Times New Roman" w:hAnsi="Arial" w:cs="Times New Roman"/>
      <w:lang w:eastAsia="cs-CZ"/>
    </w:rPr>
  </w:style>
  <w:style w:type="paragraph" w:styleId="Pedmtkomente">
    <w:name w:val="annotation subject"/>
    <w:basedOn w:val="Textkomente"/>
    <w:next w:val="Textkomente"/>
    <w:link w:val="PedmtkomenteChar"/>
    <w:uiPriority w:val="99"/>
    <w:semiHidden/>
    <w:unhideWhenUsed/>
    <w:rsid w:val="00A72AE4"/>
    <w:pPr>
      <w:spacing w:after="0"/>
      <w:jc w:val="both"/>
    </w:pPr>
    <w:rPr>
      <w:rFonts w:ascii="Tahoma" w:eastAsiaTheme="minorHAnsi" w:hAnsi="Tahoma"/>
      <w:b/>
      <w:bCs/>
      <w:lang w:eastAsia="en-US"/>
    </w:rPr>
  </w:style>
  <w:style w:type="character" w:customStyle="1" w:styleId="PedmtkomenteChar">
    <w:name w:val="Předmět komentáře Char"/>
    <w:basedOn w:val="TextkomenteChar"/>
    <w:link w:val="Pedmtkomente"/>
    <w:uiPriority w:val="99"/>
    <w:semiHidden/>
    <w:rsid w:val="00A72AE4"/>
    <w:rPr>
      <w:rFonts w:asciiTheme="minorHAnsi" w:eastAsiaTheme="minorEastAsia" w:hAnsiTheme="minorHAnsi"/>
      <w:b/>
      <w:bCs/>
      <w:szCs w:val="20"/>
      <w:lang w:eastAsia="cs-CZ"/>
    </w:rPr>
  </w:style>
  <w:style w:type="paragraph" w:customStyle="1" w:styleId="NadpisNOK2">
    <w:name w:val="Nadpis NOK 2"/>
    <w:basedOn w:val="Nadpis2"/>
    <w:qFormat/>
    <w:rsid w:val="000C5703"/>
    <w:pPr>
      <w:numPr>
        <w:numId w:val="9"/>
      </w:numPr>
    </w:pPr>
    <w:rPr>
      <w:rFonts w:ascii="Arial Narrow" w:hAnsi="Arial Narrow" w:cs="Arial Narrow"/>
      <w:iCs w:val="0"/>
      <w:caps/>
      <w:color w:val="003366"/>
      <w:sz w:val="40"/>
      <w:szCs w:val="40"/>
      <w:lang w:eastAsia="cs-CZ"/>
    </w:rPr>
  </w:style>
  <w:style w:type="paragraph" w:customStyle="1" w:styleId="Standardntext">
    <w:name w:val="Standardní text"/>
    <w:basedOn w:val="Normln"/>
    <w:link w:val="StandardntextChar"/>
    <w:qFormat/>
    <w:rsid w:val="00CC53D7"/>
    <w:pPr>
      <w:overflowPunct w:val="0"/>
      <w:autoSpaceDE w:val="0"/>
      <w:autoSpaceDN w:val="0"/>
      <w:adjustRightInd w:val="0"/>
      <w:spacing w:after="240"/>
      <w:textAlignment w:val="baseline"/>
    </w:pPr>
    <w:rPr>
      <w:rFonts w:ascii="Calibri" w:eastAsia="Times New Roman" w:hAnsi="Calibri" w:cs="Calibri"/>
      <w:sz w:val="24"/>
      <w:szCs w:val="24"/>
      <w:lang w:eastAsia="cs-CZ"/>
    </w:rPr>
  </w:style>
  <w:style w:type="character" w:customStyle="1" w:styleId="StandardntextChar">
    <w:name w:val="Standardní text Char"/>
    <w:basedOn w:val="Standardnpsmoodstavce"/>
    <w:link w:val="Standardntext"/>
    <w:rsid w:val="00CC53D7"/>
    <w:rPr>
      <w:rFonts w:ascii="Calibri" w:eastAsia="Times New Roman" w:hAnsi="Calibri" w:cs="Calibri"/>
      <w:sz w:val="24"/>
      <w:szCs w:val="24"/>
      <w:lang w:eastAsia="cs-CZ"/>
    </w:rPr>
  </w:style>
  <w:style w:type="paragraph" w:customStyle="1" w:styleId="Specifickcl">
    <w:name w:val="Specifický cíl"/>
    <w:basedOn w:val="Nadpis4"/>
    <w:link w:val="SpecifickclChar"/>
    <w:qFormat/>
    <w:rsid w:val="00CF0A22"/>
    <w:pPr>
      <w:numPr>
        <w:ilvl w:val="0"/>
        <w:numId w:val="0"/>
      </w:numPr>
      <w:spacing w:before="360" w:after="120" w:line="276" w:lineRule="auto"/>
      <w:ind w:left="862" w:hanging="862"/>
    </w:pPr>
    <w:rPr>
      <w:rFonts w:asciiTheme="minorHAnsi" w:eastAsia="Times New Roman" w:hAnsiTheme="minorHAnsi" w:cs="Times New Roman"/>
      <w:i w:val="0"/>
      <w:color w:val="548DD4" w:themeColor="text2" w:themeTint="99"/>
      <w:sz w:val="24"/>
      <w:szCs w:val="20"/>
      <w:lang w:eastAsia="cs-CZ"/>
    </w:rPr>
  </w:style>
  <w:style w:type="character" w:customStyle="1" w:styleId="SpecifickclChar">
    <w:name w:val="Specifický cíl Char"/>
    <w:basedOn w:val="Nadpis4Char"/>
    <w:link w:val="Specifickcl"/>
    <w:rsid w:val="00CF0A22"/>
    <w:rPr>
      <w:rFonts w:asciiTheme="minorHAnsi" w:eastAsia="Times New Roman" w:hAnsiTheme="minorHAnsi" w:cs="Times New Roman"/>
      <w:b/>
      <w:bCs/>
      <w:i/>
      <w:iCs/>
      <w:color w:val="548DD4" w:themeColor="text2" w:themeTint="99"/>
      <w:sz w:val="24"/>
      <w:szCs w:val="20"/>
      <w:lang w:eastAsia="cs-CZ"/>
    </w:rPr>
  </w:style>
  <w:style w:type="character" w:styleId="Zvraznn">
    <w:name w:val="Emphasis"/>
    <w:basedOn w:val="Standardnpsmoodstavce"/>
    <w:uiPriority w:val="20"/>
    <w:qFormat/>
    <w:rsid w:val="00550998"/>
    <w:rPr>
      <w:i/>
      <w:iCs/>
    </w:rPr>
  </w:style>
  <w:style w:type="character" w:customStyle="1" w:styleId="st">
    <w:name w:val="st"/>
    <w:basedOn w:val="Standardnpsmoodstavce"/>
    <w:rsid w:val="00DF7DED"/>
  </w:style>
  <w:style w:type="paragraph" w:customStyle="1" w:styleId="Modrnadpis">
    <w:name w:val="Modrý nadpis"/>
    <w:basedOn w:val="Nadpis4"/>
    <w:link w:val="ModrnadpisChar"/>
    <w:qFormat/>
    <w:rsid w:val="00705E4A"/>
    <w:pPr>
      <w:numPr>
        <w:ilvl w:val="0"/>
        <w:numId w:val="0"/>
      </w:numPr>
      <w:spacing w:before="240" w:after="120" w:line="276" w:lineRule="auto"/>
      <w:ind w:left="862" w:hanging="862"/>
    </w:pPr>
    <w:rPr>
      <w:rFonts w:ascii="Times New Roman" w:eastAsia="Times New Roman" w:hAnsi="Times New Roman" w:cs="Times New Roman"/>
      <w:i w:val="0"/>
      <w:color w:val="548DD4"/>
      <w:sz w:val="24"/>
      <w:szCs w:val="20"/>
      <w:lang w:eastAsia="cs-CZ"/>
    </w:rPr>
  </w:style>
  <w:style w:type="character" w:customStyle="1" w:styleId="ModrnadpisChar">
    <w:name w:val="Modrý nadpis Char"/>
    <w:link w:val="Modrnadpis"/>
    <w:rsid w:val="00705E4A"/>
    <w:rPr>
      <w:rFonts w:ascii="Times New Roman" w:eastAsia="Times New Roman" w:hAnsi="Times New Roman" w:cs="Times New Roman"/>
      <w:b/>
      <w:bCs/>
      <w:iCs/>
      <w:color w:val="548DD4"/>
      <w:sz w:val="24"/>
      <w:szCs w:val="20"/>
      <w:lang w:eastAsia="cs-CZ"/>
    </w:rPr>
  </w:style>
  <w:style w:type="paragraph" w:customStyle="1" w:styleId="Poznmkapodarou">
    <w:name w:val="Poznámka pod čarou"/>
    <w:basedOn w:val="Default"/>
    <w:link w:val="PoznmkapodarouChar"/>
    <w:qFormat/>
    <w:rsid w:val="00C739A4"/>
    <w:pPr>
      <w:tabs>
        <w:tab w:val="left" w:pos="708"/>
      </w:tabs>
      <w:suppressAutoHyphens/>
      <w:overflowPunct w:val="0"/>
      <w:autoSpaceDN/>
      <w:adjustRightInd/>
      <w:spacing w:after="60" w:line="200" w:lineRule="atLeast"/>
      <w:jc w:val="both"/>
      <w:textAlignment w:val="baseline"/>
    </w:pPr>
    <w:rPr>
      <w:rFonts w:ascii="Times New Roman" w:eastAsia="Times New Roman" w:hAnsi="Times New Roman" w:cs="Calibri"/>
      <w:color w:val="auto"/>
      <w:sz w:val="20"/>
      <w:szCs w:val="20"/>
      <w:lang w:eastAsia="cs-CZ"/>
    </w:rPr>
  </w:style>
  <w:style w:type="character" w:customStyle="1" w:styleId="PoznmkapodarouChar">
    <w:name w:val="Poznámka pod čarou Char"/>
    <w:link w:val="Poznmkapodarou"/>
    <w:rsid w:val="00C739A4"/>
    <w:rPr>
      <w:rFonts w:ascii="Times New Roman" w:eastAsia="Times New Roman" w:hAnsi="Times New Roman" w:cs="Calibri"/>
      <w:szCs w:val="20"/>
      <w:lang w:eastAsia="cs-CZ"/>
    </w:rPr>
  </w:style>
  <w:style w:type="paragraph" w:customStyle="1" w:styleId="TextMetodika">
    <w:name w:val="Text Metodika"/>
    <w:basedOn w:val="Normln"/>
    <w:link w:val="TextMetodikaChar"/>
    <w:uiPriority w:val="99"/>
    <w:rsid w:val="00FC5617"/>
    <w:pPr>
      <w:spacing w:before="120" w:after="120" w:line="312" w:lineRule="auto"/>
    </w:pPr>
    <w:rPr>
      <w:rFonts w:ascii="Arial" w:eastAsia="SimSun" w:hAnsi="Arial" w:cs="Arial"/>
      <w:szCs w:val="20"/>
      <w:lang w:eastAsia="cs-CZ"/>
    </w:rPr>
  </w:style>
  <w:style w:type="character" w:customStyle="1" w:styleId="TextMetodikaChar">
    <w:name w:val="Text Metodika Char"/>
    <w:basedOn w:val="Standardnpsmoodstavce"/>
    <w:link w:val="TextMetodika"/>
    <w:uiPriority w:val="99"/>
    <w:locked/>
    <w:rsid w:val="00FC5617"/>
    <w:rPr>
      <w:rFonts w:ascii="Arial" w:eastAsia="SimSun" w:hAnsi="Arial" w:cs="Arial"/>
      <w:szCs w:val="20"/>
      <w:lang w:eastAsia="cs-CZ"/>
    </w:rPr>
  </w:style>
  <w:style w:type="paragraph" w:customStyle="1" w:styleId="Char4CharCharCharCharCharCharCharCharChar">
    <w:name w:val="Char4 Char Char Char Char Char Char Char Char Char"/>
    <w:basedOn w:val="Normln"/>
    <w:rsid w:val="00E246AD"/>
    <w:pPr>
      <w:spacing w:after="160" w:line="240" w:lineRule="exact"/>
      <w:jc w:val="left"/>
    </w:pPr>
    <w:rPr>
      <w:rFonts w:ascii="Times New Roman Bold" w:eastAsia="Times New Roman" w:hAnsi="Times New Roman Bold" w:cs="Times New Roman"/>
      <w:sz w:val="22"/>
      <w:szCs w:val="26"/>
      <w:lang w:val="sk-SK"/>
    </w:rPr>
  </w:style>
  <w:style w:type="paragraph" w:customStyle="1" w:styleId="Tabulka">
    <w:name w:val="Tabulka"/>
    <w:basedOn w:val="Normln"/>
    <w:link w:val="TabulkaChar"/>
    <w:qFormat/>
    <w:rsid w:val="006D3B27"/>
    <w:pPr>
      <w:autoSpaceDE w:val="0"/>
      <w:autoSpaceDN w:val="0"/>
      <w:adjustRightInd w:val="0"/>
      <w:spacing w:before="60" w:after="60"/>
      <w:jc w:val="center"/>
    </w:pPr>
    <w:rPr>
      <w:rFonts w:ascii="Times New Roman" w:eastAsia="Times New Roman" w:hAnsi="Times New Roman" w:cs="Calibri"/>
      <w:sz w:val="24"/>
      <w:lang w:eastAsia="cs-CZ"/>
    </w:rPr>
  </w:style>
  <w:style w:type="character" w:customStyle="1" w:styleId="TabulkaChar">
    <w:name w:val="Tabulka Char"/>
    <w:link w:val="Tabulka"/>
    <w:rsid w:val="006D3B27"/>
    <w:rPr>
      <w:rFonts w:ascii="Times New Roman" w:eastAsia="Times New Roman" w:hAnsi="Times New Roman" w:cs="Calibri"/>
      <w:sz w:val="24"/>
      <w:lang w:eastAsia="cs-CZ"/>
    </w:rPr>
  </w:style>
  <w:style w:type="paragraph" w:customStyle="1" w:styleId="CM1">
    <w:name w:val="CM1"/>
    <w:basedOn w:val="Default"/>
    <w:next w:val="Default"/>
    <w:uiPriority w:val="99"/>
    <w:rsid w:val="00074462"/>
    <w:rPr>
      <w:rFonts w:ascii="EUAlbertina" w:hAnsi="EUAlbertina" w:cstheme="minorBidi"/>
      <w:color w:val="auto"/>
    </w:rPr>
  </w:style>
  <w:style w:type="paragraph" w:customStyle="1" w:styleId="CM3">
    <w:name w:val="CM3"/>
    <w:basedOn w:val="Default"/>
    <w:next w:val="Default"/>
    <w:uiPriority w:val="99"/>
    <w:rsid w:val="00074462"/>
    <w:rPr>
      <w:rFonts w:ascii="EUAlbertina" w:hAnsi="EUAlbertina" w:cstheme="minorBidi"/>
      <w:color w:val="auto"/>
    </w:rPr>
  </w:style>
  <w:style w:type="paragraph" w:customStyle="1" w:styleId="Odstavecseseznamem1">
    <w:name w:val="Odstavec se seznamem1"/>
    <w:basedOn w:val="Normln"/>
    <w:link w:val="ListParagraphChar"/>
    <w:rsid w:val="00026C23"/>
    <w:pPr>
      <w:spacing w:after="120" w:line="276" w:lineRule="auto"/>
      <w:ind w:left="720"/>
    </w:pPr>
    <w:rPr>
      <w:rFonts w:ascii="Calibri" w:eastAsia="Times New Roman" w:hAnsi="Calibri" w:cs="Times New Roman"/>
      <w:szCs w:val="20"/>
      <w:lang w:val="en-GB" w:eastAsia="cs-CZ"/>
    </w:rPr>
  </w:style>
  <w:style w:type="character" w:customStyle="1" w:styleId="ListParagraphChar">
    <w:name w:val="List Paragraph Char"/>
    <w:link w:val="Odstavecseseznamem1"/>
    <w:rsid w:val="00026C23"/>
    <w:rPr>
      <w:rFonts w:ascii="Calibri" w:eastAsia="Times New Roman" w:hAnsi="Calibri" w:cs="Times New Roman"/>
      <w:szCs w:val="20"/>
      <w:lang w:val="en-GB" w:eastAsia="cs-CZ"/>
    </w:rPr>
  </w:style>
  <w:style w:type="character" w:customStyle="1" w:styleId="hps">
    <w:name w:val="hps"/>
    <w:basedOn w:val="Standardnpsmoodstavce"/>
    <w:rsid w:val="00D52955"/>
  </w:style>
  <w:style w:type="paragraph" w:styleId="Normlnweb">
    <w:name w:val="Normal (Web)"/>
    <w:basedOn w:val="Normln"/>
    <w:uiPriority w:val="99"/>
    <w:semiHidden/>
    <w:unhideWhenUsed/>
    <w:rsid w:val="00F34F39"/>
    <w:pPr>
      <w:spacing w:before="100" w:beforeAutospacing="1" w:after="100" w:afterAutospacing="1"/>
      <w:jc w:val="left"/>
    </w:pPr>
    <w:rPr>
      <w:rFonts w:ascii="Times New Roman" w:eastAsiaTheme="minorEastAsia"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heme="minorBidi"/>
        <w:szCs w:val="22"/>
        <w:lang w:val="cs-CZ"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F38FB"/>
  </w:style>
  <w:style w:type="paragraph" w:styleId="Nadpis1">
    <w:name w:val="heading 1"/>
    <w:aliases w:val="h1,H1,Nadpis 1-Nadpis smlouvy,Základní kapitola,V_Head1,Záhlaví 1,0Überschrift 1,1Überschrift 1,2Überschrift 1,3Überschrift 1,4Überschrift 1,5Überschrift 1,6Überschrift 1,7Überschrift 1,8Überschrift 1,9Überschrift 1,10Überschrift 1,Clanek1"/>
    <w:basedOn w:val="Normln"/>
    <w:next w:val="Normln"/>
    <w:link w:val="Nadpis1Char"/>
    <w:uiPriority w:val="9"/>
    <w:qFormat/>
    <w:rsid w:val="009C5AC9"/>
    <w:pPr>
      <w:keepNext/>
      <w:pageBreakBefore/>
      <w:numPr>
        <w:numId w:val="2"/>
      </w:numPr>
      <w:spacing w:before="240" w:after="240"/>
      <w:outlineLvl w:val="0"/>
    </w:pPr>
    <w:rPr>
      <w:rFonts w:ascii="Times New Roman" w:eastAsia="Times New Roman" w:hAnsi="Times New Roman" w:cs="Arial"/>
      <w:b/>
      <w:bCs/>
      <w:color w:val="000066"/>
      <w:kern w:val="32"/>
      <w:sz w:val="28"/>
      <w:szCs w:val="28"/>
    </w:rPr>
  </w:style>
  <w:style w:type="paragraph" w:styleId="Nadpis2">
    <w:name w:val="heading 2"/>
    <w:basedOn w:val="Normln"/>
    <w:next w:val="Normln"/>
    <w:link w:val="Nadpis2Char"/>
    <w:qFormat/>
    <w:rsid w:val="009C5AC9"/>
    <w:pPr>
      <w:keepNext/>
      <w:numPr>
        <w:ilvl w:val="1"/>
        <w:numId w:val="2"/>
      </w:numPr>
      <w:spacing w:before="240" w:after="240"/>
      <w:outlineLvl w:val="1"/>
    </w:pPr>
    <w:rPr>
      <w:rFonts w:ascii="Times New Roman" w:eastAsia="Times New Roman" w:hAnsi="Times New Roman" w:cs="Arial"/>
      <w:b/>
      <w:bCs/>
      <w:iCs/>
      <w:color w:val="000066"/>
      <w:sz w:val="24"/>
      <w:szCs w:val="28"/>
    </w:rPr>
  </w:style>
  <w:style w:type="paragraph" w:styleId="Nadpis3">
    <w:name w:val="heading 3"/>
    <w:basedOn w:val="Normln"/>
    <w:link w:val="Nadpis3Char"/>
    <w:uiPriority w:val="9"/>
    <w:qFormat/>
    <w:rsid w:val="009C5AC9"/>
    <w:pPr>
      <w:numPr>
        <w:ilvl w:val="2"/>
        <w:numId w:val="2"/>
      </w:numPr>
      <w:spacing w:before="100" w:beforeAutospacing="1" w:after="100" w:afterAutospacing="1"/>
      <w:jc w:val="left"/>
      <w:outlineLvl w:val="2"/>
    </w:pPr>
    <w:rPr>
      <w:rFonts w:ascii="Times New Roman" w:eastAsia="Times New Roman" w:hAnsi="Times New Roman" w:cs="Times New Roman"/>
      <w:bCs/>
      <w:color w:val="002060"/>
      <w:sz w:val="24"/>
      <w:szCs w:val="24"/>
      <w:lang w:eastAsia="cs-CZ"/>
    </w:rPr>
  </w:style>
  <w:style w:type="paragraph" w:styleId="Nadpis4">
    <w:name w:val="heading 4"/>
    <w:basedOn w:val="Normln"/>
    <w:next w:val="Normln"/>
    <w:link w:val="Nadpis4Char"/>
    <w:uiPriority w:val="9"/>
    <w:semiHidden/>
    <w:unhideWhenUsed/>
    <w:qFormat/>
    <w:rsid w:val="00AD5407"/>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AD5407"/>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D5407"/>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D5407"/>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D5407"/>
    <w:pPr>
      <w:keepNext/>
      <w:keepLines/>
      <w:numPr>
        <w:ilvl w:val="7"/>
        <w:numId w:val="2"/>
      </w:numPr>
      <w:spacing w:before="20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AD5407"/>
    <w:pPr>
      <w:keepNext/>
      <w:keepLines/>
      <w:numPr>
        <w:ilvl w:val="8"/>
        <w:numId w:val="2"/>
      </w:numPr>
      <w:spacing w:before="20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Nadpis 1-Nadpis smlouvy Char,Základní kapitola Char,V_Head1 Char,Záhlaví 1 Char,0Überschrift 1 Char,1Überschrift 1 Char,2Überschrift 1 Char,3Überschrift 1 Char,4Überschrift 1 Char,5Überschrift 1 Char,6Überschrift 1 Char"/>
    <w:basedOn w:val="Standardnpsmoodstavce"/>
    <w:link w:val="Nadpis1"/>
    <w:uiPriority w:val="9"/>
    <w:rsid w:val="009C5AC9"/>
    <w:rPr>
      <w:rFonts w:ascii="Times New Roman" w:eastAsia="Times New Roman" w:hAnsi="Times New Roman" w:cs="Arial"/>
      <w:b/>
      <w:bCs/>
      <w:color w:val="000066"/>
      <w:kern w:val="32"/>
      <w:sz w:val="28"/>
      <w:szCs w:val="28"/>
    </w:rPr>
  </w:style>
  <w:style w:type="character" w:customStyle="1" w:styleId="Nadpis2Char">
    <w:name w:val="Nadpis 2 Char"/>
    <w:basedOn w:val="Standardnpsmoodstavce"/>
    <w:link w:val="Nadpis2"/>
    <w:rsid w:val="009C5AC9"/>
    <w:rPr>
      <w:rFonts w:ascii="Times New Roman" w:eastAsia="Times New Roman" w:hAnsi="Times New Roman" w:cs="Arial"/>
      <w:b/>
      <w:bCs/>
      <w:iCs/>
      <w:color w:val="000066"/>
      <w:sz w:val="24"/>
      <w:szCs w:val="28"/>
    </w:rPr>
  </w:style>
  <w:style w:type="character" w:customStyle="1" w:styleId="Nadpis3Char">
    <w:name w:val="Nadpis 3 Char"/>
    <w:basedOn w:val="Standardnpsmoodstavce"/>
    <w:link w:val="Nadpis3"/>
    <w:uiPriority w:val="9"/>
    <w:rsid w:val="009C5AC9"/>
    <w:rPr>
      <w:rFonts w:ascii="Times New Roman" w:eastAsia="Times New Roman" w:hAnsi="Times New Roman" w:cs="Times New Roman"/>
      <w:bCs/>
      <w:color w:val="002060"/>
      <w:sz w:val="24"/>
      <w:szCs w:val="24"/>
      <w:lang w:eastAsia="cs-CZ"/>
    </w:rPr>
  </w:style>
  <w:style w:type="character" w:customStyle="1" w:styleId="Nadpis4Char">
    <w:name w:val="Nadpis 4 Char"/>
    <w:basedOn w:val="Standardnpsmoodstavce"/>
    <w:link w:val="Nadpis4"/>
    <w:uiPriority w:val="9"/>
    <w:semiHidden/>
    <w:rsid w:val="00AD5407"/>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AD5407"/>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AD5407"/>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AD5407"/>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AD5407"/>
    <w:rPr>
      <w:rFonts w:asciiTheme="majorHAnsi" w:eastAsiaTheme="majorEastAsia" w:hAnsiTheme="majorHAnsi" w:cstheme="majorBidi"/>
      <w:color w:val="404040" w:themeColor="text1" w:themeTint="BF"/>
      <w:szCs w:val="20"/>
    </w:rPr>
  </w:style>
  <w:style w:type="character" w:customStyle="1" w:styleId="Nadpis9Char">
    <w:name w:val="Nadpis 9 Char"/>
    <w:basedOn w:val="Standardnpsmoodstavce"/>
    <w:link w:val="Nadpis9"/>
    <w:uiPriority w:val="9"/>
    <w:semiHidden/>
    <w:rsid w:val="00AD5407"/>
    <w:rPr>
      <w:rFonts w:asciiTheme="majorHAnsi" w:eastAsiaTheme="majorEastAsia" w:hAnsiTheme="majorHAnsi" w:cstheme="majorBidi"/>
      <w:i/>
      <w:iCs/>
      <w:color w:val="404040" w:themeColor="text1" w:themeTint="BF"/>
      <w:szCs w:val="20"/>
    </w:rPr>
  </w:style>
  <w:style w:type="character" w:styleId="Hypertextovodkaz">
    <w:name w:val="Hyperlink"/>
    <w:basedOn w:val="Standardnpsmoodstavce"/>
    <w:uiPriority w:val="99"/>
    <w:rsid w:val="004C617B"/>
    <w:rPr>
      <w:color w:val="0000FF"/>
      <w:u w:val="single"/>
    </w:rPr>
  </w:style>
  <w:style w:type="paragraph" w:styleId="Odstavecseseznamem">
    <w:name w:val="List Paragraph"/>
    <w:basedOn w:val="Normln"/>
    <w:link w:val="OdstavecseseznamemChar"/>
    <w:uiPriority w:val="34"/>
    <w:qFormat/>
    <w:rsid w:val="00065FC1"/>
    <w:pPr>
      <w:ind w:left="720"/>
      <w:contextualSpacing/>
      <w:jc w:val="left"/>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A4B4B"/>
    <w:rPr>
      <w:rFonts w:cs="Tahoma"/>
      <w:sz w:val="16"/>
      <w:szCs w:val="16"/>
    </w:rPr>
  </w:style>
  <w:style w:type="character" w:customStyle="1" w:styleId="TextbublinyChar">
    <w:name w:val="Text bubliny Char"/>
    <w:basedOn w:val="Standardnpsmoodstavce"/>
    <w:link w:val="Textbubliny"/>
    <w:uiPriority w:val="99"/>
    <w:semiHidden/>
    <w:rsid w:val="001A4B4B"/>
    <w:rPr>
      <w:rFonts w:cs="Tahoma"/>
      <w:sz w:val="16"/>
      <w:szCs w:val="16"/>
    </w:rPr>
  </w:style>
  <w:style w:type="table" w:styleId="Mkatabulky">
    <w:name w:val="Table Grid"/>
    <w:basedOn w:val="Normlntabulka"/>
    <w:uiPriority w:val="59"/>
    <w:rsid w:val="008862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Základní text Char Char Char Char Char Char"/>
    <w:basedOn w:val="Normln"/>
    <w:link w:val="ZkladntextChar"/>
    <w:rsid w:val="00413669"/>
    <w:pPr>
      <w:jc w:val="left"/>
    </w:pPr>
    <w:rPr>
      <w:rFonts w:ascii="Verdana" w:eastAsia="Times New Roman" w:hAnsi="Verdana" w:cs="Arial"/>
      <w:sz w:val="22"/>
      <w:lang w:eastAsia="cs-CZ"/>
    </w:rPr>
  </w:style>
  <w:style w:type="character" w:customStyle="1" w:styleId="ZkladntextChar">
    <w:name w:val="Základní text Char"/>
    <w:aliases w:val="Základní text Char Char Char Char Char Char Char"/>
    <w:basedOn w:val="Standardnpsmoodstavce"/>
    <w:link w:val="Zkladntext"/>
    <w:rsid w:val="00413669"/>
    <w:rPr>
      <w:rFonts w:ascii="Verdana" w:eastAsia="Times New Roman" w:hAnsi="Verdana" w:cs="Arial"/>
      <w:sz w:val="22"/>
      <w:lang w:eastAsia="cs-CZ"/>
    </w:rPr>
  </w:style>
  <w:style w:type="paragraph" w:customStyle="1" w:styleId="Default">
    <w:name w:val="Default"/>
    <w:rsid w:val="00D65DBB"/>
    <w:pPr>
      <w:autoSpaceDE w:val="0"/>
      <w:autoSpaceDN w:val="0"/>
      <w:adjustRightInd w:val="0"/>
      <w:jc w:val="left"/>
    </w:pPr>
    <w:rPr>
      <w:rFonts w:ascii="Arial" w:hAnsi="Arial" w:cs="Arial"/>
      <w:color w:val="000000"/>
      <w:sz w:val="24"/>
      <w:szCs w:val="24"/>
    </w:rPr>
  </w:style>
  <w:style w:type="paragraph" w:customStyle="1" w:styleId="StylArial11bZarovnatdoblokuVlevo063cm">
    <w:name w:val="Styl Arial 11 b. Zarovnat do bloku Vlevo:  063 cm"/>
    <w:basedOn w:val="Normln"/>
    <w:rsid w:val="00AD5407"/>
    <w:pPr>
      <w:spacing w:before="120"/>
      <w:ind w:left="357"/>
    </w:pPr>
    <w:rPr>
      <w:rFonts w:ascii="Arial" w:eastAsia="Times New Roman" w:hAnsi="Arial" w:cs="Times New Roman"/>
      <w:sz w:val="22"/>
      <w:szCs w:val="20"/>
      <w:lang w:eastAsia="cs-CZ"/>
    </w:rPr>
  </w:style>
  <w:style w:type="character" w:styleId="Siln">
    <w:name w:val="Strong"/>
    <w:basedOn w:val="Standardnpsmoodstavce"/>
    <w:uiPriority w:val="22"/>
    <w:qFormat/>
    <w:rsid w:val="00AD5407"/>
    <w:rPr>
      <w:b/>
      <w:bCs/>
    </w:rPr>
  </w:style>
  <w:style w:type="paragraph" w:customStyle="1" w:styleId="Normln1">
    <w:name w:val="Normální1"/>
    <w:basedOn w:val="Normln"/>
    <w:rsid w:val="00AD5407"/>
    <w:pPr>
      <w:spacing w:before="100" w:beforeAutospacing="1" w:after="100" w:afterAutospacing="1"/>
      <w:jc w:val="left"/>
    </w:pPr>
    <w:rPr>
      <w:rFonts w:ascii="Times New Roman" w:eastAsia="Times New Roman" w:hAnsi="Times New Roman" w:cs="Times New Roman"/>
      <w:sz w:val="24"/>
      <w:szCs w:val="24"/>
      <w:lang w:eastAsia="cs-CZ"/>
    </w:rPr>
  </w:style>
  <w:style w:type="paragraph" w:customStyle="1" w:styleId="normln0">
    <w:name w:val="normální"/>
    <w:basedOn w:val="Normln"/>
    <w:rsid w:val="00AD5407"/>
    <w:pPr>
      <w:tabs>
        <w:tab w:val="left" w:pos="0"/>
      </w:tabs>
      <w:overflowPunct w:val="0"/>
      <w:autoSpaceDE w:val="0"/>
      <w:autoSpaceDN w:val="0"/>
      <w:adjustRightInd w:val="0"/>
      <w:spacing w:before="120"/>
      <w:textAlignment w:val="baseline"/>
    </w:pPr>
    <w:rPr>
      <w:rFonts w:ascii="Arial" w:eastAsia="Times New Roman" w:hAnsi="Arial" w:cs="Times New Roman"/>
      <w:bCs/>
      <w:sz w:val="22"/>
      <w:szCs w:val="20"/>
      <w:lang w:eastAsia="cs-CZ"/>
    </w:rPr>
  </w:style>
  <w:style w:type="character" w:customStyle="1" w:styleId="TextvysvtlivekChar">
    <w:name w:val="Text vysvětlivek Char"/>
    <w:basedOn w:val="Standardnpsmoodstavce"/>
    <w:link w:val="Textvysvtlivek"/>
    <w:uiPriority w:val="99"/>
    <w:semiHidden/>
    <w:rsid w:val="00D014DA"/>
    <w:rPr>
      <w:szCs w:val="20"/>
    </w:rPr>
  </w:style>
  <w:style w:type="paragraph" w:styleId="Textvysvtlivek">
    <w:name w:val="endnote text"/>
    <w:basedOn w:val="Normln"/>
    <w:link w:val="TextvysvtlivekChar"/>
    <w:uiPriority w:val="99"/>
    <w:semiHidden/>
    <w:unhideWhenUsed/>
    <w:rsid w:val="00D014DA"/>
    <w:rPr>
      <w:szCs w:val="20"/>
    </w:rPr>
  </w:style>
  <w:style w:type="character" w:customStyle="1" w:styleId="TextpoznpodarouChar">
    <w:name w:val="Text pozn. pod čarou Char"/>
    <w:basedOn w:val="Standardnpsmoodstavce"/>
    <w:link w:val="Textpoznpodarou"/>
    <w:uiPriority w:val="99"/>
    <w:semiHidden/>
    <w:rsid w:val="00D014DA"/>
    <w:rPr>
      <w:szCs w:val="20"/>
    </w:rPr>
  </w:style>
  <w:style w:type="paragraph" w:styleId="Textpoznpodarou">
    <w:name w:val="footnote text"/>
    <w:basedOn w:val="Normln"/>
    <w:link w:val="TextpoznpodarouChar"/>
    <w:uiPriority w:val="99"/>
    <w:semiHidden/>
    <w:unhideWhenUsed/>
    <w:rsid w:val="00D014DA"/>
    <w:rPr>
      <w:szCs w:val="20"/>
    </w:rPr>
  </w:style>
  <w:style w:type="character" w:styleId="Znakapoznpodarou">
    <w:name w:val="footnote reference"/>
    <w:aliases w:val="PGI Fußnote Ziffer,BVI fnr,Footnote symbol,Footnote Reference Number,Footnote Reference Superscript,Appel note de bas de p,Appel note de bas de page,Légende,Char Car Car Car Car,Voetnootverwijzing,Légende;Char Car Car Car Car"/>
    <w:basedOn w:val="Standardnpsmoodstavce"/>
    <w:rsid w:val="0028641A"/>
    <w:rPr>
      <w:vertAlign w:val="superscript"/>
    </w:rPr>
  </w:style>
  <w:style w:type="paragraph" w:customStyle="1" w:styleId="beznytext">
    <w:name w:val="bezny_text"/>
    <w:basedOn w:val="Normln"/>
    <w:rsid w:val="0062080C"/>
    <w:pPr>
      <w:spacing w:before="100" w:beforeAutospacing="1" w:after="100" w:afterAutospacing="1"/>
      <w:jc w:val="left"/>
    </w:pPr>
    <w:rPr>
      <w:rFonts w:ascii="Times New Roman" w:eastAsia="Times New Roman" w:hAnsi="Times New Roman" w:cs="Times New Roman"/>
      <w:sz w:val="24"/>
      <w:szCs w:val="24"/>
      <w:lang w:eastAsia="cs-CZ"/>
    </w:rPr>
  </w:style>
  <w:style w:type="paragraph" w:styleId="Titulek">
    <w:name w:val="caption"/>
    <w:basedOn w:val="Normln"/>
    <w:next w:val="Normln"/>
    <w:unhideWhenUsed/>
    <w:qFormat/>
    <w:rsid w:val="005354FD"/>
    <w:pPr>
      <w:spacing w:after="200"/>
    </w:pPr>
    <w:rPr>
      <w:b/>
      <w:bCs/>
      <w:color w:val="4F81BD" w:themeColor="accent1"/>
      <w:sz w:val="18"/>
      <w:szCs w:val="18"/>
    </w:rPr>
  </w:style>
  <w:style w:type="paragraph" w:styleId="Nadpisobsahu">
    <w:name w:val="TOC Heading"/>
    <w:basedOn w:val="Nadpis1"/>
    <w:next w:val="Normln"/>
    <w:uiPriority w:val="39"/>
    <w:semiHidden/>
    <w:unhideWhenUsed/>
    <w:qFormat/>
    <w:rsid w:val="00B50F34"/>
    <w:pPr>
      <w:keepLines/>
      <w:pageBreakBefore w:val="0"/>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rPr>
  </w:style>
  <w:style w:type="paragraph" w:styleId="Obsah1">
    <w:name w:val="toc 1"/>
    <w:basedOn w:val="Normln"/>
    <w:next w:val="Normln"/>
    <w:autoRedefine/>
    <w:uiPriority w:val="39"/>
    <w:unhideWhenUsed/>
    <w:rsid w:val="00B50F34"/>
    <w:pPr>
      <w:spacing w:after="100"/>
    </w:pPr>
  </w:style>
  <w:style w:type="paragraph" w:styleId="Obsah2">
    <w:name w:val="toc 2"/>
    <w:basedOn w:val="Normln"/>
    <w:next w:val="Normln"/>
    <w:autoRedefine/>
    <w:uiPriority w:val="39"/>
    <w:unhideWhenUsed/>
    <w:rsid w:val="00B50F34"/>
    <w:pPr>
      <w:spacing w:after="100"/>
      <w:ind w:left="200"/>
    </w:pPr>
  </w:style>
  <w:style w:type="paragraph" w:styleId="Obsah3">
    <w:name w:val="toc 3"/>
    <w:basedOn w:val="Normln"/>
    <w:next w:val="Normln"/>
    <w:autoRedefine/>
    <w:uiPriority w:val="39"/>
    <w:unhideWhenUsed/>
    <w:rsid w:val="00B50F34"/>
    <w:pPr>
      <w:spacing w:after="100"/>
      <w:ind w:left="400"/>
    </w:pPr>
  </w:style>
  <w:style w:type="paragraph" w:styleId="Zhlav">
    <w:name w:val="header"/>
    <w:basedOn w:val="Normln"/>
    <w:link w:val="ZhlavChar"/>
    <w:uiPriority w:val="99"/>
    <w:semiHidden/>
    <w:unhideWhenUsed/>
    <w:rsid w:val="00B50F34"/>
    <w:pPr>
      <w:tabs>
        <w:tab w:val="center" w:pos="4536"/>
        <w:tab w:val="right" w:pos="9072"/>
      </w:tabs>
    </w:pPr>
  </w:style>
  <w:style w:type="character" w:customStyle="1" w:styleId="ZhlavChar">
    <w:name w:val="Záhlaví Char"/>
    <w:basedOn w:val="Standardnpsmoodstavce"/>
    <w:link w:val="Zhlav"/>
    <w:uiPriority w:val="99"/>
    <w:semiHidden/>
    <w:rsid w:val="00B50F34"/>
  </w:style>
  <w:style w:type="paragraph" w:styleId="Zpat">
    <w:name w:val="footer"/>
    <w:basedOn w:val="Normln"/>
    <w:link w:val="ZpatChar"/>
    <w:uiPriority w:val="99"/>
    <w:unhideWhenUsed/>
    <w:rsid w:val="00B50F34"/>
    <w:pPr>
      <w:tabs>
        <w:tab w:val="center" w:pos="4536"/>
        <w:tab w:val="right" w:pos="9072"/>
      </w:tabs>
    </w:pPr>
  </w:style>
  <w:style w:type="character" w:customStyle="1" w:styleId="ZpatChar">
    <w:name w:val="Zápatí Char"/>
    <w:basedOn w:val="Standardnpsmoodstavce"/>
    <w:link w:val="Zpat"/>
    <w:uiPriority w:val="99"/>
    <w:rsid w:val="00B50F34"/>
  </w:style>
  <w:style w:type="character" w:customStyle="1" w:styleId="OdstavecseseznamemChar">
    <w:name w:val="Odstavec se seznamem Char"/>
    <w:link w:val="Odstavecseseznamem"/>
    <w:uiPriority w:val="99"/>
    <w:locked/>
    <w:rsid w:val="00011FD3"/>
    <w:rPr>
      <w:rFonts w:ascii="Times New Roman" w:eastAsia="Times New Roman" w:hAnsi="Times New Roman" w:cs="Times New Roman"/>
      <w:sz w:val="24"/>
      <w:szCs w:val="24"/>
      <w:lang w:eastAsia="cs-CZ"/>
    </w:rPr>
  </w:style>
  <w:style w:type="paragraph" w:customStyle="1" w:styleId="DAVA">
    <w:name w:val="DAVA"/>
    <w:basedOn w:val="Normln"/>
    <w:link w:val="DAVAChar"/>
    <w:qFormat/>
    <w:rsid w:val="00093792"/>
    <w:pPr>
      <w:spacing w:before="120"/>
    </w:pPr>
    <w:rPr>
      <w:rFonts w:ascii="Times New Roman" w:eastAsia="Times New Roman" w:hAnsi="Times New Roman" w:cs="Times New Roman"/>
      <w:sz w:val="24"/>
      <w:szCs w:val="24"/>
      <w:lang w:eastAsia="cs-CZ"/>
    </w:rPr>
  </w:style>
  <w:style w:type="character" w:customStyle="1" w:styleId="DAVAChar">
    <w:name w:val="DAVA Char"/>
    <w:basedOn w:val="Standardnpsmoodstavce"/>
    <w:link w:val="DAVA"/>
    <w:rsid w:val="00093792"/>
    <w:rPr>
      <w:rFonts w:ascii="Times New Roman" w:eastAsia="Times New Roman" w:hAnsi="Times New Roman" w:cs="Times New Roman"/>
      <w:sz w:val="24"/>
      <w:szCs w:val="24"/>
      <w:lang w:eastAsia="cs-CZ"/>
    </w:rPr>
  </w:style>
  <w:style w:type="paragraph" w:styleId="Textkomente">
    <w:name w:val="annotation text"/>
    <w:basedOn w:val="Normln"/>
    <w:link w:val="TextkomenteChar"/>
    <w:unhideWhenUsed/>
    <w:rsid w:val="00F04DF2"/>
    <w:pPr>
      <w:spacing w:after="200"/>
      <w:jc w:val="left"/>
    </w:pPr>
    <w:rPr>
      <w:rFonts w:asciiTheme="minorHAnsi" w:eastAsiaTheme="minorEastAsia" w:hAnsiTheme="minorHAnsi"/>
      <w:szCs w:val="20"/>
      <w:lang w:eastAsia="cs-CZ"/>
    </w:rPr>
  </w:style>
  <w:style w:type="character" w:customStyle="1" w:styleId="TextkomenteChar">
    <w:name w:val="Text komentáře Char"/>
    <w:basedOn w:val="Standardnpsmoodstavce"/>
    <w:link w:val="Textkomente"/>
    <w:rsid w:val="00F04DF2"/>
    <w:rPr>
      <w:rFonts w:asciiTheme="minorHAnsi" w:eastAsiaTheme="minorEastAsia" w:hAnsiTheme="minorHAnsi"/>
      <w:szCs w:val="20"/>
      <w:lang w:eastAsia="cs-CZ"/>
    </w:rPr>
  </w:style>
  <w:style w:type="character" w:styleId="Odkaznakoment">
    <w:name w:val="annotation reference"/>
    <w:basedOn w:val="Standardnpsmoodstavce"/>
    <w:unhideWhenUsed/>
    <w:rsid w:val="00490C91"/>
    <w:rPr>
      <w:sz w:val="16"/>
      <w:szCs w:val="16"/>
    </w:rPr>
  </w:style>
  <w:style w:type="paragraph" w:customStyle="1" w:styleId="TextNOK">
    <w:name w:val="Text NOK"/>
    <w:basedOn w:val="Normln"/>
    <w:link w:val="TextNOKChar"/>
    <w:qFormat/>
    <w:rsid w:val="00902760"/>
    <w:pPr>
      <w:spacing w:after="120" w:line="288" w:lineRule="auto"/>
    </w:pPr>
    <w:rPr>
      <w:rFonts w:ascii="Arial" w:eastAsia="Times New Roman" w:hAnsi="Arial" w:cs="Times New Roman"/>
      <w:lang w:eastAsia="cs-CZ"/>
    </w:rPr>
  </w:style>
  <w:style w:type="character" w:customStyle="1" w:styleId="TextNOKChar">
    <w:name w:val="Text NOK Char"/>
    <w:basedOn w:val="Standardnpsmoodstavce"/>
    <w:link w:val="TextNOK"/>
    <w:rsid w:val="00902760"/>
    <w:rPr>
      <w:rFonts w:ascii="Arial" w:eastAsia="Times New Roman" w:hAnsi="Arial" w:cs="Times New Roman"/>
      <w:lang w:eastAsia="cs-CZ"/>
    </w:rPr>
  </w:style>
  <w:style w:type="paragraph" w:styleId="Pedmtkomente">
    <w:name w:val="annotation subject"/>
    <w:basedOn w:val="Textkomente"/>
    <w:next w:val="Textkomente"/>
    <w:link w:val="PedmtkomenteChar"/>
    <w:uiPriority w:val="99"/>
    <w:semiHidden/>
    <w:unhideWhenUsed/>
    <w:rsid w:val="00A72AE4"/>
    <w:pPr>
      <w:spacing w:after="0"/>
      <w:jc w:val="both"/>
    </w:pPr>
    <w:rPr>
      <w:rFonts w:ascii="Tahoma" w:eastAsiaTheme="minorHAnsi" w:hAnsi="Tahoma"/>
      <w:b/>
      <w:bCs/>
      <w:lang w:eastAsia="en-US"/>
    </w:rPr>
  </w:style>
  <w:style w:type="character" w:customStyle="1" w:styleId="PedmtkomenteChar">
    <w:name w:val="Předmět komentáře Char"/>
    <w:basedOn w:val="TextkomenteChar"/>
    <w:link w:val="Pedmtkomente"/>
    <w:uiPriority w:val="99"/>
    <w:semiHidden/>
    <w:rsid w:val="00A72AE4"/>
    <w:rPr>
      <w:rFonts w:asciiTheme="minorHAnsi" w:eastAsiaTheme="minorEastAsia" w:hAnsiTheme="minorHAnsi"/>
      <w:b/>
      <w:bCs/>
      <w:szCs w:val="20"/>
      <w:lang w:eastAsia="cs-CZ"/>
    </w:rPr>
  </w:style>
  <w:style w:type="paragraph" w:customStyle="1" w:styleId="NadpisNOK2">
    <w:name w:val="Nadpis NOK 2"/>
    <w:basedOn w:val="Nadpis2"/>
    <w:qFormat/>
    <w:rsid w:val="000C5703"/>
    <w:pPr>
      <w:numPr>
        <w:numId w:val="9"/>
      </w:numPr>
    </w:pPr>
    <w:rPr>
      <w:rFonts w:ascii="Arial Narrow" w:hAnsi="Arial Narrow" w:cs="Arial Narrow"/>
      <w:iCs w:val="0"/>
      <w:caps/>
      <w:color w:val="003366"/>
      <w:sz w:val="40"/>
      <w:szCs w:val="40"/>
      <w:lang w:eastAsia="cs-CZ"/>
    </w:rPr>
  </w:style>
  <w:style w:type="paragraph" w:customStyle="1" w:styleId="Standardntext">
    <w:name w:val="Standardní text"/>
    <w:basedOn w:val="Normln"/>
    <w:link w:val="StandardntextChar"/>
    <w:qFormat/>
    <w:rsid w:val="00CC53D7"/>
    <w:pPr>
      <w:overflowPunct w:val="0"/>
      <w:autoSpaceDE w:val="0"/>
      <w:autoSpaceDN w:val="0"/>
      <w:adjustRightInd w:val="0"/>
      <w:spacing w:after="240"/>
      <w:textAlignment w:val="baseline"/>
    </w:pPr>
    <w:rPr>
      <w:rFonts w:ascii="Calibri" w:eastAsia="Times New Roman" w:hAnsi="Calibri" w:cs="Calibri"/>
      <w:sz w:val="24"/>
      <w:szCs w:val="24"/>
      <w:lang w:eastAsia="cs-CZ"/>
    </w:rPr>
  </w:style>
  <w:style w:type="character" w:customStyle="1" w:styleId="StandardntextChar">
    <w:name w:val="Standardní text Char"/>
    <w:basedOn w:val="Standardnpsmoodstavce"/>
    <w:link w:val="Standardntext"/>
    <w:rsid w:val="00CC53D7"/>
    <w:rPr>
      <w:rFonts w:ascii="Calibri" w:eastAsia="Times New Roman" w:hAnsi="Calibri" w:cs="Calibri"/>
      <w:sz w:val="24"/>
      <w:szCs w:val="24"/>
      <w:lang w:eastAsia="cs-CZ"/>
    </w:rPr>
  </w:style>
  <w:style w:type="paragraph" w:customStyle="1" w:styleId="Specifickcl">
    <w:name w:val="Specifický cíl"/>
    <w:basedOn w:val="Nadpis4"/>
    <w:link w:val="SpecifickclChar"/>
    <w:qFormat/>
    <w:rsid w:val="00CF0A22"/>
    <w:pPr>
      <w:numPr>
        <w:ilvl w:val="0"/>
        <w:numId w:val="0"/>
      </w:numPr>
      <w:spacing w:before="360" w:after="120" w:line="276" w:lineRule="auto"/>
      <w:ind w:left="862" w:hanging="862"/>
    </w:pPr>
    <w:rPr>
      <w:rFonts w:asciiTheme="minorHAnsi" w:eastAsia="Times New Roman" w:hAnsiTheme="minorHAnsi" w:cs="Times New Roman"/>
      <w:i w:val="0"/>
      <w:color w:val="548DD4" w:themeColor="text2" w:themeTint="99"/>
      <w:sz w:val="24"/>
      <w:szCs w:val="20"/>
      <w:lang w:eastAsia="cs-CZ"/>
    </w:rPr>
  </w:style>
  <w:style w:type="character" w:customStyle="1" w:styleId="SpecifickclChar">
    <w:name w:val="Specifický cíl Char"/>
    <w:basedOn w:val="Nadpis4Char"/>
    <w:link w:val="Specifickcl"/>
    <w:rsid w:val="00CF0A22"/>
    <w:rPr>
      <w:rFonts w:asciiTheme="minorHAnsi" w:eastAsia="Times New Roman" w:hAnsiTheme="minorHAnsi" w:cs="Times New Roman"/>
      <w:b/>
      <w:bCs/>
      <w:i/>
      <w:iCs/>
      <w:color w:val="548DD4" w:themeColor="text2" w:themeTint="99"/>
      <w:sz w:val="24"/>
      <w:szCs w:val="20"/>
      <w:lang w:eastAsia="cs-CZ"/>
    </w:rPr>
  </w:style>
  <w:style w:type="character" w:styleId="Zvraznn">
    <w:name w:val="Emphasis"/>
    <w:basedOn w:val="Standardnpsmoodstavce"/>
    <w:uiPriority w:val="20"/>
    <w:qFormat/>
    <w:rsid w:val="00550998"/>
    <w:rPr>
      <w:i/>
      <w:iCs/>
    </w:rPr>
  </w:style>
  <w:style w:type="character" w:customStyle="1" w:styleId="st">
    <w:name w:val="st"/>
    <w:basedOn w:val="Standardnpsmoodstavce"/>
    <w:rsid w:val="00DF7DED"/>
  </w:style>
  <w:style w:type="paragraph" w:customStyle="1" w:styleId="Modrnadpis">
    <w:name w:val="Modrý nadpis"/>
    <w:basedOn w:val="Nadpis4"/>
    <w:link w:val="ModrnadpisChar"/>
    <w:qFormat/>
    <w:rsid w:val="00705E4A"/>
    <w:pPr>
      <w:numPr>
        <w:ilvl w:val="0"/>
        <w:numId w:val="0"/>
      </w:numPr>
      <w:spacing w:before="240" w:after="120" w:line="276" w:lineRule="auto"/>
      <w:ind w:left="862" w:hanging="862"/>
    </w:pPr>
    <w:rPr>
      <w:rFonts w:ascii="Times New Roman" w:eastAsia="Times New Roman" w:hAnsi="Times New Roman" w:cs="Times New Roman"/>
      <w:i w:val="0"/>
      <w:color w:val="548DD4"/>
      <w:sz w:val="24"/>
      <w:szCs w:val="20"/>
      <w:lang w:eastAsia="cs-CZ"/>
    </w:rPr>
  </w:style>
  <w:style w:type="character" w:customStyle="1" w:styleId="ModrnadpisChar">
    <w:name w:val="Modrý nadpis Char"/>
    <w:link w:val="Modrnadpis"/>
    <w:rsid w:val="00705E4A"/>
    <w:rPr>
      <w:rFonts w:ascii="Times New Roman" w:eastAsia="Times New Roman" w:hAnsi="Times New Roman" w:cs="Times New Roman"/>
      <w:b/>
      <w:bCs/>
      <w:iCs/>
      <w:color w:val="548DD4"/>
      <w:sz w:val="24"/>
      <w:szCs w:val="20"/>
      <w:lang w:eastAsia="cs-CZ"/>
    </w:rPr>
  </w:style>
  <w:style w:type="paragraph" w:customStyle="1" w:styleId="Poznmkapodarou">
    <w:name w:val="Poznámka pod čarou"/>
    <w:basedOn w:val="Default"/>
    <w:link w:val="PoznmkapodarouChar"/>
    <w:qFormat/>
    <w:rsid w:val="00C739A4"/>
    <w:pPr>
      <w:tabs>
        <w:tab w:val="left" w:pos="708"/>
      </w:tabs>
      <w:suppressAutoHyphens/>
      <w:overflowPunct w:val="0"/>
      <w:autoSpaceDN/>
      <w:adjustRightInd/>
      <w:spacing w:after="60" w:line="200" w:lineRule="atLeast"/>
      <w:jc w:val="both"/>
      <w:textAlignment w:val="baseline"/>
    </w:pPr>
    <w:rPr>
      <w:rFonts w:ascii="Times New Roman" w:eastAsia="Times New Roman" w:hAnsi="Times New Roman" w:cs="Calibri"/>
      <w:color w:val="auto"/>
      <w:sz w:val="20"/>
      <w:szCs w:val="20"/>
      <w:lang w:eastAsia="cs-CZ"/>
    </w:rPr>
  </w:style>
  <w:style w:type="character" w:customStyle="1" w:styleId="PoznmkapodarouChar">
    <w:name w:val="Poznámka pod čarou Char"/>
    <w:link w:val="Poznmkapodarou"/>
    <w:rsid w:val="00C739A4"/>
    <w:rPr>
      <w:rFonts w:ascii="Times New Roman" w:eastAsia="Times New Roman" w:hAnsi="Times New Roman" w:cs="Calibri"/>
      <w:szCs w:val="20"/>
      <w:lang w:eastAsia="cs-CZ"/>
    </w:rPr>
  </w:style>
  <w:style w:type="paragraph" w:customStyle="1" w:styleId="TextMetodika">
    <w:name w:val="Text Metodika"/>
    <w:basedOn w:val="Normln"/>
    <w:link w:val="TextMetodikaChar"/>
    <w:uiPriority w:val="99"/>
    <w:rsid w:val="00FC5617"/>
    <w:pPr>
      <w:spacing w:before="120" w:after="120" w:line="312" w:lineRule="auto"/>
    </w:pPr>
    <w:rPr>
      <w:rFonts w:ascii="Arial" w:eastAsia="SimSun" w:hAnsi="Arial" w:cs="Arial"/>
      <w:szCs w:val="20"/>
      <w:lang w:eastAsia="cs-CZ"/>
    </w:rPr>
  </w:style>
  <w:style w:type="character" w:customStyle="1" w:styleId="TextMetodikaChar">
    <w:name w:val="Text Metodika Char"/>
    <w:basedOn w:val="Standardnpsmoodstavce"/>
    <w:link w:val="TextMetodika"/>
    <w:uiPriority w:val="99"/>
    <w:locked/>
    <w:rsid w:val="00FC5617"/>
    <w:rPr>
      <w:rFonts w:ascii="Arial" w:eastAsia="SimSun" w:hAnsi="Arial" w:cs="Arial"/>
      <w:szCs w:val="20"/>
      <w:lang w:eastAsia="cs-CZ"/>
    </w:rPr>
  </w:style>
  <w:style w:type="paragraph" w:customStyle="1" w:styleId="Char4CharCharCharCharCharCharCharCharChar">
    <w:name w:val="Char4 Char Char Char Char Char Char Char Char Char"/>
    <w:basedOn w:val="Normln"/>
    <w:rsid w:val="00E246AD"/>
    <w:pPr>
      <w:spacing w:after="160" w:line="240" w:lineRule="exact"/>
      <w:jc w:val="left"/>
    </w:pPr>
    <w:rPr>
      <w:rFonts w:ascii="Times New Roman Bold" w:eastAsia="Times New Roman" w:hAnsi="Times New Roman Bold" w:cs="Times New Roman"/>
      <w:sz w:val="22"/>
      <w:szCs w:val="26"/>
      <w:lang w:val="sk-SK"/>
    </w:rPr>
  </w:style>
  <w:style w:type="paragraph" w:customStyle="1" w:styleId="Tabulka">
    <w:name w:val="Tabulka"/>
    <w:basedOn w:val="Normln"/>
    <w:link w:val="TabulkaChar"/>
    <w:qFormat/>
    <w:rsid w:val="006D3B27"/>
    <w:pPr>
      <w:autoSpaceDE w:val="0"/>
      <w:autoSpaceDN w:val="0"/>
      <w:adjustRightInd w:val="0"/>
      <w:spacing w:before="60" w:after="60"/>
      <w:jc w:val="center"/>
    </w:pPr>
    <w:rPr>
      <w:rFonts w:ascii="Times New Roman" w:eastAsia="Times New Roman" w:hAnsi="Times New Roman" w:cs="Calibri"/>
      <w:sz w:val="24"/>
      <w:lang w:eastAsia="cs-CZ"/>
    </w:rPr>
  </w:style>
  <w:style w:type="character" w:customStyle="1" w:styleId="TabulkaChar">
    <w:name w:val="Tabulka Char"/>
    <w:link w:val="Tabulka"/>
    <w:rsid w:val="006D3B27"/>
    <w:rPr>
      <w:rFonts w:ascii="Times New Roman" w:eastAsia="Times New Roman" w:hAnsi="Times New Roman" w:cs="Calibri"/>
      <w:sz w:val="24"/>
      <w:lang w:eastAsia="cs-CZ"/>
    </w:rPr>
  </w:style>
  <w:style w:type="paragraph" w:customStyle="1" w:styleId="CM1">
    <w:name w:val="CM1"/>
    <w:basedOn w:val="Default"/>
    <w:next w:val="Default"/>
    <w:uiPriority w:val="99"/>
    <w:rsid w:val="00074462"/>
    <w:rPr>
      <w:rFonts w:ascii="EUAlbertina" w:hAnsi="EUAlbertina" w:cstheme="minorBidi"/>
      <w:color w:val="auto"/>
    </w:rPr>
  </w:style>
  <w:style w:type="paragraph" w:customStyle="1" w:styleId="CM3">
    <w:name w:val="CM3"/>
    <w:basedOn w:val="Default"/>
    <w:next w:val="Default"/>
    <w:uiPriority w:val="99"/>
    <w:rsid w:val="00074462"/>
    <w:rPr>
      <w:rFonts w:ascii="EUAlbertina" w:hAnsi="EUAlbertina" w:cstheme="minorBidi"/>
      <w:color w:val="auto"/>
    </w:rPr>
  </w:style>
  <w:style w:type="paragraph" w:customStyle="1" w:styleId="Odstavecseseznamem1">
    <w:name w:val="Odstavec se seznamem1"/>
    <w:basedOn w:val="Normln"/>
    <w:link w:val="ListParagraphChar"/>
    <w:rsid w:val="00026C23"/>
    <w:pPr>
      <w:spacing w:after="120" w:line="276" w:lineRule="auto"/>
      <w:ind w:left="720"/>
    </w:pPr>
    <w:rPr>
      <w:rFonts w:ascii="Calibri" w:eastAsia="Times New Roman" w:hAnsi="Calibri" w:cs="Times New Roman"/>
      <w:szCs w:val="20"/>
      <w:lang w:val="en-GB" w:eastAsia="cs-CZ"/>
    </w:rPr>
  </w:style>
  <w:style w:type="character" w:customStyle="1" w:styleId="ListParagraphChar">
    <w:name w:val="List Paragraph Char"/>
    <w:link w:val="Odstavecseseznamem1"/>
    <w:rsid w:val="00026C23"/>
    <w:rPr>
      <w:rFonts w:ascii="Calibri" w:eastAsia="Times New Roman" w:hAnsi="Calibri" w:cs="Times New Roman"/>
      <w:szCs w:val="20"/>
      <w:lang w:val="en-GB" w:eastAsia="cs-CZ"/>
    </w:rPr>
  </w:style>
  <w:style w:type="character" w:customStyle="1" w:styleId="hps">
    <w:name w:val="hps"/>
    <w:basedOn w:val="Standardnpsmoodstavce"/>
    <w:rsid w:val="00D52955"/>
  </w:style>
  <w:style w:type="paragraph" w:styleId="Normlnweb">
    <w:name w:val="Normal (Web)"/>
    <w:basedOn w:val="Normln"/>
    <w:uiPriority w:val="99"/>
    <w:semiHidden/>
    <w:unhideWhenUsed/>
    <w:rsid w:val="00F34F39"/>
    <w:pPr>
      <w:spacing w:before="100" w:beforeAutospacing="1" w:after="100" w:afterAutospacing="1"/>
      <w:jc w:val="left"/>
    </w:pPr>
    <w:rPr>
      <w:rFonts w:ascii="Times New Roman" w:eastAsiaTheme="minorEastAsia"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105078707">
      <w:bodyDiv w:val="1"/>
      <w:marLeft w:val="0"/>
      <w:marRight w:val="0"/>
      <w:marTop w:val="0"/>
      <w:marBottom w:val="0"/>
      <w:divBdr>
        <w:top w:val="none" w:sz="0" w:space="0" w:color="auto"/>
        <w:left w:val="none" w:sz="0" w:space="0" w:color="auto"/>
        <w:bottom w:val="none" w:sz="0" w:space="0" w:color="auto"/>
        <w:right w:val="none" w:sz="0" w:space="0" w:color="auto"/>
      </w:divBdr>
    </w:div>
    <w:div w:id="129396947">
      <w:bodyDiv w:val="1"/>
      <w:marLeft w:val="0"/>
      <w:marRight w:val="0"/>
      <w:marTop w:val="0"/>
      <w:marBottom w:val="0"/>
      <w:divBdr>
        <w:top w:val="none" w:sz="0" w:space="0" w:color="auto"/>
        <w:left w:val="none" w:sz="0" w:space="0" w:color="auto"/>
        <w:bottom w:val="none" w:sz="0" w:space="0" w:color="auto"/>
        <w:right w:val="none" w:sz="0" w:space="0" w:color="auto"/>
      </w:divBdr>
    </w:div>
    <w:div w:id="165293419">
      <w:bodyDiv w:val="1"/>
      <w:marLeft w:val="0"/>
      <w:marRight w:val="0"/>
      <w:marTop w:val="0"/>
      <w:marBottom w:val="0"/>
      <w:divBdr>
        <w:top w:val="none" w:sz="0" w:space="0" w:color="auto"/>
        <w:left w:val="none" w:sz="0" w:space="0" w:color="auto"/>
        <w:bottom w:val="none" w:sz="0" w:space="0" w:color="auto"/>
        <w:right w:val="none" w:sz="0" w:space="0" w:color="auto"/>
      </w:divBdr>
    </w:div>
    <w:div w:id="208732696">
      <w:bodyDiv w:val="1"/>
      <w:marLeft w:val="0"/>
      <w:marRight w:val="0"/>
      <w:marTop w:val="0"/>
      <w:marBottom w:val="0"/>
      <w:divBdr>
        <w:top w:val="none" w:sz="0" w:space="0" w:color="auto"/>
        <w:left w:val="none" w:sz="0" w:space="0" w:color="auto"/>
        <w:bottom w:val="none" w:sz="0" w:space="0" w:color="auto"/>
        <w:right w:val="none" w:sz="0" w:space="0" w:color="auto"/>
      </w:divBdr>
    </w:div>
    <w:div w:id="220362551">
      <w:bodyDiv w:val="1"/>
      <w:marLeft w:val="0"/>
      <w:marRight w:val="0"/>
      <w:marTop w:val="0"/>
      <w:marBottom w:val="0"/>
      <w:divBdr>
        <w:top w:val="none" w:sz="0" w:space="0" w:color="auto"/>
        <w:left w:val="none" w:sz="0" w:space="0" w:color="auto"/>
        <w:bottom w:val="none" w:sz="0" w:space="0" w:color="auto"/>
        <w:right w:val="none" w:sz="0" w:space="0" w:color="auto"/>
      </w:divBdr>
    </w:div>
    <w:div w:id="239218650">
      <w:bodyDiv w:val="1"/>
      <w:marLeft w:val="0"/>
      <w:marRight w:val="0"/>
      <w:marTop w:val="0"/>
      <w:marBottom w:val="0"/>
      <w:divBdr>
        <w:top w:val="none" w:sz="0" w:space="0" w:color="auto"/>
        <w:left w:val="none" w:sz="0" w:space="0" w:color="auto"/>
        <w:bottom w:val="none" w:sz="0" w:space="0" w:color="auto"/>
        <w:right w:val="none" w:sz="0" w:space="0" w:color="auto"/>
      </w:divBdr>
    </w:div>
    <w:div w:id="265314764">
      <w:bodyDiv w:val="1"/>
      <w:marLeft w:val="0"/>
      <w:marRight w:val="0"/>
      <w:marTop w:val="0"/>
      <w:marBottom w:val="0"/>
      <w:divBdr>
        <w:top w:val="none" w:sz="0" w:space="0" w:color="auto"/>
        <w:left w:val="none" w:sz="0" w:space="0" w:color="auto"/>
        <w:bottom w:val="none" w:sz="0" w:space="0" w:color="auto"/>
        <w:right w:val="none" w:sz="0" w:space="0" w:color="auto"/>
      </w:divBdr>
    </w:div>
    <w:div w:id="289676101">
      <w:bodyDiv w:val="1"/>
      <w:marLeft w:val="0"/>
      <w:marRight w:val="0"/>
      <w:marTop w:val="0"/>
      <w:marBottom w:val="0"/>
      <w:divBdr>
        <w:top w:val="none" w:sz="0" w:space="0" w:color="auto"/>
        <w:left w:val="none" w:sz="0" w:space="0" w:color="auto"/>
        <w:bottom w:val="none" w:sz="0" w:space="0" w:color="auto"/>
        <w:right w:val="none" w:sz="0" w:space="0" w:color="auto"/>
      </w:divBdr>
    </w:div>
    <w:div w:id="341902852">
      <w:bodyDiv w:val="1"/>
      <w:marLeft w:val="0"/>
      <w:marRight w:val="0"/>
      <w:marTop w:val="0"/>
      <w:marBottom w:val="0"/>
      <w:divBdr>
        <w:top w:val="none" w:sz="0" w:space="0" w:color="auto"/>
        <w:left w:val="none" w:sz="0" w:space="0" w:color="auto"/>
        <w:bottom w:val="none" w:sz="0" w:space="0" w:color="auto"/>
        <w:right w:val="none" w:sz="0" w:space="0" w:color="auto"/>
      </w:divBdr>
    </w:div>
    <w:div w:id="374476721">
      <w:bodyDiv w:val="1"/>
      <w:marLeft w:val="0"/>
      <w:marRight w:val="0"/>
      <w:marTop w:val="0"/>
      <w:marBottom w:val="0"/>
      <w:divBdr>
        <w:top w:val="none" w:sz="0" w:space="0" w:color="auto"/>
        <w:left w:val="none" w:sz="0" w:space="0" w:color="auto"/>
        <w:bottom w:val="none" w:sz="0" w:space="0" w:color="auto"/>
        <w:right w:val="none" w:sz="0" w:space="0" w:color="auto"/>
      </w:divBdr>
    </w:div>
    <w:div w:id="387147495">
      <w:bodyDiv w:val="1"/>
      <w:marLeft w:val="0"/>
      <w:marRight w:val="0"/>
      <w:marTop w:val="0"/>
      <w:marBottom w:val="0"/>
      <w:divBdr>
        <w:top w:val="none" w:sz="0" w:space="0" w:color="auto"/>
        <w:left w:val="none" w:sz="0" w:space="0" w:color="auto"/>
        <w:bottom w:val="none" w:sz="0" w:space="0" w:color="auto"/>
        <w:right w:val="none" w:sz="0" w:space="0" w:color="auto"/>
      </w:divBdr>
    </w:div>
    <w:div w:id="454521528">
      <w:bodyDiv w:val="1"/>
      <w:marLeft w:val="0"/>
      <w:marRight w:val="0"/>
      <w:marTop w:val="0"/>
      <w:marBottom w:val="0"/>
      <w:divBdr>
        <w:top w:val="none" w:sz="0" w:space="0" w:color="auto"/>
        <w:left w:val="none" w:sz="0" w:space="0" w:color="auto"/>
        <w:bottom w:val="none" w:sz="0" w:space="0" w:color="auto"/>
        <w:right w:val="none" w:sz="0" w:space="0" w:color="auto"/>
      </w:divBdr>
      <w:divsChild>
        <w:div w:id="618992782">
          <w:marLeft w:val="446"/>
          <w:marRight w:val="0"/>
          <w:marTop w:val="60"/>
          <w:marBottom w:val="60"/>
          <w:divBdr>
            <w:top w:val="none" w:sz="0" w:space="0" w:color="auto"/>
            <w:left w:val="none" w:sz="0" w:space="0" w:color="auto"/>
            <w:bottom w:val="none" w:sz="0" w:space="0" w:color="auto"/>
            <w:right w:val="none" w:sz="0" w:space="0" w:color="auto"/>
          </w:divBdr>
        </w:div>
      </w:divsChild>
    </w:div>
    <w:div w:id="477721760">
      <w:bodyDiv w:val="1"/>
      <w:marLeft w:val="0"/>
      <w:marRight w:val="0"/>
      <w:marTop w:val="0"/>
      <w:marBottom w:val="0"/>
      <w:divBdr>
        <w:top w:val="none" w:sz="0" w:space="0" w:color="auto"/>
        <w:left w:val="none" w:sz="0" w:space="0" w:color="auto"/>
        <w:bottom w:val="none" w:sz="0" w:space="0" w:color="auto"/>
        <w:right w:val="none" w:sz="0" w:space="0" w:color="auto"/>
      </w:divBdr>
      <w:divsChild>
        <w:div w:id="277762061">
          <w:marLeft w:val="547"/>
          <w:marRight w:val="0"/>
          <w:marTop w:val="115"/>
          <w:marBottom w:val="0"/>
          <w:divBdr>
            <w:top w:val="none" w:sz="0" w:space="0" w:color="auto"/>
            <w:left w:val="none" w:sz="0" w:space="0" w:color="auto"/>
            <w:bottom w:val="none" w:sz="0" w:space="0" w:color="auto"/>
            <w:right w:val="none" w:sz="0" w:space="0" w:color="auto"/>
          </w:divBdr>
        </w:div>
        <w:div w:id="579144413">
          <w:marLeft w:val="547"/>
          <w:marRight w:val="0"/>
          <w:marTop w:val="115"/>
          <w:marBottom w:val="0"/>
          <w:divBdr>
            <w:top w:val="none" w:sz="0" w:space="0" w:color="auto"/>
            <w:left w:val="none" w:sz="0" w:space="0" w:color="auto"/>
            <w:bottom w:val="none" w:sz="0" w:space="0" w:color="auto"/>
            <w:right w:val="none" w:sz="0" w:space="0" w:color="auto"/>
          </w:divBdr>
        </w:div>
        <w:div w:id="1050760285">
          <w:marLeft w:val="547"/>
          <w:marRight w:val="0"/>
          <w:marTop w:val="115"/>
          <w:marBottom w:val="0"/>
          <w:divBdr>
            <w:top w:val="none" w:sz="0" w:space="0" w:color="auto"/>
            <w:left w:val="none" w:sz="0" w:space="0" w:color="auto"/>
            <w:bottom w:val="none" w:sz="0" w:space="0" w:color="auto"/>
            <w:right w:val="none" w:sz="0" w:space="0" w:color="auto"/>
          </w:divBdr>
        </w:div>
      </w:divsChild>
    </w:div>
    <w:div w:id="492260328">
      <w:bodyDiv w:val="1"/>
      <w:marLeft w:val="0"/>
      <w:marRight w:val="0"/>
      <w:marTop w:val="0"/>
      <w:marBottom w:val="0"/>
      <w:divBdr>
        <w:top w:val="none" w:sz="0" w:space="0" w:color="auto"/>
        <w:left w:val="none" w:sz="0" w:space="0" w:color="auto"/>
        <w:bottom w:val="none" w:sz="0" w:space="0" w:color="auto"/>
        <w:right w:val="none" w:sz="0" w:space="0" w:color="auto"/>
      </w:divBdr>
    </w:div>
    <w:div w:id="497966443">
      <w:bodyDiv w:val="1"/>
      <w:marLeft w:val="0"/>
      <w:marRight w:val="0"/>
      <w:marTop w:val="0"/>
      <w:marBottom w:val="0"/>
      <w:divBdr>
        <w:top w:val="none" w:sz="0" w:space="0" w:color="auto"/>
        <w:left w:val="none" w:sz="0" w:space="0" w:color="auto"/>
        <w:bottom w:val="none" w:sz="0" w:space="0" w:color="auto"/>
        <w:right w:val="none" w:sz="0" w:space="0" w:color="auto"/>
      </w:divBdr>
    </w:div>
    <w:div w:id="502204022">
      <w:bodyDiv w:val="1"/>
      <w:marLeft w:val="0"/>
      <w:marRight w:val="0"/>
      <w:marTop w:val="0"/>
      <w:marBottom w:val="0"/>
      <w:divBdr>
        <w:top w:val="none" w:sz="0" w:space="0" w:color="auto"/>
        <w:left w:val="none" w:sz="0" w:space="0" w:color="auto"/>
        <w:bottom w:val="none" w:sz="0" w:space="0" w:color="auto"/>
        <w:right w:val="none" w:sz="0" w:space="0" w:color="auto"/>
      </w:divBdr>
    </w:div>
    <w:div w:id="507061898">
      <w:bodyDiv w:val="1"/>
      <w:marLeft w:val="0"/>
      <w:marRight w:val="0"/>
      <w:marTop w:val="0"/>
      <w:marBottom w:val="0"/>
      <w:divBdr>
        <w:top w:val="none" w:sz="0" w:space="0" w:color="auto"/>
        <w:left w:val="none" w:sz="0" w:space="0" w:color="auto"/>
        <w:bottom w:val="none" w:sz="0" w:space="0" w:color="auto"/>
        <w:right w:val="none" w:sz="0" w:space="0" w:color="auto"/>
      </w:divBdr>
    </w:div>
    <w:div w:id="519050760">
      <w:bodyDiv w:val="1"/>
      <w:marLeft w:val="0"/>
      <w:marRight w:val="0"/>
      <w:marTop w:val="0"/>
      <w:marBottom w:val="0"/>
      <w:divBdr>
        <w:top w:val="none" w:sz="0" w:space="0" w:color="auto"/>
        <w:left w:val="none" w:sz="0" w:space="0" w:color="auto"/>
        <w:bottom w:val="none" w:sz="0" w:space="0" w:color="auto"/>
        <w:right w:val="none" w:sz="0" w:space="0" w:color="auto"/>
      </w:divBdr>
    </w:div>
    <w:div w:id="538054893">
      <w:bodyDiv w:val="1"/>
      <w:marLeft w:val="0"/>
      <w:marRight w:val="0"/>
      <w:marTop w:val="0"/>
      <w:marBottom w:val="0"/>
      <w:divBdr>
        <w:top w:val="none" w:sz="0" w:space="0" w:color="auto"/>
        <w:left w:val="none" w:sz="0" w:space="0" w:color="auto"/>
        <w:bottom w:val="none" w:sz="0" w:space="0" w:color="auto"/>
        <w:right w:val="none" w:sz="0" w:space="0" w:color="auto"/>
      </w:divBdr>
    </w:div>
    <w:div w:id="593124216">
      <w:bodyDiv w:val="1"/>
      <w:marLeft w:val="0"/>
      <w:marRight w:val="0"/>
      <w:marTop w:val="0"/>
      <w:marBottom w:val="0"/>
      <w:divBdr>
        <w:top w:val="none" w:sz="0" w:space="0" w:color="auto"/>
        <w:left w:val="none" w:sz="0" w:space="0" w:color="auto"/>
        <w:bottom w:val="none" w:sz="0" w:space="0" w:color="auto"/>
        <w:right w:val="none" w:sz="0" w:space="0" w:color="auto"/>
      </w:divBdr>
      <w:divsChild>
        <w:div w:id="553540839">
          <w:marLeft w:val="446"/>
          <w:marRight w:val="0"/>
          <w:marTop w:val="60"/>
          <w:marBottom w:val="60"/>
          <w:divBdr>
            <w:top w:val="none" w:sz="0" w:space="0" w:color="auto"/>
            <w:left w:val="none" w:sz="0" w:space="0" w:color="auto"/>
            <w:bottom w:val="none" w:sz="0" w:space="0" w:color="auto"/>
            <w:right w:val="none" w:sz="0" w:space="0" w:color="auto"/>
          </w:divBdr>
        </w:div>
      </w:divsChild>
    </w:div>
    <w:div w:id="661740881">
      <w:bodyDiv w:val="1"/>
      <w:marLeft w:val="0"/>
      <w:marRight w:val="0"/>
      <w:marTop w:val="0"/>
      <w:marBottom w:val="0"/>
      <w:divBdr>
        <w:top w:val="none" w:sz="0" w:space="0" w:color="auto"/>
        <w:left w:val="none" w:sz="0" w:space="0" w:color="auto"/>
        <w:bottom w:val="none" w:sz="0" w:space="0" w:color="auto"/>
        <w:right w:val="none" w:sz="0" w:space="0" w:color="auto"/>
      </w:divBdr>
    </w:div>
    <w:div w:id="707264960">
      <w:bodyDiv w:val="1"/>
      <w:marLeft w:val="0"/>
      <w:marRight w:val="0"/>
      <w:marTop w:val="0"/>
      <w:marBottom w:val="0"/>
      <w:divBdr>
        <w:top w:val="none" w:sz="0" w:space="0" w:color="auto"/>
        <w:left w:val="none" w:sz="0" w:space="0" w:color="auto"/>
        <w:bottom w:val="none" w:sz="0" w:space="0" w:color="auto"/>
        <w:right w:val="none" w:sz="0" w:space="0" w:color="auto"/>
      </w:divBdr>
    </w:div>
    <w:div w:id="716199341">
      <w:bodyDiv w:val="1"/>
      <w:marLeft w:val="0"/>
      <w:marRight w:val="0"/>
      <w:marTop w:val="0"/>
      <w:marBottom w:val="0"/>
      <w:divBdr>
        <w:top w:val="none" w:sz="0" w:space="0" w:color="auto"/>
        <w:left w:val="none" w:sz="0" w:space="0" w:color="auto"/>
        <w:bottom w:val="none" w:sz="0" w:space="0" w:color="auto"/>
        <w:right w:val="none" w:sz="0" w:space="0" w:color="auto"/>
      </w:divBdr>
    </w:div>
    <w:div w:id="729504689">
      <w:bodyDiv w:val="1"/>
      <w:marLeft w:val="0"/>
      <w:marRight w:val="0"/>
      <w:marTop w:val="0"/>
      <w:marBottom w:val="0"/>
      <w:divBdr>
        <w:top w:val="none" w:sz="0" w:space="0" w:color="auto"/>
        <w:left w:val="none" w:sz="0" w:space="0" w:color="auto"/>
        <w:bottom w:val="none" w:sz="0" w:space="0" w:color="auto"/>
        <w:right w:val="none" w:sz="0" w:space="0" w:color="auto"/>
      </w:divBdr>
    </w:div>
    <w:div w:id="749347242">
      <w:bodyDiv w:val="1"/>
      <w:marLeft w:val="0"/>
      <w:marRight w:val="0"/>
      <w:marTop w:val="0"/>
      <w:marBottom w:val="0"/>
      <w:divBdr>
        <w:top w:val="none" w:sz="0" w:space="0" w:color="auto"/>
        <w:left w:val="none" w:sz="0" w:space="0" w:color="auto"/>
        <w:bottom w:val="none" w:sz="0" w:space="0" w:color="auto"/>
        <w:right w:val="none" w:sz="0" w:space="0" w:color="auto"/>
      </w:divBdr>
      <w:divsChild>
        <w:div w:id="79715775">
          <w:marLeft w:val="1166"/>
          <w:marRight w:val="0"/>
          <w:marTop w:val="82"/>
          <w:marBottom w:val="0"/>
          <w:divBdr>
            <w:top w:val="none" w:sz="0" w:space="0" w:color="auto"/>
            <w:left w:val="none" w:sz="0" w:space="0" w:color="auto"/>
            <w:bottom w:val="none" w:sz="0" w:space="0" w:color="auto"/>
            <w:right w:val="none" w:sz="0" w:space="0" w:color="auto"/>
          </w:divBdr>
        </w:div>
        <w:div w:id="200627415">
          <w:marLeft w:val="446"/>
          <w:marRight w:val="0"/>
          <w:marTop w:val="60"/>
          <w:marBottom w:val="60"/>
          <w:divBdr>
            <w:top w:val="none" w:sz="0" w:space="0" w:color="auto"/>
            <w:left w:val="none" w:sz="0" w:space="0" w:color="auto"/>
            <w:bottom w:val="none" w:sz="0" w:space="0" w:color="auto"/>
            <w:right w:val="none" w:sz="0" w:space="0" w:color="auto"/>
          </w:divBdr>
        </w:div>
        <w:div w:id="290285685">
          <w:marLeft w:val="1166"/>
          <w:marRight w:val="0"/>
          <w:marTop w:val="82"/>
          <w:marBottom w:val="0"/>
          <w:divBdr>
            <w:top w:val="none" w:sz="0" w:space="0" w:color="auto"/>
            <w:left w:val="none" w:sz="0" w:space="0" w:color="auto"/>
            <w:bottom w:val="none" w:sz="0" w:space="0" w:color="auto"/>
            <w:right w:val="none" w:sz="0" w:space="0" w:color="auto"/>
          </w:divBdr>
        </w:div>
        <w:div w:id="886988226">
          <w:marLeft w:val="1166"/>
          <w:marRight w:val="0"/>
          <w:marTop w:val="82"/>
          <w:marBottom w:val="0"/>
          <w:divBdr>
            <w:top w:val="none" w:sz="0" w:space="0" w:color="auto"/>
            <w:left w:val="none" w:sz="0" w:space="0" w:color="auto"/>
            <w:bottom w:val="none" w:sz="0" w:space="0" w:color="auto"/>
            <w:right w:val="none" w:sz="0" w:space="0" w:color="auto"/>
          </w:divBdr>
        </w:div>
        <w:div w:id="1211502814">
          <w:marLeft w:val="446"/>
          <w:marRight w:val="0"/>
          <w:marTop w:val="60"/>
          <w:marBottom w:val="60"/>
          <w:divBdr>
            <w:top w:val="none" w:sz="0" w:space="0" w:color="auto"/>
            <w:left w:val="none" w:sz="0" w:space="0" w:color="auto"/>
            <w:bottom w:val="none" w:sz="0" w:space="0" w:color="auto"/>
            <w:right w:val="none" w:sz="0" w:space="0" w:color="auto"/>
          </w:divBdr>
        </w:div>
        <w:div w:id="1404525252">
          <w:marLeft w:val="1166"/>
          <w:marRight w:val="0"/>
          <w:marTop w:val="82"/>
          <w:marBottom w:val="0"/>
          <w:divBdr>
            <w:top w:val="none" w:sz="0" w:space="0" w:color="auto"/>
            <w:left w:val="none" w:sz="0" w:space="0" w:color="auto"/>
            <w:bottom w:val="none" w:sz="0" w:space="0" w:color="auto"/>
            <w:right w:val="none" w:sz="0" w:space="0" w:color="auto"/>
          </w:divBdr>
        </w:div>
        <w:div w:id="1994989703">
          <w:marLeft w:val="1166"/>
          <w:marRight w:val="0"/>
          <w:marTop w:val="82"/>
          <w:marBottom w:val="0"/>
          <w:divBdr>
            <w:top w:val="none" w:sz="0" w:space="0" w:color="auto"/>
            <w:left w:val="none" w:sz="0" w:space="0" w:color="auto"/>
            <w:bottom w:val="none" w:sz="0" w:space="0" w:color="auto"/>
            <w:right w:val="none" w:sz="0" w:space="0" w:color="auto"/>
          </w:divBdr>
        </w:div>
      </w:divsChild>
    </w:div>
    <w:div w:id="797340837">
      <w:bodyDiv w:val="1"/>
      <w:marLeft w:val="0"/>
      <w:marRight w:val="0"/>
      <w:marTop w:val="0"/>
      <w:marBottom w:val="0"/>
      <w:divBdr>
        <w:top w:val="none" w:sz="0" w:space="0" w:color="auto"/>
        <w:left w:val="none" w:sz="0" w:space="0" w:color="auto"/>
        <w:bottom w:val="none" w:sz="0" w:space="0" w:color="auto"/>
        <w:right w:val="none" w:sz="0" w:space="0" w:color="auto"/>
      </w:divBdr>
    </w:div>
    <w:div w:id="836268138">
      <w:bodyDiv w:val="1"/>
      <w:marLeft w:val="0"/>
      <w:marRight w:val="0"/>
      <w:marTop w:val="0"/>
      <w:marBottom w:val="0"/>
      <w:divBdr>
        <w:top w:val="none" w:sz="0" w:space="0" w:color="auto"/>
        <w:left w:val="none" w:sz="0" w:space="0" w:color="auto"/>
        <w:bottom w:val="none" w:sz="0" w:space="0" w:color="auto"/>
        <w:right w:val="none" w:sz="0" w:space="0" w:color="auto"/>
      </w:divBdr>
      <w:divsChild>
        <w:div w:id="108546488">
          <w:marLeft w:val="1166"/>
          <w:marRight w:val="0"/>
          <w:marTop w:val="91"/>
          <w:marBottom w:val="0"/>
          <w:divBdr>
            <w:top w:val="none" w:sz="0" w:space="0" w:color="auto"/>
            <w:left w:val="none" w:sz="0" w:space="0" w:color="auto"/>
            <w:bottom w:val="none" w:sz="0" w:space="0" w:color="auto"/>
            <w:right w:val="none" w:sz="0" w:space="0" w:color="auto"/>
          </w:divBdr>
        </w:div>
        <w:div w:id="601183911">
          <w:marLeft w:val="1166"/>
          <w:marRight w:val="0"/>
          <w:marTop w:val="91"/>
          <w:marBottom w:val="0"/>
          <w:divBdr>
            <w:top w:val="none" w:sz="0" w:space="0" w:color="auto"/>
            <w:left w:val="none" w:sz="0" w:space="0" w:color="auto"/>
            <w:bottom w:val="none" w:sz="0" w:space="0" w:color="auto"/>
            <w:right w:val="none" w:sz="0" w:space="0" w:color="auto"/>
          </w:divBdr>
        </w:div>
        <w:div w:id="1220289779">
          <w:marLeft w:val="446"/>
          <w:marRight w:val="0"/>
          <w:marTop w:val="60"/>
          <w:marBottom w:val="60"/>
          <w:divBdr>
            <w:top w:val="none" w:sz="0" w:space="0" w:color="auto"/>
            <w:left w:val="none" w:sz="0" w:space="0" w:color="auto"/>
            <w:bottom w:val="none" w:sz="0" w:space="0" w:color="auto"/>
            <w:right w:val="none" w:sz="0" w:space="0" w:color="auto"/>
          </w:divBdr>
        </w:div>
        <w:div w:id="1339770752">
          <w:marLeft w:val="1166"/>
          <w:marRight w:val="0"/>
          <w:marTop w:val="91"/>
          <w:marBottom w:val="0"/>
          <w:divBdr>
            <w:top w:val="none" w:sz="0" w:space="0" w:color="auto"/>
            <w:left w:val="none" w:sz="0" w:space="0" w:color="auto"/>
            <w:bottom w:val="none" w:sz="0" w:space="0" w:color="auto"/>
            <w:right w:val="none" w:sz="0" w:space="0" w:color="auto"/>
          </w:divBdr>
        </w:div>
        <w:div w:id="1623030621">
          <w:marLeft w:val="1166"/>
          <w:marRight w:val="0"/>
          <w:marTop w:val="91"/>
          <w:marBottom w:val="0"/>
          <w:divBdr>
            <w:top w:val="none" w:sz="0" w:space="0" w:color="auto"/>
            <w:left w:val="none" w:sz="0" w:space="0" w:color="auto"/>
            <w:bottom w:val="none" w:sz="0" w:space="0" w:color="auto"/>
            <w:right w:val="none" w:sz="0" w:space="0" w:color="auto"/>
          </w:divBdr>
        </w:div>
      </w:divsChild>
    </w:div>
    <w:div w:id="882063356">
      <w:bodyDiv w:val="1"/>
      <w:marLeft w:val="0"/>
      <w:marRight w:val="0"/>
      <w:marTop w:val="0"/>
      <w:marBottom w:val="0"/>
      <w:divBdr>
        <w:top w:val="none" w:sz="0" w:space="0" w:color="auto"/>
        <w:left w:val="none" w:sz="0" w:space="0" w:color="auto"/>
        <w:bottom w:val="none" w:sz="0" w:space="0" w:color="auto"/>
        <w:right w:val="none" w:sz="0" w:space="0" w:color="auto"/>
      </w:divBdr>
    </w:div>
    <w:div w:id="1039010398">
      <w:bodyDiv w:val="1"/>
      <w:marLeft w:val="0"/>
      <w:marRight w:val="0"/>
      <w:marTop w:val="0"/>
      <w:marBottom w:val="0"/>
      <w:divBdr>
        <w:top w:val="none" w:sz="0" w:space="0" w:color="auto"/>
        <w:left w:val="none" w:sz="0" w:space="0" w:color="auto"/>
        <w:bottom w:val="none" w:sz="0" w:space="0" w:color="auto"/>
        <w:right w:val="none" w:sz="0" w:space="0" w:color="auto"/>
      </w:divBdr>
    </w:div>
    <w:div w:id="1069108616">
      <w:bodyDiv w:val="1"/>
      <w:marLeft w:val="0"/>
      <w:marRight w:val="0"/>
      <w:marTop w:val="0"/>
      <w:marBottom w:val="0"/>
      <w:divBdr>
        <w:top w:val="none" w:sz="0" w:space="0" w:color="auto"/>
        <w:left w:val="none" w:sz="0" w:space="0" w:color="auto"/>
        <w:bottom w:val="none" w:sz="0" w:space="0" w:color="auto"/>
        <w:right w:val="none" w:sz="0" w:space="0" w:color="auto"/>
      </w:divBdr>
    </w:div>
    <w:div w:id="1110590602">
      <w:bodyDiv w:val="1"/>
      <w:marLeft w:val="0"/>
      <w:marRight w:val="0"/>
      <w:marTop w:val="0"/>
      <w:marBottom w:val="0"/>
      <w:divBdr>
        <w:top w:val="none" w:sz="0" w:space="0" w:color="auto"/>
        <w:left w:val="none" w:sz="0" w:space="0" w:color="auto"/>
        <w:bottom w:val="none" w:sz="0" w:space="0" w:color="auto"/>
        <w:right w:val="none" w:sz="0" w:space="0" w:color="auto"/>
      </w:divBdr>
    </w:div>
    <w:div w:id="1199275005">
      <w:bodyDiv w:val="1"/>
      <w:marLeft w:val="0"/>
      <w:marRight w:val="0"/>
      <w:marTop w:val="0"/>
      <w:marBottom w:val="0"/>
      <w:divBdr>
        <w:top w:val="none" w:sz="0" w:space="0" w:color="auto"/>
        <w:left w:val="none" w:sz="0" w:space="0" w:color="auto"/>
        <w:bottom w:val="none" w:sz="0" w:space="0" w:color="auto"/>
        <w:right w:val="none" w:sz="0" w:space="0" w:color="auto"/>
      </w:divBdr>
      <w:divsChild>
        <w:div w:id="2122458655">
          <w:marLeft w:val="547"/>
          <w:marRight w:val="0"/>
          <w:marTop w:val="106"/>
          <w:marBottom w:val="0"/>
          <w:divBdr>
            <w:top w:val="none" w:sz="0" w:space="0" w:color="auto"/>
            <w:left w:val="none" w:sz="0" w:space="0" w:color="auto"/>
            <w:bottom w:val="none" w:sz="0" w:space="0" w:color="auto"/>
            <w:right w:val="none" w:sz="0" w:space="0" w:color="auto"/>
          </w:divBdr>
        </w:div>
        <w:div w:id="354162715">
          <w:marLeft w:val="547"/>
          <w:marRight w:val="0"/>
          <w:marTop w:val="106"/>
          <w:marBottom w:val="0"/>
          <w:divBdr>
            <w:top w:val="none" w:sz="0" w:space="0" w:color="auto"/>
            <w:left w:val="none" w:sz="0" w:space="0" w:color="auto"/>
            <w:bottom w:val="none" w:sz="0" w:space="0" w:color="auto"/>
            <w:right w:val="none" w:sz="0" w:space="0" w:color="auto"/>
          </w:divBdr>
        </w:div>
        <w:div w:id="1589272279">
          <w:marLeft w:val="547"/>
          <w:marRight w:val="0"/>
          <w:marTop w:val="106"/>
          <w:marBottom w:val="0"/>
          <w:divBdr>
            <w:top w:val="none" w:sz="0" w:space="0" w:color="auto"/>
            <w:left w:val="none" w:sz="0" w:space="0" w:color="auto"/>
            <w:bottom w:val="none" w:sz="0" w:space="0" w:color="auto"/>
            <w:right w:val="none" w:sz="0" w:space="0" w:color="auto"/>
          </w:divBdr>
        </w:div>
        <w:div w:id="1870099459">
          <w:marLeft w:val="547"/>
          <w:marRight w:val="0"/>
          <w:marTop w:val="106"/>
          <w:marBottom w:val="0"/>
          <w:divBdr>
            <w:top w:val="none" w:sz="0" w:space="0" w:color="auto"/>
            <w:left w:val="none" w:sz="0" w:space="0" w:color="auto"/>
            <w:bottom w:val="none" w:sz="0" w:space="0" w:color="auto"/>
            <w:right w:val="none" w:sz="0" w:space="0" w:color="auto"/>
          </w:divBdr>
        </w:div>
        <w:div w:id="1236822031">
          <w:marLeft w:val="547"/>
          <w:marRight w:val="0"/>
          <w:marTop w:val="106"/>
          <w:marBottom w:val="0"/>
          <w:divBdr>
            <w:top w:val="none" w:sz="0" w:space="0" w:color="auto"/>
            <w:left w:val="none" w:sz="0" w:space="0" w:color="auto"/>
            <w:bottom w:val="none" w:sz="0" w:space="0" w:color="auto"/>
            <w:right w:val="none" w:sz="0" w:space="0" w:color="auto"/>
          </w:divBdr>
        </w:div>
        <w:div w:id="973634823">
          <w:marLeft w:val="547"/>
          <w:marRight w:val="0"/>
          <w:marTop w:val="106"/>
          <w:marBottom w:val="0"/>
          <w:divBdr>
            <w:top w:val="none" w:sz="0" w:space="0" w:color="auto"/>
            <w:left w:val="none" w:sz="0" w:space="0" w:color="auto"/>
            <w:bottom w:val="none" w:sz="0" w:space="0" w:color="auto"/>
            <w:right w:val="none" w:sz="0" w:space="0" w:color="auto"/>
          </w:divBdr>
        </w:div>
        <w:div w:id="622151700">
          <w:marLeft w:val="547"/>
          <w:marRight w:val="0"/>
          <w:marTop w:val="106"/>
          <w:marBottom w:val="0"/>
          <w:divBdr>
            <w:top w:val="none" w:sz="0" w:space="0" w:color="auto"/>
            <w:left w:val="none" w:sz="0" w:space="0" w:color="auto"/>
            <w:bottom w:val="none" w:sz="0" w:space="0" w:color="auto"/>
            <w:right w:val="none" w:sz="0" w:space="0" w:color="auto"/>
          </w:divBdr>
        </w:div>
      </w:divsChild>
    </w:div>
    <w:div w:id="1270117674">
      <w:bodyDiv w:val="1"/>
      <w:marLeft w:val="0"/>
      <w:marRight w:val="0"/>
      <w:marTop w:val="0"/>
      <w:marBottom w:val="0"/>
      <w:divBdr>
        <w:top w:val="none" w:sz="0" w:space="0" w:color="auto"/>
        <w:left w:val="none" w:sz="0" w:space="0" w:color="auto"/>
        <w:bottom w:val="none" w:sz="0" w:space="0" w:color="auto"/>
        <w:right w:val="none" w:sz="0" w:space="0" w:color="auto"/>
      </w:divBdr>
    </w:div>
    <w:div w:id="1274829165">
      <w:bodyDiv w:val="1"/>
      <w:marLeft w:val="0"/>
      <w:marRight w:val="0"/>
      <w:marTop w:val="0"/>
      <w:marBottom w:val="0"/>
      <w:divBdr>
        <w:top w:val="none" w:sz="0" w:space="0" w:color="auto"/>
        <w:left w:val="none" w:sz="0" w:space="0" w:color="auto"/>
        <w:bottom w:val="none" w:sz="0" w:space="0" w:color="auto"/>
        <w:right w:val="none" w:sz="0" w:space="0" w:color="auto"/>
      </w:divBdr>
    </w:div>
    <w:div w:id="1305770305">
      <w:bodyDiv w:val="1"/>
      <w:marLeft w:val="0"/>
      <w:marRight w:val="0"/>
      <w:marTop w:val="0"/>
      <w:marBottom w:val="0"/>
      <w:divBdr>
        <w:top w:val="none" w:sz="0" w:space="0" w:color="auto"/>
        <w:left w:val="none" w:sz="0" w:space="0" w:color="auto"/>
        <w:bottom w:val="none" w:sz="0" w:space="0" w:color="auto"/>
        <w:right w:val="none" w:sz="0" w:space="0" w:color="auto"/>
      </w:divBdr>
    </w:div>
    <w:div w:id="1365207557">
      <w:bodyDiv w:val="1"/>
      <w:marLeft w:val="0"/>
      <w:marRight w:val="0"/>
      <w:marTop w:val="0"/>
      <w:marBottom w:val="0"/>
      <w:divBdr>
        <w:top w:val="none" w:sz="0" w:space="0" w:color="auto"/>
        <w:left w:val="none" w:sz="0" w:space="0" w:color="auto"/>
        <w:bottom w:val="none" w:sz="0" w:space="0" w:color="auto"/>
        <w:right w:val="none" w:sz="0" w:space="0" w:color="auto"/>
      </w:divBdr>
    </w:div>
    <w:div w:id="1410276454">
      <w:bodyDiv w:val="1"/>
      <w:marLeft w:val="0"/>
      <w:marRight w:val="0"/>
      <w:marTop w:val="0"/>
      <w:marBottom w:val="0"/>
      <w:divBdr>
        <w:top w:val="none" w:sz="0" w:space="0" w:color="auto"/>
        <w:left w:val="none" w:sz="0" w:space="0" w:color="auto"/>
        <w:bottom w:val="none" w:sz="0" w:space="0" w:color="auto"/>
        <w:right w:val="none" w:sz="0" w:space="0" w:color="auto"/>
      </w:divBdr>
    </w:div>
    <w:div w:id="1418476474">
      <w:bodyDiv w:val="1"/>
      <w:marLeft w:val="0"/>
      <w:marRight w:val="0"/>
      <w:marTop w:val="0"/>
      <w:marBottom w:val="0"/>
      <w:divBdr>
        <w:top w:val="none" w:sz="0" w:space="0" w:color="auto"/>
        <w:left w:val="none" w:sz="0" w:space="0" w:color="auto"/>
        <w:bottom w:val="none" w:sz="0" w:space="0" w:color="auto"/>
        <w:right w:val="none" w:sz="0" w:space="0" w:color="auto"/>
      </w:divBdr>
    </w:div>
    <w:div w:id="1442066689">
      <w:bodyDiv w:val="1"/>
      <w:marLeft w:val="0"/>
      <w:marRight w:val="0"/>
      <w:marTop w:val="0"/>
      <w:marBottom w:val="0"/>
      <w:divBdr>
        <w:top w:val="none" w:sz="0" w:space="0" w:color="auto"/>
        <w:left w:val="none" w:sz="0" w:space="0" w:color="auto"/>
        <w:bottom w:val="none" w:sz="0" w:space="0" w:color="auto"/>
        <w:right w:val="none" w:sz="0" w:space="0" w:color="auto"/>
      </w:divBdr>
      <w:divsChild>
        <w:div w:id="1882941246">
          <w:marLeft w:val="446"/>
          <w:marRight w:val="0"/>
          <w:marTop w:val="60"/>
          <w:marBottom w:val="60"/>
          <w:divBdr>
            <w:top w:val="none" w:sz="0" w:space="0" w:color="auto"/>
            <w:left w:val="none" w:sz="0" w:space="0" w:color="auto"/>
            <w:bottom w:val="none" w:sz="0" w:space="0" w:color="auto"/>
            <w:right w:val="none" w:sz="0" w:space="0" w:color="auto"/>
          </w:divBdr>
        </w:div>
      </w:divsChild>
    </w:div>
    <w:div w:id="1487088570">
      <w:bodyDiv w:val="1"/>
      <w:marLeft w:val="0"/>
      <w:marRight w:val="0"/>
      <w:marTop w:val="0"/>
      <w:marBottom w:val="0"/>
      <w:divBdr>
        <w:top w:val="none" w:sz="0" w:space="0" w:color="auto"/>
        <w:left w:val="none" w:sz="0" w:space="0" w:color="auto"/>
        <w:bottom w:val="none" w:sz="0" w:space="0" w:color="auto"/>
        <w:right w:val="none" w:sz="0" w:space="0" w:color="auto"/>
      </w:divBdr>
    </w:div>
    <w:div w:id="1531723330">
      <w:bodyDiv w:val="1"/>
      <w:marLeft w:val="0"/>
      <w:marRight w:val="0"/>
      <w:marTop w:val="0"/>
      <w:marBottom w:val="0"/>
      <w:divBdr>
        <w:top w:val="none" w:sz="0" w:space="0" w:color="auto"/>
        <w:left w:val="none" w:sz="0" w:space="0" w:color="auto"/>
        <w:bottom w:val="none" w:sz="0" w:space="0" w:color="auto"/>
        <w:right w:val="none" w:sz="0" w:space="0" w:color="auto"/>
      </w:divBdr>
    </w:div>
    <w:div w:id="1564025568">
      <w:bodyDiv w:val="1"/>
      <w:marLeft w:val="0"/>
      <w:marRight w:val="0"/>
      <w:marTop w:val="0"/>
      <w:marBottom w:val="0"/>
      <w:divBdr>
        <w:top w:val="none" w:sz="0" w:space="0" w:color="auto"/>
        <w:left w:val="none" w:sz="0" w:space="0" w:color="auto"/>
        <w:bottom w:val="none" w:sz="0" w:space="0" w:color="auto"/>
        <w:right w:val="none" w:sz="0" w:space="0" w:color="auto"/>
      </w:divBdr>
    </w:div>
    <w:div w:id="1629627625">
      <w:bodyDiv w:val="1"/>
      <w:marLeft w:val="0"/>
      <w:marRight w:val="0"/>
      <w:marTop w:val="0"/>
      <w:marBottom w:val="0"/>
      <w:divBdr>
        <w:top w:val="none" w:sz="0" w:space="0" w:color="auto"/>
        <w:left w:val="none" w:sz="0" w:space="0" w:color="auto"/>
        <w:bottom w:val="none" w:sz="0" w:space="0" w:color="auto"/>
        <w:right w:val="none" w:sz="0" w:space="0" w:color="auto"/>
      </w:divBdr>
    </w:div>
    <w:div w:id="1669291425">
      <w:bodyDiv w:val="1"/>
      <w:marLeft w:val="0"/>
      <w:marRight w:val="0"/>
      <w:marTop w:val="0"/>
      <w:marBottom w:val="0"/>
      <w:divBdr>
        <w:top w:val="none" w:sz="0" w:space="0" w:color="auto"/>
        <w:left w:val="none" w:sz="0" w:space="0" w:color="auto"/>
        <w:bottom w:val="none" w:sz="0" w:space="0" w:color="auto"/>
        <w:right w:val="none" w:sz="0" w:space="0" w:color="auto"/>
      </w:divBdr>
    </w:div>
    <w:div w:id="1669795577">
      <w:bodyDiv w:val="1"/>
      <w:marLeft w:val="0"/>
      <w:marRight w:val="0"/>
      <w:marTop w:val="0"/>
      <w:marBottom w:val="0"/>
      <w:divBdr>
        <w:top w:val="none" w:sz="0" w:space="0" w:color="auto"/>
        <w:left w:val="none" w:sz="0" w:space="0" w:color="auto"/>
        <w:bottom w:val="none" w:sz="0" w:space="0" w:color="auto"/>
        <w:right w:val="none" w:sz="0" w:space="0" w:color="auto"/>
      </w:divBdr>
    </w:div>
    <w:div w:id="1688751079">
      <w:bodyDiv w:val="1"/>
      <w:marLeft w:val="0"/>
      <w:marRight w:val="0"/>
      <w:marTop w:val="0"/>
      <w:marBottom w:val="0"/>
      <w:divBdr>
        <w:top w:val="none" w:sz="0" w:space="0" w:color="auto"/>
        <w:left w:val="none" w:sz="0" w:space="0" w:color="auto"/>
        <w:bottom w:val="none" w:sz="0" w:space="0" w:color="auto"/>
        <w:right w:val="none" w:sz="0" w:space="0" w:color="auto"/>
      </w:divBdr>
    </w:div>
    <w:div w:id="1733968099">
      <w:bodyDiv w:val="1"/>
      <w:marLeft w:val="0"/>
      <w:marRight w:val="0"/>
      <w:marTop w:val="0"/>
      <w:marBottom w:val="0"/>
      <w:divBdr>
        <w:top w:val="none" w:sz="0" w:space="0" w:color="auto"/>
        <w:left w:val="none" w:sz="0" w:space="0" w:color="auto"/>
        <w:bottom w:val="none" w:sz="0" w:space="0" w:color="auto"/>
        <w:right w:val="none" w:sz="0" w:space="0" w:color="auto"/>
      </w:divBdr>
    </w:div>
    <w:div w:id="1913545089">
      <w:bodyDiv w:val="1"/>
      <w:marLeft w:val="0"/>
      <w:marRight w:val="0"/>
      <w:marTop w:val="0"/>
      <w:marBottom w:val="0"/>
      <w:divBdr>
        <w:top w:val="none" w:sz="0" w:space="0" w:color="auto"/>
        <w:left w:val="none" w:sz="0" w:space="0" w:color="auto"/>
        <w:bottom w:val="none" w:sz="0" w:space="0" w:color="auto"/>
        <w:right w:val="none" w:sz="0" w:space="0" w:color="auto"/>
      </w:divBdr>
    </w:div>
    <w:div w:id="1982686205">
      <w:bodyDiv w:val="1"/>
      <w:marLeft w:val="0"/>
      <w:marRight w:val="0"/>
      <w:marTop w:val="0"/>
      <w:marBottom w:val="0"/>
      <w:divBdr>
        <w:top w:val="none" w:sz="0" w:space="0" w:color="auto"/>
        <w:left w:val="none" w:sz="0" w:space="0" w:color="auto"/>
        <w:bottom w:val="none" w:sz="0" w:space="0" w:color="auto"/>
        <w:right w:val="none" w:sz="0" w:space="0" w:color="auto"/>
      </w:divBdr>
    </w:div>
    <w:div w:id="1989091098">
      <w:bodyDiv w:val="1"/>
      <w:marLeft w:val="0"/>
      <w:marRight w:val="0"/>
      <w:marTop w:val="0"/>
      <w:marBottom w:val="0"/>
      <w:divBdr>
        <w:top w:val="none" w:sz="0" w:space="0" w:color="auto"/>
        <w:left w:val="none" w:sz="0" w:space="0" w:color="auto"/>
        <w:bottom w:val="none" w:sz="0" w:space="0" w:color="auto"/>
        <w:right w:val="none" w:sz="0" w:space="0" w:color="auto"/>
      </w:divBdr>
    </w:div>
    <w:div w:id="1994261303">
      <w:bodyDiv w:val="1"/>
      <w:marLeft w:val="0"/>
      <w:marRight w:val="0"/>
      <w:marTop w:val="0"/>
      <w:marBottom w:val="0"/>
      <w:divBdr>
        <w:top w:val="none" w:sz="0" w:space="0" w:color="auto"/>
        <w:left w:val="none" w:sz="0" w:space="0" w:color="auto"/>
        <w:bottom w:val="none" w:sz="0" w:space="0" w:color="auto"/>
        <w:right w:val="none" w:sz="0" w:space="0" w:color="auto"/>
      </w:divBdr>
    </w:div>
    <w:div w:id="2013221876">
      <w:bodyDiv w:val="1"/>
      <w:marLeft w:val="0"/>
      <w:marRight w:val="0"/>
      <w:marTop w:val="0"/>
      <w:marBottom w:val="0"/>
      <w:divBdr>
        <w:top w:val="none" w:sz="0" w:space="0" w:color="auto"/>
        <w:left w:val="none" w:sz="0" w:space="0" w:color="auto"/>
        <w:bottom w:val="none" w:sz="0" w:space="0" w:color="auto"/>
        <w:right w:val="none" w:sz="0" w:space="0" w:color="auto"/>
      </w:divBdr>
    </w:div>
    <w:div w:id="2064668231">
      <w:bodyDiv w:val="1"/>
      <w:marLeft w:val="0"/>
      <w:marRight w:val="0"/>
      <w:marTop w:val="0"/>
      <w:marBottom w:val="0"/>
      <w:divBdr>
        <w:top w:val="none" w:sz="0" w:space="0" w:color="auto"/>
        <w:left w:val="none" w:sz="0" w:space="0" w:color="auto"/>
        <w:bottom w:val="none" w:sz="0" w:space="0" w:color="auto"/>
        <w:right w:val="none" w:sz="0" w:space="0" w:color="auto"/>
      </w:divBdr>
    </w:div>
    <w:div w:id="2106412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ufc.cz"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mpo.cz"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cid:image001.jpg@01CCBB19.0EB6F6B0"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cid:image001.jpg@01CCBB19.0EB6F6B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6A0BA-FAE2-4832-807A-FEBF12BA7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60</Pages>
  <Words>22616</Words>
  <Characters>133436</Characters>
  <Application>Microsoft Office Word</Application>
  <DocSecurity>0</DocSecurity>
  <Lines>1111</Lines>
  <Paragraphs>311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155741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Ladislav Kučera</dc:creator>
  <cp:lastModifiedBy>kucera</cp:lastModifiedBy>
  <cp:revision>3</cp:revision>
  <cp:lastPrinted>2014-06-17T15:41:00Z</cp:lastPrinted>
  <dcterms:created xsi:type="dcterms:W3CDTF">2014-07-08T11:19:00Z</dcterms:created>
  <dcterms:modified xsi:type="dcterms:W3CDTF">2014-07-08T11:25:00Z</dcterms:modified>
</cp:coreProperties>
</file>