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757" w:rsidRDefault="00293757" w:rsidP="00293757">
      <w:pPr>
        <w:pStyle w:val="Nadpis2"/>
        <w:numPr>
          <w:ilvl w:val="0"/>
          <w:numId w:val="0"/>
        </w:numPr>
        <w:spacing w:after="360"/>
        <w:ind w:left="578" w:hanging="578"/>
      </w:pPr>
      <w:bookmarkStart w:id="0" w:name="_Toc391474920"/>
      <w:r>
        <w:rPr>
          <w:rFonts w:cs="Calibri"/>
        </w:rPr>
        <w:t>Nepovinná příloha č. 3</w:t>
      </w:r>
      <w:r w:rsidRPr="00F23CDB">
        <w:rPr>
          <w:rFonts w:cs="Calibri"/>
        </w:rPr>
        <w:t>:</w:t>
      </w:r>
      <w:r w:rsidRPr="00793229">
        <w:t xml:space="preserve"> </w:t>
      </w:r>
      <w:r>
        <w:t>Základní principy monitorování a vyhodnocování OP PIK</w:t>
      </w:r>
      <w:bookmarkEnd w:id="0"/>
    </w:p>
    <w:p w:rsidR="00293757" w:rsidRPr="009E619F" w:rsidRDefault="00293757" w:rsidP="00293757">
      <w:pPr>
        <w:pStyle w:val="Standardntext"/>
        <w:numPr>
          <w:ilvl w:val="0"/>
          <w:numId w:val="2"/>
        </w:numPr>
        <w:ind w:left="714" w:hanging="357"/>
        <w:rPr>
          <w:b/>
          <w:szCs w:val="22"/>
        </w:rPr>
      </w:pPr>
      <w:r w:rsidRPr="009E619F">
        <w:rPr>
          <w:b/>
          <w:szCs w:val="22"/>
        </w:rPr>
        <w:t>Východiska</w:t>
      </w:r>
    </w:p>
    <w:p w:rsidR="00293757" w:rsidRDefault="00293757" w:rsidP="00293757">
      <w:pPr>
        <w:pStyle w:val="Standardntext"/>
        <w:rPr>
          <w:szCs w:val="22"/>
        </w:rPr>
      </w:pPr>
      <w:r>
        <w:rPr>
          <w:szCs w:val="22"/>
        </w:rPr>
        <w:t>Principy monitorování a vyhodnocování realizace OP PIK v programovacím období 2014-2020 vycházejí zejména z:</w:t>
      </w:r>
    </w:p>
    <w:p w:rsidR="00293757" w:rsidRPr="0033776D" w:rsidRDefault="00293757" w:rsidP="00293757">
      <w:pPr>
        <w:pStyle w:val="Standardntext"/>
        <w:numPr>
          <w:ilvl w:val="0"/>
          <w:numId w:val="3"/>
        </w:numPr>
        <w:rPr>
          <w:b/>
          <w:szCs w:val="22"/>
        </w:rPr>
      </w:pPr>
      <w:r>
        <w:rPr>
          <w:b/>
          <w:szCs w:val="22"/>
        </w:rPr>
        <w:t>h</w:t>
      </w:r>
      <w:r w:rsidRPr="0033776D">
        <w:rPr>
          <w:b/>
          <w:szCs w:val="22"/>
        </w:rPr>
        <w:t>lavních doporučení EK pro oblast monitoringu a evaluací formulovaných v příslušných metodických dokumentech</w:t>
      </w:r>
      <w:r>
        <w:rPr>
          <w:rStyle w:val="Znakapoznpodarou"/>
          <w:b/>
          <w:szCs w:val="22"/>
        </w:rPr>
        <w:footnoteReference w:id="1"/>
      </w:r>
    </w:p>
    <w:p w:rsidR="00293757" w:rsidRPr="00FC0044" w:rsidRDefault="00293757" w:rsidP="00293757">
      <w:pPr>
        <w:pStyle w:val="Standardntext"/>
      </w:pPr>
      <w:r w:rsidRPr="00FC0044">
        <w:t xml:space="preserve">Programovací období 2014-2020 přináší některé významné změny v přístupech k monitoringu a vyhodnocování kohezní politiky. </w:t>
      </w:r>
      <w:r w:rsidRPr="00FC0044">
        <w:rPr>
          <w:rStyle w:val="longtext"/>
        </w:rPr>
        <w:t>Nejdůležitější z nich je větší důraz na cílenost této politiky s tím, že větší pozornost by měla být věnována výsledkům namísto absorpce finančních zdrojů. Druhým významným prvkem je snaha o jasnější a jednoznačnější odlišení monitoringu od evaluací a větší důraz na hodnocení výsledků kohezní politiky prostřednictvím vhodně zvolených evaluačních metod.</w:t>
      </w:r>
    </w:p>
    <w:p w:rsidR="00293757" w:rsidRPr="0033776D" w:rsidRDefault="00293757" w:rsidP="00293757">
      <w:pPr>
        <w:pStyle w:val="Standardntext"/>
        <w:numPr>
          <w:ilvl w:val="0"/>
          <w:numId w:val="3"/>
        </w:numPr>
        <w:rPr>
          <w:b/>
          <w:szCs w:val="22"/>
        </w:rPr>
      </w:pPr>
      <w:r>
        <w:rPr>
          <w:b/>
          <w:szCs w:val="22"/>
        </w:rPr>
        <w:t>z</w:t>
      </w:r>
      <w:r w:rsidRPr="0033776D">
        <w:rPr>
          <w:b/>
          <w:szCs w:val="22"/>
        </w:rPr>
        <w:t>kušeností získaných při implementaci OPPI v programovacím období 20</w:t>
      </w:r>
      <w:r>
        <w:rPr>
          <w:b/>
          <w:szCs w:val="22"/>
        </w:rPr>
        <w:t>07-2013</w:t>
      </w:r>
    </w:p>
    <w:p w:rsidR="00293757" w:rsidRDefault="00293757" w:rsidP="00293757">
      <w:pPr>
        <w:pStyle w:val="Standardntext"/>
      </w:pPr>
      <w:r w:rsidRPr="005A5DEE">
        <w:t>Programovací období 2007 – 2013 bylo spojováno s nadbytečným množstvím indikátorů na projektové úrovni a příjemci tak shromažďovali množství dat pro účely dalšího zpracování. Ř</w:t>
      </w:r>
      <w:r>
        <w:rPr>
          <w:lang w:val="cs-CZ"/>
        </w:rPr>
        <w:t xml:space="preserve">ídící orgán </w:t>
      </w:r>
      <w:r w:rsidRPr="005A5DEE">
        <w:t>reagoval na tyto a další podněty a nechal si ve spolupráci s odborníky v dané oblasti zpracovat evaluaci</w:t>
      </w:r>
      <w:r w:rsidRPr="0070166B">
        <w:rPr>
          <w:rStyle w:val="Znakapoznpodarou"/>
        </w:rPr>
        <w:footnoteReference w:id="2"/>
      </w:r>
      <w:r w:rsidRPr="0070166B">
        <w:rPr>
          <w:vertAlign w:val="superscript"/>
        </w:rPr>
        <w:t>,</w:t>
      </w:r>
      <w:r w:rsidRPr="005A5DEE">
        <w:t xml:space="preserve"> jejíž výstupy, pokud to bylo možné, implementoval. Ve věcném monitoringu se identifikovaly zejména nadbytečné indikátory, nevhodné pro další monitoring. Při konstrukci indikátorové soustavy OP PIK 2014 – 2020 řídící orgán uvedená doporučení zohlednil.</w:t>
      </w:r>
    </w:p>
    <w:p w:rsidR="00293757" w:rsidRPr="005A5DEE" w:rsidRDefault="00293757" w:rsidP="00293757">
      <w:pPr>
        <w:pStyle w:val="Standardntext"/>
      </w:pPr>
    </w:p>
    <w:p w:rsidR="00293757" w:rsidRPr="009E619F" w:rsidRDefault="00293757" w:rsidP="00293757">
      <w:pPr>
        <w:pStyle w:val="Standardntext"/>
        <w:numPr>
          <w:ilvl w:val="0"/>
          <w:numId w:val="2"/>
        </w:numPr>
        <w:ind w:left="714" w:hanging="357"/>
        <w:rPr>
          <w:b/>
          <w:szCs w:val="22"/>
        </w:rPr>
      </w:pPr>
      <w:r>
        <w:rPr>
          <w:b/>
          <w:szCs w:val="22"/>
        </w:rPr>
        <w:t>Základní principy monitorování</w:t>
      </w:r>
      <w:r w:rsidRPr="009E619F">
        <w:rPr>
          <w:b/>
          <w:szCs w:val="22"/>
        </w:rPr>
        <w:t xml:space="preserve"> OP PIK</w:t>
      </w:r>
    </w:p>
    <w:p w:rsidR="00293757" w:rsidRDefault="00293757" w:rsidP="00293757">
      <w:pPr>
        <w:pStyle w:val="Standardntext"/>
        <w:rPr>
          <w:szCs w:val="22"/>
        </w:rPr>
      </w:pPr>
      <w:r>
        <w:rPr>
          <w:szCs w:val="22"/>
        </w:rPr>
        <w:t>Východiskem pro nastavení systému monitorování OP PIK je intervenční logika programu, která na základě situační analýzy a identifikace problémů/potřeb a jejich příčin vymezuje strategii programu a definuje jednotlivé specifické cíle. Při jejich formulaci bylo snahou řídícího orgánu uplatnit následující hlavní principy:</w:t>
      </w:r>
    </w:p>
    <w:p w:rsidR="00293757" w:rsidRDefault="00293757" w:rsidP="00293757">
      <w:pPr>
        <w:pStyle w:val="Standardntext"/>
        <w:numPr>
          <w:ilvl w:val="0"/>
          <w:numId w:val="4"/>
        </w:numPr>
        <w:rPr>
          <w:szCs w:val="22"/>
        </w:rPr>
      </w:pPr>
      <w:r>
        <w:rPr>
          <w:szCs w:val="22"/>
        </w:rPr>
        <w:t>specifický cíl popisuje změnu včetně jejího směru, kterou chce ČR dosáhnout,</w:t>
      </w:r>
    </w:p>
    <w:p w:rsidR="00293757" w:rsidRPr="00703670" w:rsidRDefault="00293757" w:rsidP="00293757">
      <w:pPr>
        <w:pStyle w:val="Standardntext"/>
        <w:numPr>
          <w:ilvl w:val="0"/>
          <w:numId w:val="4"/>
        </w:numPr>
        <w:rPr>
          <w:szCs w:val="22"/>
        </w:rPr>
      </w:pPr>
      <w:r>
        <w:rPr>
          <w:szCs w:val="22"/>
        </w:rPr>
        <w:t>specifický cíl reflektuje národní/regionální</w:t>
      </w:r>
      <w:r w:rsidRPr="00703670">
        <w:rPr>
          <w:szCs w:val="22"/>
        </w:rPr>
        <w:t xml:space="preserve"> kontext</w:t>
      </w:r>
      <w:r>
        <w:rPr>
          <w:szCs w:val="22"/>
        </w:rPr>
        <w:t>,</w:t>
      </w:r>
    </w:p>
    <w:p w:rsidR="00293757" w:rsidRPr="00703670" w:rsidRDefault="00293757" w:rsidP="00293757">
      <w:pPr>
        <w:pStyle w:val="Standardntext"/>
        <w:numPr>
          <w:ilvl w:val="0"/>
          <w:numId w:val="4"/>
        </w:numPr>
        <w:rPr>
          <w:szCs w:val="22"/>
        </w:rPr>
      </w:pPr>
      <w:r>
        <w:rPr>
          <w:szCs w:val="22"/>
        </w:rPr>
        <w:t>specifický cíl je přesněji vymezený než investiční priorita,</w:t>
      </w:r>
    </w:p>
    <w:p w:rsidR="00293757" w:rsidRPr="00703670" w:rsidRDefault="00293757" w:rsidP="00293757">
      <w:pPr>
        <w:pStyle w:val="Standardntext"/>
        <w:numPr>
          <w:ilvl w:val="0"/>
          <w:numId w:val="4"/>
        </w:numPr>
        <w:rPr>
          <w:szCs w:val="22"/>
        </w:rPr>
      </w:pPr>
      <w:r>
        <w:rPr>
          <w:szCs w:val="22"/>
        </w:rPr>
        <w:t xml:space="preserve">specifický cíl by neměl v názvu obsahovat </w:t>
      </w:r>
      <w:r w:rsidRPr="00703670">
        <w:rPr>
          <w:szCs w:val="22"/>
        </w:rPr>
        <w:t>podporované aktivity ani kvantifikované hodnoty</w:t>
      </w:r>
      <w:r>
        <w:rPr>
          <w:szCs w:val="22"/>
        </w:rPr>
        <w:t>,</w:t>
      </w:r>
    </w:p>
    <w:p w:rsidR="00293757" w:rsidRPr="00703670" w:rsidRDefault="00293757" w:rsidP="00293757">
      <w:pPr>
        <w:pStyle w:val="Standardntext"/>
        <w:numPr>
          <w:ilvl w:val="0"/>
          <w:numId w:val="4"/>
        </w:numPr>
        <w:rPr>
          <w:szCs w:val="22"/>
        </w:rPr>
      </w:pPr>
      <w:r>
        <w:rPr>
          <w:szCs w:val="22"/>
        </w:rPr>
        <w:t>t</w:t>
      </w:r>
      <w:r w:rsidRPr="00703670">
        <w:rPr>
          <w:szCs w:val="22"/>
        </w:rPr>
        <w:t>ypy aktiv</w:t>
      </w:r>
      <w:r>
        <w:rPr>
          <w:szCs w:val="22"/>
        </w:rPr>
        <w:t>i</w:t>
      </w:r>
      <w:r w:rsidRPr="00703670">
        <w:rPr>
          <w:szCs w:val="22"/>
        </w:rPr>
        <w:t>t v rámci dan</w:t>
      </w:r>
      <w:r>
        <w:rPr>
          <w:szCs w:val="22"/>
        </w:rPr>
        <w:t>é</w:t>
      </w:r>
      <w:r w:rsidRPr="00703670">
        <w:rPr>
          <w:szCs w:val="22"/>
        </w:rPr>
        <w:t xml:space="preserve"> investičn</w:t>
      </w:r>
      <w:r>
        <w:rPr>
          <w:szCs w:val="22"/>
        </w:rPr>
        <w:t>í</w:t>
      </w:r>
      <w:r w:rsidRPr="00703670">
        <w:rPr>
          <w:szCs w:val="22"/>
        </w:rPr>
        <w:t xml:space="preserve"> priority maj</w:t>
      </w:r>
      <w:r>
        <w:rPr>
          <w:szCs w:val="22"/>
        </w:rPr>
        <w:t>í</w:t>
      </w:r>
      <w:r w:rsidRPr="00703670">
        <w:rPr>
          <w:szCs w:val="22"/>
        </w:rPr>
        <w:t xml:space="preserve"> p</w:t>
      </w:r>
      <w:r>
        <w:rPr>
          <w:szCs w:val="22"/>
        </w:rPr>
        <w:t xml:space="preserve">řispět </w:t>
      </w:r>
      <w:r w:rsidRPr="00703670">
        <w:rPr>
          <w:szCs w:val="22"/>
        </w:rPr>
        <w:t>k</w:t>
      </w:r>
      <w:r>
        <w:rPr>
          <w:szCs w:val="22"/>
        </w:rPr>
        <w:t> </w:t>
      </w:r>
      <w:r w:rsidRPr="00703670">
        <w:rPr>
          <w:szCs w:val="22"/>
        </w:rPr>
        <w:t>dos</w:t>
      </w:r>
      <w:r>
        <w:rPr>
          <w:szCs w:val="22"/>
        </w:rPr>
        <w:t>ažení specifického cíle.</w:t>
      </w:r>
    </w:p>
    <w:p w:rsidR="00293757" w:rsidRDefault="00293757" w:rsidP="00293757">
      <w:pPr>
        <w:pStyle w:val="Standardntext"/>
        <w:rPr>
          <w:szCs w:val="22"/>
        </w:rPr>
      </w:pPr>
      <w:r>
        <w:rPr>
          <w:szCs w:val="22"/>
        </w:rPr>
        <w:t>Pro účely monitorování OP PIK byl navržen integrovaný set ukazatelů (společných a specifických), které jsou navzájem logicky provázané a zároveň:</w:t>
      </w:r>
    </w:p>
    <w:p w:rsidR="00293757" w:rsidRPr="009E1686" w:rsidRDefault="00293757" w:rsidP="00293757">
      <w:pPr>
        <w:pStyle w:val="Standardntext"/>
        <w:numPr>
          <w:ilvl w:val="0"/>
          <w:numId w:val="4"/>
        </w:numPr>
        <w:rPr>
          <w:szCs w:val="22"/>
        </w:rPr>
      </w:pPr>
      <w:r>
        <w:rPr>
          <w:szCs w:val="22"/>
        </w:rPr>
        <w:t>pokrývají nejdůležitější části</w:t>
      </w:r>
      <w:r w:rsidRPr="009E1686">
        <w:rPr>
          <w:szCs w:val="22"/>
        </w:rPr>
        <w:t>/rozsah prioritn</w:t>
      </w:r>
      <w:r>
        <w:rPr>
          <w:szCs w:val="22"/>
        </w:rPr>
        <w:t>ích os,</w:t>
      </w:r>
    </w:p>
    <w:p w:rsidR="00293757" w:rsidRPr="009E1686" w:rsidRDefault="00293757" w:rsidP="00293757">
      <w:pPr>
        <w:pStyle w:val="Standardntext"/>
        <w:numPr>
          <w:ilvl w:val="0"/>
          <w:numId w:val="4"/>
        </w:numPr>
        <w:rPr>
          <w:szCs w:val="22"/>
        </w:rPr>
      </w:pPr>
      <w:r>
        <w:rPr>
          <w:szCs w:val="22"/>
        </w:rPr>
        <w:lastRenderedPageBreak/>
        <w:t>jsou v rámci možností jednoduché,</w:t>
      </w:r>
    </w:p>
    <w:p w:rsidR="00293757" w:rsidRPr="009E1686" w:rsidRDefault="00293757" w:rsidP="00293757">
      <w:pPr>
        <w:pStyle w:val="Standardntext"/>
        <w:numPr>
          <w:ilvl w:val="0"/>
          <w:numId w:val="4"/>
        </w:numPr>
        <w:rPr>
          <w:szCs w:val="22"/>
        </w:rPr>
      </w:pPr>
      <w:r>
        <w:rPr>
          <w:szCs w:val="22"/>
        </w:rPr>
        <w:t xml:space="preserve">kladou důraz na </w:t>
      </w:r>
      <w:r w:rsidRPr="009E1686">
        <w:rPr>
          <w:szCs w:val="22"/>
        </w:rPr>
        <w:t>výsledky intervenc</w:t>
      </w:r>
      <w:r>
        <w:rPr>
          <w:szCs w:val="22"/>
        </w:rPr>
        <w:t>í,</w:t>
      </w:r>
    </w:p>
    <w:p w:rsidR="00293757" w:rsidRPr="009E1686" w:rsidRDefault="00293757" w:rsidP="00293757">
      <w:pPr>
        <w:pStyle w:val="Standardntext"/>
        <w:numPr>
          <w:ilvl w:val="0"/>
          <w:numId w:val="4"/>
        </w:numPr>
        <w:rPr>
          <w:szCs w:val="22"/>
        </w:rPr>
      </w:pPr>
      <w:r>
        <w:rPr>
          <w:szCs w:val="22"/>
        </w:rPr>
        <w:t xml:space="preserve">výsledkové </w:t>
      </w:r>
      <w:r w:rsidRPr="009E1686">
        <w:rPr>
          <w:szCs w:val="22"/>
        </w:rPr>
        <w:t>ukaz</w:t>
      </w:r>
      <w:r>
        <w:rPr>
          <w:szCs w:val="22"/>
        </w:rPr>
        <w:t>atele měří změnu situace (regionu, sektoru), ne pouze příjemců podpory,</w:t>
      </w:r>
    </w:p>
    <w:p w:rsidR="00293757" w:rsidRPr="009E1686" w:rsidRDefault="00293757" w:rsidP="00293757">
      <w:pPr>
        <w:pStyle w:val="Standardntext"/>
        <w:numPr>
          <w:ilvl w:val="0"/>
          <w:numId w:val="4"/>
        </w:numPr>
        <w:rPr>
          <w:szCs w:val="22"/>
        </w:rPr>
      </w:pPr>
      <w:r>
        <w:rPr>
          <w:szCs w:val="22"/>
        </w:rPr>
        <w:t>výstupové ukazatele měří přímé výstupy/</w:t>
      </w:r>
      <w:r w:rsidRPr="009E1686">
        <w:rPr>
          <w:szCs w:val="22"/>
        </w:rPr>
        <w:t>produkty realizovaných aktiv</w:t>
      </w:r>
      <w:r>
        <w:rPr>
          <w:szCs w:val="22"/>
        </w:rPr>
        <w:t>i</w:t>
      </w:r>
      <w:r w:rsidRPr="009E1686">
        <w:rPr>
          <w:szCs w:val="22"/>
        </w:rPr>
        <w:t>t</w:t>
      </w:r>
      <w:r>
        <w:rPr>
          <w:szCs w:val="22"/>
        </w:rPr>
        <w:t>.</w:t>
      </w:r>
      <w:r w:rsidRPr="009E1686">
        <w:rPr>
          <w:szCs w:val="22"/>
        </w:rPr>
        <w:t xml:space="preserve"> </w:t>
      </w:r>
    </w:p>
    <w:p w:rsidR="00293757" w:rsidRDefault="00293757" w:rsidP="00293757">
      <w:pPr>
        <w:pStyle w:val="Standardntext"/>
        <w:rPr>
          <w:szCs w:val="22"/>
        </w:rPr>
      </w:pPr>
      <w:r>
        <w:rPr>
          <w:szCs w:val="22"/>
        </w:rPr>
        <w:t>Při formulování výsledků OP PIK a stanovování výsledkových ukazatelů vycházel řídící orgán z předpokladu, že zamýšlený výsledek/změna může být ovlivněn celou řadou různých faktorů. Proto bylo snahou řídícího orgánu v rámci formulování intervenční logiky programu nejprve všechny tyto faktory identifikovat a následně vybrat ty, které budou předmětem intervencí OP PIK.</w:t>
      </w:r>
      <w:r w:rsidRPr="00E95769">
        <w:rPr>
          <w:szCs w:val="22"/>
        </w:rPr>
        <w:t xml:space="preserve"> </w:t>
      </w:r>
    </w:p>
    <w:p w:rsidR="00293757" w:rsidRDefault="00293757" w:rsidP="00293757">
      <w:pPr>
        <w:pStyle w:val="Standardntext"/>
        <w:rPr>
          <w:szCs w:val="22"/>
        </w:rPr>
      </w:pPr>
      <w:r w:rsidRPr="00F21857">
        <w:rPr>
          <w:szCs w:val="22"/>
        </w:rPr>
        <w:t>V</w:t>
      </w:r>
      <w:r>
        <w:rPr>
          <w:szCs w:val="22"/>
        </w:rPr>
        <w:t xml:space="preserve">ýběr výsledkových ukazatelů pro jednotlivé specifické cíle OP PIK </w:t>
      </w:r>
      <w:r w:rsidRPr="00F21857">
        <w:rPr>
          <w:szCs w:val="22"/>
        </w:rPr>
        <w:t>vycházel z</w:t>
      </w:r>
      <w:r>
        <w:rPr>
          <w:szCs w:val="22"/>
        </w:rPr>
        <w:t xml:space="preserve"> obecných</w:t>
      </w:r>
      <w:r w:rsidRPr="00F21857">
        <w:rPr>
          <w:szCs w:val="22"/>
        </w:rPr>
        <w:t xml:space="preserve"> požadavků</w:t>
      </w:r>
      <w:r>
        <w:rPr>
          <w:szCs w:val="22"/>
        </w:rPr>
        <w:t xml:space="preserve"> na tento typ ukazatelů a použité ukazatele zároveň </w:t>
      </w:r>
      <w:r w:rsidRPr="00F21857">
        <w:rPr>
          <w:szCs w:val="22"/>
        </w:rPr>
        <w:t>v</w:t>
      </w:r>
      <w:r>
        <w:rPr>
          <w:szCs w:val="22"/>
        </w:rPr>
        <w:t> </w:t>
      </w:r>
      <w:r w:rsidRPr="00F21857">
        <w:rPr>
          <w:szCs w:val="22"/>
        </w:rPr>
        <w:t>maximální</w:t>
      </w:r>
      <w:r>
        <w:rPr>
          <w:szCs w:val="22"/>
        </w:rPr>
        <w:t xml:space="preserve"> možné</w:t>
      </w:r>
      <w:r w:rsidRPr="00F21857">
        <w:rPr>
          <w:szCs w:val="22"/>
        </w:rPr>
        <w:t xml:space="preserve"> míře </w:t>
      </w:r>
      <w:r>
        <w:rPr>
          <w:szCs w:val="22"/>
        </w:rPr>
        <w:t xml:space="preserve">zohledňují </w:t>
      </w:r>
      <w:r w:rsidRPr="00F21857">
        <w:rPr>
          <w:szCs w:val="22"/>
        </w:rPr>
        <w:t>možnosti</w:t>
      </w:r>
      <w:r>
        <w:rPr>
          <w:szCs w:val="22"/>
        </w:rPr>
        <w:t xml:space="preserve"> relevantních </w:t>
      </w:r>
      <w:r w:rsidRPr="00F21857">
        <w:rPr>
          <w:szCs w:val="22"/>
        </w:rPr>
        <w:t>informační</w:t>
      </w:r>
      <w:r>
        <w:rPr>
          <w:szCs w:val="22"/>
        </w:rPr>
        <w:t>ch</w:t>
      </w:r>
      <w:r w:rsidRPr="00F21857">
        <w:rPr>
          <w:szCs w:val="22"/>
        </w:rPr>
        <w:t xml:space="preserve"> zdroj</w:t>
      </w:r>
      <w:r>
        <w:rPr>
          <w:szCs w:val="22"/>
        </w:rPr>
        <w:t>ů (</w:t>
      </w:r>
      <w:r w:rsidRPr="00F21857">
        <w:rPr>
          <w:szCs w:val="22"/>
        </w:rPr>
        <w:t>Český stati</w:t>
      </w:r>
      <w:r>
        <w:rPr>
          <w:szCs w:val="22"/>
        </w:rPr>
        <w:t xml:space="preserve">stický úřad, resortní statistiky, </w:t>
      </w:r>
      <w:proofErr w:type="spellStart"/>
      <w:r w:rsidRPr="00F21857">
        <w:rPr>
          <w:szCs w:val="22"/>
        </w:rPr>
        <w:t>Eurostat</w:t>
      </w:r>
      <w:proofErr w:type="spellEnd"/>
      <w:r>
        <w:rPr>
          <w:szCs w:val="22"/>
        </w:rPr>
        <w:t xml:space="preserve"> aj.)</w:t>
      </w:r>
      <w:r w:rsidRPr="00F21857">
        <w:rPr>
          <w:szCs w:val="22"/>
        </w:rPr>
        <w:t>.</w:t>
      </w:r>
    </w:p>
    <w:p w:rsidR="00293757" w:rsidRDefault="00293757" w:rsidP="00293757">
      <w:pPr>
        <w:pStyle w:val="Standardntext"/>
        <w:rPr>
          <w:szCs w:val="22"/>
        </w:rPr>
      </w:pPr>
      <w:r>
        <w:rPr>
          <w:szCs w:val="22"/>
        </w:rPr>
        <w:t>Výstupové ukazatele jsou nastaveny v souladu s metodickými požadavky a doporučením tak, aby p</w:t>
      </w:r>
      <w:r w:rsidRPr="007E364F">
        <w:rPr>
          <w:szCs w:val="22"/>
        </w:rPr>
        <w:t>odáva</w:t>
      </w:r>
      <w:r>
        <w:rPr>
          <w:szCs w:val="22"/>
        </w:rPr>
        <w:t>ly inf</w:t>
      </w:r>
      <w:r w:rsidRPr="007E364F">
        <w:rPr>
          <w:szCs w:val="22"/>
        </w:rPr>
        <w:t xml:space="preserve">ormace o </w:t>
      </w:r>
      <w:r>
        <w:rPr>
          <w:szCs w:val="22"/>
        </w:rPr>
        <w:t xml:space="preserve">konkrétních </w:t>
      </w:r>
      <w:r w:rsidRPr="007E364F">
        <w:rPr>
          <w:szCs w:val="22"/>
        </w:rPr>
        <w:t>výstupech</w:t>
      </w:r>
      <w:r>
        <w:rPr>
          <w:szCs w:val="22"/>
        </w:rPr>
        <w:t xml:space="preserve"> </w:t>
      </w:r>
      <w:r w:rsidRPr="007E364F">
        <w:rPr>
          <w:szCs w:val="22"/>
        </w:rPr>
        <w:t>jednotlivých akcí/projektů v rámci operačního programu</w:t>
      </w:r>
      <w:r>
        <w:rPr>
          <w:szCs w:val="22"/>
        </w:rPr>
        <w:t>; j</w:t>
      </w:r>
      <w:r w:rsidRPr="007E364F">
        <w:rPr>
          <w:szCs w:val="22"/>
        </w:rPr>
        <w:t xml:space="preserve">sou </w:t>
      </w:r>
      <w:r>
        <w:rPr>
          <w:szCs w:val="22"/>
        </w:rPr>
        <w:t>vyjádřeny v</w:t>
      </w:r>
      <w:r w:rsidRPr="007E364F">
        <w:rPr>
          <w:szCs w:val="22"/>
        </w:rPr>
        <w:t>e fyzikálních nebo peněžních</w:t>
      </w:r>
      <w:r>
        <w:rPr>
          <w:szCs w:val="22"/>
        </w:rPr>
        <w:t xml:space="preserve"> </w:t>
      </w:r>
      <w:r w:rsidRPr="007E364F">
        <w:rPr>
          <w:szCs w:val="22"/>
        </w:rPr>
        <w:t>jednotkách</w:t>
      </w:r>
      <w:r>
        <w:rPr>
          <w:szCs w:val="22"/>
        </w:rPr>
        <w:t xml:space="preserve">. </w:t>
      </w:r>
    </w:p>
    <w:p w:rsidR="00293757" w:rsidRPr="00DA52EB" w:rsidRDefault="00293757" w:rsidP="00293757">
      <w:pPr>
        <w:pStyle w:val="Standardntext"/>
        <w:spacing w:after="240"/>
        <w:rPr>
          <w:b/>
          <w:szCs w:val="22"/>
        </w:rPr>
      </w:pPr>
      <w:r w:rsidRPr="00DA52EB">
        <w:rPr>
          <w:b/>
          <w:szCs w:val="22"/>
        </w:rPr>
        <w:t xml:space="preserve">Intervenční logika programu je založena na premise, že požadovaných výsledků/změn, kterých chce ČR dosáhnout ke konci programovacího období 2014-2020, bude dosaženo společným působením opatření financovaných z OP PIK a dalších </w:t>
      </w:r>
      <w:r>
        <w:rPr>
          <w:b/>
          <w:szCs w:val="22"/>
        </w:rPr>
        <w:t xml:space="preserve">faktorů (nástrojů a </w:t>
      </w:r>
      <w:r w:rsidRPr="00DA52EB">
        <w:rPr>
          <w:b/>
          <w:szCs w:val="22"/>
        </w:rPr>
        <w:t>opatření</w:t>
      </w:r>
      <w:r>
        <w:rPr>
          <w:b/>
          <w:szCs w:val="22"/>
        </w:rPr>
        <w:t>)</w:t>
      </w:r>
      <w:r w:rsidRPr="00DA52EB">
        <w:rPr>
          <w:b/>
          <w:szCs w:val="22"/>
        </w:rPr>
        <w:t xml:space="preserve"> realizovaných mimo OP PIK.</w:t>
      </w:r>
      <w:r>
        <w:rPr>
          <w:b/>
          <w:szCs w:val="22"/>
        </w:rPr>
        <w:t xml:space="preserve">  </w:t>
      </w:r>
    </w:p>
    <w:p w:rsidR="00293757" w:rsidRDefault="00293757" w:rsidP="00293757">
      <w:pPr>
        <w:pStyle w:val="Standardntext"/>
      </w:pPr>
      <w:r w:rsidRPr="00AB218F">
        <w:t xml:space="preserve">Cílové hodnoty všech </w:t>
      </w:r>
      <w:r>
        <w:t>ukazatelů</w:t>
      </w:r>
      <w:r w:rsidRPr="00AB218F">
        <w:t xml:space="preserve"> OP PIK byly</w:t>
      </w:r>
      <w:r>
        <w:t xml:space="preserve"> řídícím orgánem</w:t>
      </w:r>
      <w:r w:rsidRPr="00AB218F">
        <w:t xml:space="preserve"> stanoveny </w:t>
      </w:r>
      <w:r>
        <w:t>na základě daných východisek a kombinací různých přístupů:</w:t>
      </w:r>
    </w:p>
    <w:p w:rsidR="00293757" w:rsidRPr="00335FBA" w:rsidRDefault="00293757" w:rsidP="00293757">
      <w:pPr>
        <w:pStyle w:val="Standardntext"/>
        <w:numPr>
          <w:ilvl w:val="0"/>
          <w:numId w:val="6"/>
        </w:numPr>
      </w:pPr>
      <w:r w:rsidRPr="00335FBA">
        <w:t>finanční alokace pro OP PIK 2014-2020;</w:t>
      </w:r>
    </w:p>
    <w:p w:rsidR="00293757" w:rsidRPr="00335FBA" w:rsidRDefault="00293757" w:rsidP="00293757">
      <w:pPr>
        <w:pStyle w:val="Standardntext"/>
        <w:numPr>
          <w:ilvl w:val="0"/>
          <w:numId w:val="6"/>
        </w:numPr>
      </w:pPr>
      <w:r w:rsidRPr="00335FBA">
        <w:t>zkušenosti s realizací OPPI 2007–2013, kdy byla provedena analýza dat z monitorovacího systému a zhodnocen věcn</w:t>
      </w:r>
      <w:r>
        <w:t>ý</w:t>
      </w:r>
      <w:r w:rsidRPr="00335FBA">
        <w:t xml:space="preserve"> pokrok OPPI dle aktuálního stavu realizace;</w:t>
      </w:r>
    </w:p>
    <w:p w:rsidR="00293757" w:rsidRPr="00335FBA" w:rsidRDefault="00293757" w:rsidP="00293757">
      <w:pPr>
        <w:pStyle w:val="Standardntext"/>
        <w:numPr>
          <w:ilvl w:val="0"/>
          <w:numId w:val="6"/>
        </w:numPr>
      </w:pPr>
      <w:r w:rsidRPr="00335FBA">
        <w:t xml:space="preserve">expertní odhady prováděné v rámci pracovních skupin </w:t>
      </w:r>
      <w:r>
        <w:t xml:space="preserve">ustanovených </w:t>
      </w:r>
      <w:r w:rsidRPr="00335FBA">
        <w:t>k jednotlivým prioritním osám OP PIK;</w:t>
      </w:r>
    </w:p>
    <w:p w:rsidR="00293757" w:rsidRPr="00A870BF" w:rsidRDefault="00293757" w:rsidP="00293757">
      <w:pPr>
        <w:pStyle w:val="Standardntext"/>
        <w:numPr>
          <w:ilvl w:val="0"/>
          <w:numId w:val="6"/>
        </w:numPr>
      </w:pPr>
      <w:r w:rsidRPr="00A870BF">
        <w:t xml:space="preserve">výstupy externě zadané studie „Analýza absorpční kapacity a návrh cílových hodnot indikátorů Operačního programu podnikání a inovace pro konkurenceschopnost 2014-2020“ (Závěrečná zpráva, únor 2014) a „Analýza indikátorů výsledku Operačního programu Podnikání a inovace pro konkurenceschopnost 2014 – 2020“ (Průběžná zpráva, květen 2014), které ve spolupráci s ŘO OP PIK zpracovala poradenská společnost </w:t>
      </w:r>
      <w:proofErr w:type="spellStart"/>
      <w:r w:rsidRPr="00A870BF">
        <w:t>HaskoningDHV</w:t>
      </w:r>
      <w:proofErr w:type="spellEnd"/>
      <w:r w:rsidRPr="00A870BF">
        <w:t xml:space="preserve"> Czech Republic, spol. s r.o.;</w:t>
      </w:r>
    </w:p>
    <w:p w:rsidR="00293757" w:rsidRPr="00335FBA" w:rsidRDefault="00293757" w:rsidP="00293757">
      <w:pPr>
        <w:pStyle w:val="Standardntext"/>
        <w:numPr>
          <w:ilvl w:val="0"/>
          <w:numId w:val="6"/>
        </w:numPr>
      </w:pPr>
      <w:r w:rsidRPr="00335FBA">
        <w:t>zájem ze strany hlavních kategorií potencionálních příjemců podpory v OP PIK indikovaný prostřednictvím partnerů zapojených do přípravy operačního programu.</w:t>
      </w:r>
    </w:p>
    <w:p w:rsidR="00293757" w:rsidRDefault="00293757" w:rsidP="00293757">
      <w:pPr>
        <w:pStyle w:val="Standardntext"/>
      </w:pPr>
    </w:p>
    <w:p w:rsidR="00293757" w:rsidRPr="00AB218F" w:rsidRDefault="00293757" w:rsidP="00293757">
      <w:pPr>
        <w:pStyle w:val="Standardntext"/>
      </w:pPr>
      <w:r w:rsidRPr="008B1356">
        <w:t xml:space="preserve">V rámci </w:t>
      </w:r>
      <w:r w:rsidRPr="008B1356">
        <w:rPr>
          <w:u w:val="single"/>
        </w:rPr>
        <w:t>monitoringu</w:t>
      </w:r>
      <w:r w:rsidRPr="008B1356">
        <w:t xml:space="preserve"> programu bude řídící orgán sledovat, zda jsou realizovány příslušné aktivity/opatření a zda implementace programu probíhá v souladu s očekáváními. Zároveň budou sledovány hodnoty výsledkových ukazatelů a to, zda se mění žádoucím směrem (pokles nebo naopak nárůst). </w:t>
      </w:r>
      <w:r>
        <w:t xml:space="preserve">Hlavním nástrojem pro monitorování </w:t>
      </w:r>
      <w:r w:rsidRPr="00AB218F">
        <w:t xml:space="preserve">OP PIK </w:t>
      </w:r>
      <w:r>
        <w:t>bude jednotný</w:t>
      </w:r>
      <w:r w:rsidRPr="00AB218F">
        <w:t xml:space="preserve"> </w:t>
      </w:r>
      <w:r>
        <w:t>informační monitorovací</w:t>
      </w:r>
      <w:r w:rsidRPr="00AB218F">
        <w:t xml:space="preserve"> systém a </w:t>
      </w:r>
      <w:r>
        <w:t xml:space="preserve">pokrok v implementaci programu </w:t>
      </w:r>
      <w:r w:rsidRPr="00AB218F">
        <w:t xml:space="preserve">bude pravidelně </w:t>
      </w:r>
      <w:r w:rsidRPr="00AB218F">
        <w:lastRenderedPageBreak/>
        <w:t xml:space="preserve">vykazován v rámci Ročních a zpráv o realizaci OP PIK, jejichž součástí je i vývoj hodnot </w:t>
      </w:r>
      <w:r>
        <w:t xml:space="preserve">ukazatelů. Posuzování stavu realizace OP PIK a jeho finančního i věcného pokroku </w:t>
      </w:r>
      <w:r w:rsidRPr="00AB218F">
        <w:t xml:space="preserve">bude </w:t>
      </w:r>
      <w:r>
        <w:t xml:space="preserve">předmětem </w:t>
      </w:r>
      <w:r w:rsidRPr="00AB218F">
        <w:t>pravidelných zasedání</w:t>
      </w:r>
      <w:r>
        <w:t xml:space="preserve"> Monitorovacího výboru </w:t>
      </w:r>
      <w:r w:rsidRPr="00AB218F">
        <w:t>OP PIK.</w:t>
      </w:r>
    </w:p>
    <w:p w:rsidR="00293757" w:rsidRDefault="00293757" w:rsidP="00293757">
      <w:pPr>
        <w:pStyle w:val="Standardntext"/>
        <w:spacing w:after="240"/>
      </w:pPr>
      <w:r w:rsidRPr="003C295D">
        <w:t xml:space="preserve">Podrobná pravidla a postupy monitorování operačního programu vycházejí z příslušných metodických pokynů NOK a jsou detailně rozpracována v řídící dokumentaci k OP PIK (zejm. Operační manuál OP PIK a jeho přílohy). </w:t>
      </w:r>
      <w:r>
        <w:t>N</w:t>
      </w:r>
      <w:r w:rsidRPr="00001D05">
        <w:t>astavení řídicích a kontrolních systémů programu v rozsahu procesů souvisejících s</w:t>
      </w:r>
      <w:r>
        <w:t> monitorováním programu bude rovněž ověřeno prostřednictvím auditu shody provedeným Auditním orgánem.</w:t>
      </w:r>
    </w:p>
    <w:p w:rsidR="00293757" w:rsidRDefault="00293757" w:rsidP="00293757">
      <w:pPr>
        <w:pStyle w:val="Standardntext"/>
        <w:rPr>
          <w:szCs w:val="22"/>
        </w:rPr>
      </w:pPr>
      <w:r w:rsidRPr="00DA52EB">
        <w:rPr>
          <w:szCs w:val="22"/>
          <w:u w:val="single"/>
        </w:rPr>
        <w:t>Hodnocení</w:t>
      </w:r>
      <w:r>
        <w:rPr>
          <w:szCs w:val="22"/>
        </w:rPr>
        <w:t xml:space="preserve"> výsledků OP PIK vyjádřených změnou hodnot výsledkových ukazatelů je založeno na předpokladu, že tyto změny jsou ovlivňovány jak intervencemi OP PIK, tak i dalšími faktory mimo OP PIK. Úkolem dopadových evaluací proto bude oddělit účinky intervencí OP PIK od působení/vlivu externích faktorů na dosažené výsledky. Tyto evaluace by měly posoudit: i) zda intervence OP PIK měly nějaký účinek (efekt) a pokud ano, jaký, a </w:t>
      </w:r>
      <w:proofErr w:type="spellStart"/>
      <w:r>
        <w:rPr>
          <w:szCs w:val="22"/>
        </w:rPr>
        <w:t>ii</w:t>
      </w:r>
      <w:proofErr w:type="spellEnd"/>
      <w:r>
        <w:rPr>
          <w:szCs w:val="22"/>
        </w:rPr>
        <w:t>) proč a jak realizovaná opatření vedla k daným efektům?</w:t>
      </w:r>
    </w:p>
    <w:p w:rsidR="00293757" w:rsidRDefault="00293757" w:rsidP="00293757">
      <w:pPr>
        <w:pStyle w:val="Standardntext"/>
        <w:rPr>
          <w:szCs w:val="22"/>
        </w:rPr>
      </w:pPr>
      <w:r>
        <w:rPr>
          <w:szCs w:val="22"/>
        </w:rPr>
        <w:t>Hlavním východiskem/rámcem pro provádění hodnocení operačního programu je Evaluační plán OP PIK 2014-2020, jehož úkolem je především:</w:t>
      </w:r>
    </w:p>
    <w:p w:rsidR="00293757" w:rsidRDefault="00293757" w:rsidP="00293757">
      <w:pPr>
        <w:pStyle w:val="Standardntext"/>
        <w:numPr>
          <w:ilvl w:val="0"/>
          <w:numId w:val="5"/>
        </w:numPr>
        <w:rPr>
          <w:szCs w:val="22"/>
        </w:rPr>
      </w:pPr>
      <w:r>
        <w:rPr>
          <w:szCs w:val="22"/>
        </w:rPr>
        <w:t>zlepšit kvalitu prováděných hodnocení prostřednictvím lepšího plánování evaluačních činností,</w:t>
      </w:r>
    </w:p>
    <w:p w:rsidR="00293757" w:rsidRDefault="00293757" w:rsidP="00293757">
      <w:pPr>
        <w:pStyle w:val="Standardntext"/>
        <w:numPr>
          <w:ilvl w:val="0"/>
          <w:numId w:val="5"/>
        </w:numPr>
        <w:rPr>
          <w:szCs w:val="22"/>
        </w:rPr>
      </w:pPr>
      <w:r>
        <w:rPr>
          <w:szCs w:val="22"/>
        </w:rPr>
        <w:t>zajistit dostatek informací využitelných pro řízení programu prostřednictvím výstupů z evaluačních aktivit,</w:t>
      </w:r>
    </w:p>
    <w:p w:rsidR="00293757" w:rsidRDefault="00293757" w:rsidP="00293757">
      <w:pPr>
        <w:pStyle w:val="Standardntext"/>
        <w:numPr>
          <w:ilvl w:val="0"/>
          <w:numId w:val="5"/>
        </w:numPr>
        <w:rPr>
          <w:szCs w:val="22"/>
        </w:rPr>
      </w:pPr>
      <w:r>
        <w:rPr>
          <w:szCs w:val="22"/>
        </w:rPr>
        <w:t>vytvořit rámec pro plánování dopadových evaluací,</w:t>
      </w:r>
    </w:p>
    <w:p w:rsidR="00293757" w:rsidRDefault="00293757" w:rsidP="00293757">
      <w:pPr>
        <w:pStyle w:val="Standardntext"/>
        <w:numPr>
          <w:ilvl w:val="0"/>
          <w:numId w:val="5"/>
        </w:numPr>
        <w:rPr>
          <w:szCs w:val="22"/>
        </w:rPr>
      </w:pPr>
      <w:r>
        <w:rPr>
          <w:rStyle w:val="hps"/>
        </w:rPr>
        <w:t>zajistit vstupy pro</w:t>
      </w:r>
      <w:r>
        <w:t xml:space="preserve"> </w:t>
      </w:r>
      <w:r>
        <w:rPr>
          <w:rStyle w:val="hps"/>
        </w:rPr>
        <w:t>výroční zprávy o provádění</w:t>
      </w:r>
      <w:r>
        <w:t xml:space="preserve"> </w:t>
      </w:r>
      <w:r>
        <w:rPr>
          <w:rStyle w:val="hps"/>
        </w:rPr>
        <w:t>a</w:t>
      </w:r>
      <w:r>
        <w:t xml:space="preserve"> </w:t>
      </w:r>
      <w:r>
        <w:rPr>
          <w:rStyle w:val="hps"/>
        </w:rPr>
        <w:t>zprávy o pokroku</w:t>
      </w:r>
      <w:r>
        <w:t>;</w:t>
      </w:r>
    </w:p>
    <w:p w:rsidR="00293757" w:rsidRDefault="00293757" w:rsidP="00293757">
      <w:pPr>
        <w:pStyle w:val="Standardntext"/>
        <w:numPr>
          <w:ilvl w:val="0"/>
          <w:numId w:val="5"/>
        </w:numPr>
        <w:rPr>
          <w:szCs w:val="22"/>
        </w:rPr>
      </w:pPr>
      <w:r>
        <w:rPr>
          <w:szCs w:val="22"/>
        </w:rPr>
        <w:t xml:space="preserve">zajistit vstupy pro provádění </w:t>
      </w:r>
      <w:r w:rsidRPr="00E4533E">
        <w:rPr>
          <w:szCs w:val="22"/>
        </w:rPr>
        <w:t>syntéz poznatků z různých členských států ze strany Komise a</w:t>
      </w:r>
      <w:r>
        <w:rPr>
          <w:szCs w:val="22"/>
        </w:rPr>
        <w:t xml:space="preserve"> pro </w:t>
      </w:r>
      <w:r w:rsidRPr="00E4533E">
        <w:rPr>
          <w:szCs w:val="22"/>
        </w:rPr>
        <w:t>výměn</w:t>
      </w:r>
      <w:r>
        <w:rPr>
          <w:szCs w:val="22"/>
        </w:rPr>
        <w:t xml:space="preserve">u zkušeností aj.  </w:t>
      </w:r>
    </w:p>
    <w:p w:rsidR="00293757" w:rsidRDefault="00293757" w:rsidP="00293757">
      <w:pPr>
        <w:pStyle w:val="Standardntext"/>
      </w:pPr>
      <w:r w:rsidRPr="005A5DEE">
        <w:t>Evaluační plán OP PIK 2014-2020 bude zpracováván v souladu s příslušnými metodickými pokyny a doporučeními Evropské komise a MMR-NOK a bude předložen ke schválení Monitorovacímu výboru OP PIK nejpozději do 1 roku od schválení programu (čl. 114, odst.1 Obecného nařízení).</w:t>
      </w:r>
    </w:p>
    <w:p w:rsidR="00717AD7" w:rsidRPr="007513EA" w:rsidRDefault="00717AD7" w:rsidP="00717AD7">
      <w:pPr>
        <w:spacing w:after="120"/>
        <w:jc w:val="both"/>
        <w:rPr>
          <w:rFonts w:cs="Calibri"/>
          <w:b/>
          <w:sz w:val="24"/>
          <w:szCs w:val="24"/>
        </w:rPr>
      </w:pPr>
      <w:r w:rsidRPr="007513EA">
        <w:rPr>
          <w:rFonts w:cs="Calibri"/>
          <w:b/>
          <w:sz w:val="24"/>
          <w:szCs w:val="24"/>
        </w:rPr>
        <w:t>Monitoring technické pomoci:</w:t>
      </w:r>
    </w:p>
    <w:p w:rsidR="00293757" w:rsidRDefault="00293757" w:rsidP="00717AD7">
      <w:pPr>
        <w:pStyle w:val="Standardntext"/>
        <w:rPr>
          <w:rFonts w:cs="Calibri"/>
          <w:lang w:val="cs-CZ"/>
        </w:rPr>
      </w:pPr>
    </w:p>
    <w:p w:rsidR="00927134" w:rsidRPr="00927134" w:rsidRDefault="00927134" w:rsidP="00717AD7">
      <w:pPr>
        <w:pStyle w:val="Standardntext"/>
        <w:rPr>
          <w:lang w:val="cs-CZ"/>
        </w:rPr>
      </w:pPr>
      <w:r w:rsidRPr="00E1181F">
        <w:rPr>
          <w:rFonts w:cs="Calibri"/>
        </w:rPr>
        <w:t xml:space="preserve">Závazně bude sledován indikátor výstupu pro plnění aktivit školení žadatelů OP PIK, stejně jako implementační struktury, seminářů, workshopů, konferencí, a dále indikátor sledující zrealizované analytické studie a evaluace. Tyto aktivity mají přispět ke zvýšení absorpční kapacity programu s pevnou vazbou na zvýšení míry povědomí veřejnosti o fondech EU. Tím je plněn výsledkový indikátor navržený MMR-NOK a zakomponovaný do textu </w:t>
      </w:r>
      <w:r>
        <w:rPr>
          <w:rFonts w:cs="Calibri"/>
        </w:rPr>
        <w:t>OP</w:t>
      </w:r>
      <w:r w:rsidRPr="00E1181F">
        <w:rPr>
          <w:rFonts w:cs="Calibri"/>
        </w:rPr>
        <w:t>TP, sledovaný centrálně na úrovni MMR-NOK. Ve vztahu k interním potřebám programu pak plnění výstupových indikátorů programu směřuje na vyšší míru stabilizace zaměstnanců implementační struktury (indikátor výsledku) a vyšší míru úspěšnosti projektových žádostí.</w:t>
      </w:r>
    </w:p>
    <w:p w:rsidR="00717AD7" w:rsidRPr="007513EA" w:rsidRDefault="00717AD7" w:rsidP="00293757">
      <w:pPr>
        <w:pStyle w:val="Standardntext"/>
        <w:rPr>
          <w:lang w:val="cs-CZ"/>
        </w:rPr>
      </w:pPr>
    </w:p>
    <w:p w:rsidR="00293757" w:rsidRPr="00EB6A8A" w:rsidRDefault="00293757" w:rsidP="00293757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Výkonnostní rezerva / výkonnostní rámec</w:t>
      </w:r>
    </w:p>
    <w:p w:rsidR="00293757" w:rsidRDefault="00293757" w:rsidP="00293757">
      <w:pPr>
        <w:pStyle w:val="Standardntext"/>
      </w:pPr>
      <w:r>
        <w:t>Nařízení č. 1303/2013 definuje v čl. 20 tzv. výkonnostní rezervu a v příloze II. způsob stanovení tzv. výkonnostního rámce. Ten se skládá z </w:t>
      </w:r>
      <w:proofErr w:type="spellStart"/>
      <w:r>
        <w:t>tzv</w:t>
      </w:r>
      <w:proofErr w:type="spellEnd"/>
      <w:r>
        <w:t xml:space="preserve">, milníků stanovených pro každou </w:t>
      </w:r>
      <w:r>
        <w:lastRenderedPageBreak/>
        <w:t xml:space="preserve">prioritní osu (s výjimkou prioritní osy pro technickou pomoc) pro rok 2018 a cílů stanovených pro rok 2023. </w:t>
      </w:r>
    </w:p>
    <w:p w:rsidR="00293757" w:rsidRDefault="00293757" w:rsidP="00293757">
      <w:pPr>
        <w:pStyle w:val="Standardntext"/>
      </w:pPr>
      <w:r>
        <w:t>Milníky jsou průběžné cíle, které jsou případně přímo spojené s dosažením specifického cíle prioritní osy a které vyjadřují zamýšlený pokrok při plnění cílů stanovených pro konec programového období.</w:t>
      </w:r>
    </w:p>
    <w:p w:rsidR="00293757" w:rsidRDefault="00293757" w:rsidP="00293757">
      <w:pPr>
        <w:pStyle w:val="Standardntext"/>
      </w:pPr>
      <w:r>
        <w:t>V souladu s čl. 22 a přílohou II nařízení č. 1303/2013 musí být milníky a cíle (i) realistické, dosažitelné, relevantní a musí zachycovat podstatné informace o pokroku priority (</w:t>
      </w:r>
      <w:proofErr w:type="spellStart"/>
      <w:r>
        <w:t>ii</w:t>
      </w:r>
      <w:proofErr w:type="spellEnd"/>
      <w:r>
        <w:t>) v souladu s podstatou a charakterem konkrétních cílů v rámci dané priority (</w:t>
      </w:r>
      <w:proofErr w:type="spellStart"/>
      <w:r>
        <w:t>iii</w:t>
      </w:r>
      <w:proofErr w:type="spellEnd"/>
      <w:r>
        <w:t>) transparentní, s objektivně ověřitelnými cíli a zdrojem údajů, který je jasně určen a je případně veřejně dostupný (</w:t>
      </w:r>
      <w:proofErr w:type="spellStart"/>
      <w:r>
        <w:t>iv</w:t>
      </w:r>
      <w:proofErr w:type="spellEnd"/>
      <w:r>
        <w:t>) ověřitelné, aniž by představovaly nepřiměřenou administrativní zátěž (v) případně ve vzájemném souladu v rámci různých programů.</w:t>
      </w:r>
    </w:p>
    <w:p w:rsidR="00293757" w:rsidRDefault="00293757" w:rsidP="00293757">
      <w:pPr>
        <w:pStyle w:val="Standardntext"/>
        <w:spacing w:after="240"/>
      </w:pPr>
      <w:r>
        <w:t>Pro OP PIK byly stanoveny hodnoty milníků pro rok 2018 a 2023 (finanční ukazatele „certifikované finanční prostředky“</w:t>
      </w:r>
      <w:r>
        <w:rPr>
          <w:lang w:val="cs-CZ"/>
        </w:rPr>
        <w:t xml:space="preserve"> a </w:t>
      </w:r>
      <w:r>
        <w:t xml:space="preserve">ukazatele výstupů). V případě hodnot milníků stanovených pro rok 2018 přitom není započítáno 6 % určených na výkonnostní rezervu programu. Dále uvedené předpoklady jsou s ohledem na charakter stanovovaných milníků platné pro všechny prioritní osy operačního programu. </w:t>
      </w:r>
    </w:p>
    <w:p w:rsidR="00293757" w:rsidRDefault="00293757" w:rsidP="00293757">
      <w:pPr>
        <w:pStyle w:val="Standardntext"/>
      </w:pPr>
      <w:r>
        <w:t xml:space="preserve">Při kvantifikaci </w:t>
      </w:r>
      <w:r w:rsidRPr="0070166B">
        <w:rPr>
          <w:u w:val="single"/>
        </w:rPr>
        <w:t>milníků pro rok 2018</w:t>
      </w:r>
      <w:r>
        <w:t xml:space="preserve"> byly zohledněny následující předpoklady:</w:t>
      </w:r>
    </w:p>
    <w:p w:rsidR="00293757" w:rsidRDefault="00293757" w:rsidP="00293757">
      <w:pPr>
        <w:pStyle w:val="Standardntext"/>
        <w:numPr>
          <w:ilvl w:val="0"/>
          <w:numId w:val="7"/>
        </w:numPr>
      </w:pPr>
      <w:r>
        <w:rPr>
          <w:lang w:val="cs-CZ"/>
        </w:rPr>
        <w:t>A</w:t>
      </w:r>
      <w:proofErr w:type="spellStart"/>
      <w:r>
        <w:t>ktuální</w:t>
      </w:r>
      <w:proofErr w:type="spellEnd"/>
      <w:r>
        <w:t xml:space="preserve"> finanční plán OP PIK</w:t>
      </w:r>
      <w:r>
        <w:rPr>
          <w:lang w:val="cs-CZ"/>
        </w:rPr>
        <w:t>.</w:t>
      </w:r>
    </w:p>
    <w:p w:rsidR="00293757" w:rsidRDefault="00293757" w:rsidP="00293757">
      <w:pPr>
        <w:pStyle w:val="Standardntext"/>
        <w:numPr>
          <w:ilvl w:val="0"/>
          <w:numId w:val="7"/>
        </w:numPr>
      </w:pPr>
      <w:r>
        <w:rPr>
          <w:lang w:val="cs-CZ"/>
        </w:rPr>
        <w:t>Z</w:t>
      </w:r>
      <w:proofErr w:type="spellStart"/>
      <w:r>
        <w:t>kušenosti</w:t>
      </w:r>
      <w:proofErr w:type="spellEnd"/>
      <w:r>
        <w:t xml:space="preserve"> s implementací OPPI 2007 – 2013.</w:t>
      </w:r>
    </w:p>
    <w:p w:rsidR="00293757" w:rsidRPr="007513EA" w:rsidRDefault="00A12D5D" w:rsidP="00293757">
      <w:pPr>
        <w:pStyle w:val="Standardntext"/>
        <w:numPr>
          <w:ilvl w:val="0"/>
          <w:numId w:val="7"/>
        </w:numPr>
      </w:pPr>
      <w:r w:rsidRPr="00D17FDF">
        <w:rPr>
          <w:lang w:val="cs-CZ"/>
        </w:rPr>
        <w:t>První výzvy budou vyhlášeny pravděpodobně nejdříve až ve 2. čtvrtletí 2015, není ovšem zřejmé (ve vazbě na připravovaný indikativní plán výzev), zda budou v tomto období vyhlášeny výzvy již ve všech prioritních osách a specifických cílech. Od nich se bude odvíjet příjem žádostí, hodnocení projektů a následně zahájení realizace prvních podpořených projektů, tj. pravděpodobně až ve 3. čtvrtletí 2015</w:t>
      </w:r>
      <w:r w:rsidR="00293757">
        <w:t>.</w:t>
      </w:r>
    </w:p>
    <w:p w:rsidR="00A12D5D" w:rsidRDefault="00A12D5D" w:rsidP="00293757">
      <w:pPr>
        <w:pStyle w:val="Standardntext"/>
        <w:numPr>
          <w:ilvl w:val="0"/>
          <w:numId w:val="7"/>
        </w:numPr>
      </w:pPr>
      <w:r w:rsidRPr="00D17FDF">
        <w:rPr>
          <w:lang w:val="cs-CZ"/>
        </w:rPr>
        <w:t>Předpokládaná délka projektů v jednotlivých prioritních osách</w:t>
      </w:r>
      <w:r>
        <w:rPr>
          <w:lang w:val="cs-CZ"/>
        </w:rPr>
        <w:t>.</w:t>
      </w:r>
    </w:p>
    <w:p w:rsidR="00293757" w:rsidRPr="007513EA" w:rsidRDefault="00A12D5D" w:rsidP="00293757">
      <w:pPr>
        <w:pStyle w:val="Standardntext"/>
        <w:numPr>
          <w:ilvl w:val="0"/>
          <w:numId w:val="7"/>
        </w:numPr>
      </w:pPr>
      <w:r w:rsidRPr="00D17FDF">
        <w:rPr>
          <w:lang w:val="cs-CZ"/>
        </w:rPr>
        <w:t>Při možném předpokladu, že projekty budou dvouleté, to znamená, že první z nich ukončí realizaci nejdříve koncem roku 2017 a finanční prostředky tak budou předkládány k certifikaci až v průběhu roku 2018 (u delších projektů však až počátkem roku 2019)</w:t>
      </w:r>
      <w:r w:rsidR="00293757">
        <w:t xml:space="preserve">. </w:t>
      </w:r>
    </w:p>
    <w:p w:rsidR="00A12D5D" w:rsidRDefault="00A12D5D" w:rsidP="00293757">
      <w:pPr>
        <w:pStyle w:val="Standardntext"/>
        <w:numPr>
          <w:ilvl w:val="0"/>
          <w:numId w:val="7"/>
        </w:numPr>
      </w:pPr>
      <w:r w:rsidRPr="00D17FDF">
        <w:rPr>
          <w:lang w:val="cs-CZ"/>
        </w:rPr>
        <w:t>Ukazatelé výstupů stanovené ve výkonnostním rámci odpovídají více než 50 % finančního přídělu na prioritu (v souladu se čl. 5 Prováděcího nařízení komise (EU) č. 215/2014)</w:t>
      </w:r>
      <w:r>
        <w:rPr>
          <w:lang w:val="cs-CZ"/>
        </w:rPr>
        <w:t>.</w:t>
      </w:r>
    </w:p>
    <w:p w:rsidR="00293757" w:rsidRPr="007513EA" w:rsidRDefault="00A12D5D" w:rsidP="00293757">
      <w:pPr>
        <w:pStyle w:val="Standardntext"/>
        <w:numPr>
          <w:ilvl w:val="0"/>
          <w:numId w:val="7"/>
        </w:numPr>
      </w:pPr>
      <w:r w:rsidRPr="00D17FDF">
        <w:rPr>
          <w:lang w:val="cs-CZ"/>
        </w:rPr>
        <w:t>Není započítána výkonnostní rezerva stanovená ŘO OP PIK na roky 2014 a 2015</w:t>
      </w:r>
      <w:r w:rsidR="00293757">
        <w:t>.</w:t>
      </w:r>
    </w:p>
    <w:p w:rsidR="00A12D5D" w:rsidRPr="007513EA" w:rsidRDefault="00A12D5D" w:rsidP="00293757">
      <w:pPr>
        <w:pStyle w:val="Standardntext"/>
        <w:numPr>
          <w:ilvl w:val="0"/>
          <w:numId w:val="7"/>
        </w:numPr>
      </w:pPr>
      <w:r w:rsidRPr="00D17FDF">
        <w:rPr>
          <w:lang w:val="cs-CZ"/>
        </w:rPr>
        <w:t xml:space="preserve">Pravidlo n+3, na základě kterého je nutné vzít v úvahu, že na konci roku 2018 </w:t>
      </w:r>
      <w:r w:rsidRPr="00D17FDF">
        <w:rPr>
          <w:lang w:val="cs-CZ"/>
        </w:rPr>
        <w:br/>
        <w:t xml:space="preserve">by měla být </w:t>
      </w:r>
      <w:r>
        <w:rPr>
          <w:lang w:val="cs-CZ"/>
        </w:rPr>
        <w:t>vyčerpána alokace let 2014, 2015.</w:t>
      </w:r>
    </w:p>
    <w:p w:rsidR="00A12D5D" w:rsidRDefault="00A12D5D" w:rsidP="00293757">
      <w:pPr>
        <w:pStyle w:val="Standardntext"/>
        <w:numPr>
          <w:ilvl w:val="0"/>
          <w:numId w:val="7"/>
        </w:numPr>
      </w:pPr>
      <w:r>
        <w:rPr>
          <w:lang w:val="cs-CZ"/>
        </w:rPr>
        <w:t xml:space="preserve">Nové aktivity (například </w:t>
      </w:r>
      <w:r w:rsidRPr="00D17FDF">
        <w:rPr>
          <w:lang w:val="cs-CZ"/>
        </w:rPr>
        <w:t>některé aktivity v SC</w:t>
      </w:r>
      <w:r>
        <w:rPr>
          <w:lang w:val="cs-CZ"/>
        </w:rPr>
        <w:t xml:space="preserve"> 1.1, aktivity v SC 3.3, SC 3.4, </w:t>
      </w:r>
      <w:r w:rsidRPr="00D17FDF">
        <w:rPr>
          <w:lang w:val="cs-CZ"/>
        </w:rPr>
        <w:t>SC 3.6, SC 4.1)</w:t>
      </w:r>
      <w:r>
        <w:rPr>
          <w:lang w:val="cs-CZ"/>
        </w:rPr>
        <w:t>.</w:t>
      </w:r>
    </w:p>
    <w:p w:rsidR="00A12D5D" w:rsidRDefault="00A12D5D" w:rsidP="00293757">
      <w:pPr>
        <w:pStyle w:val="Standardntext"/>
        <w:spacing w:after="240"/>
        <w:rPr>
          <w:lang w:val="cs-CZ"/>
        </w:rPr>
      </w:pPr>
      <w:r w:rsidRPr="00A12D5D">
        <w:rPr>
          <w:lang w:val="cs-CZ"/>
        </w:rPr>
        <w:t xml:space="preserve"> </w:t>
      </w:r>
      <w:r w:rsidRPr="00D17FDF">
        <w:rPr>
          <w:lang w:val="cs-CZ"/>
        </w:rPr>
        <w:t xml:space="preserve">Pro stanovení celkového milníku pro rok 2018 byla od součtu celkových alokací (tj. prostředky ERDF + národní spolufinancování – veřejné a soukromé) jednotlivých prioritních os na roky 2014 (13,45 % alokace </w:t>
      </w:r>
      <w:bookmarkStart w:id="1" w:name="_GoBack"/>
      <w:bookmarkEnd w:id="1"/>
      <w:r w:rsidRPr="00D17FDF">
        <w:rPr>
          <w:lang w:val="cs-CZ"/>
        </w:rPr>
        <w:t xml:space="preserve">ERDF) a 2015 (13,71 % alokace ERDF) odečtena předpokládaná záloha (předběžná platba dle čl. 134 nařízení č. 1303/2013) ve výši 10 % prostředků ERDF na program a zároveň stanovená výkonnostní rezerva za roky 2014 a 2015 (celkem ve výši </w:t>
      </w:r>
      <w:r w:rsidR="00D36E2F" w:rsidRPr="00D36E2F">
        <w:rPr>
          <w:lang w:val="cs-CZ"/>
        </w:rPr>
        <w:t>70 605 992</w:t>
      </w:r>
      <w:r w:rsidRPr="00D17FDF">
        <w:rPr>
          <w:lang w:val="cs-CZ"/>
        </w:rPr>
        <w:t xml:space="preserve"> EUR).</w:t>
      </w:r>
    </w:p>
    <w:p w:rsidR="00A12D5D" w:rsidRPr="00D17FDF" w:rsidRDefault="00A12D5D" w:rsidP="00A12D5D">
      <w:pPr>
        <w:pStyle w:val="Odstavecseseznamem1"/>
        <w:spacing w:after="0" w:line="240" w:lineRule="auto"/>
        <w:ind w:left="0"/>
        <w:jc w:val="both"/>
        <w:rPr>
          <w:i/>
          <w:sz w:val="24"/>
          <w:szCs w:val="24"/>
          <w:lang w:val="cs-CZ"/>
        </w:rPr>
      </w:pPr>
      <w:r w:rsidRPr="00D17FDF">
        <w:rPr>
          <w:i/>
          <w:sz w:val="24"/>
          <w:szCs w:val="24"/>
          <w:lang w:val="cs-CZ"/>
        </w:rPr>
        <w:lastRenderedPageBreak/>
        <w:t>Milník</w:t>
      </w:r>
      <w:r w:rsidRPr="00D17FDF">
        <w:rPr>
          <w:i/>
          <w:sz w:val="24"/>
          <w:szCs w:val="24"/>
          <w:vertAlign w:val="superscript"/>
          <w:lang w:val="cs-CZ"/>
        </w:rPr>
        <w:t>2018</w:t>
      </w:r>
      <w:r w:rsidRPr="00D17FDF">
        <w:rPr>
          <w:i/>
          <w:sz w:val="24"/>
          <w:szCs w:val="24"/>
          <w:lang w:val="cs-CZ"/>
        </w:rPr>
        <w:t>= (celkové způsobilé výdaje 2014 + celkové způsobilé výdaje 2015) – (10% finančních prostředků ERDF na OP PIK + výkonnostní rezerva za roky 2014 a 2015)</w:t>
      </w:r>
    </w:p>
    <w:p w:rsidR="00A12D5D" w:rsidRPr="00D17FDF" w:rsidRDefault="00A12D5D" w:rsidP="00A12D5D">
      <w:pPr>
        <w:pStyle w:val="Odstavecseseznamem1"/>
        <w:spacing w:after="0" w:line="240" w:lineRule="auto"/>
        <w:ind w:left="0"/>
        <w:jc w:val="both"/>
        <w:rPr>
          <w:rFonts w:cs="Times New Roman"/>
          <w:sz w:val="24"/>
          <w:szCs w:val="24"/>
          <w:lang w:val="cs-CZ"/>
        </w:rPr>
      </w:pPr>
    </w:p>
    <w:p w:rsidR="00A12D5D" w:rsidRDefault="00A12D5D" w:rsidP="00A12D5D">
      <w:pPr>
        <w:jc w:val="both"/>
        <w:rPr>
          <w:i/>
          <w:sz w:val="24"/>
          <w:szCs w:val="24"/>
        </w:rPr>
      </w:pPr>
      <w:r w:rsidRPr="00D17FDF">
        <w:rPr>
          <w:i/>
          <w:sz w:val="24"/>
          <w:szCs w:val="24"/>
        </w:rPr>
        <w:t>Milník</w:t>
      </w:r>
      <w:r w:rsidRPr="00D17FDF">
        <w:rPr>
          <w:i/>
          <w:sz w:val="24"/>
          <w:szCs w:val="24"/>
          <w:vertAlign w:val="superscript"/>
        </w:rPr>
        <w:t>2018</w:t>
      </w:r>
      <w:r w:rsidRPr="00D17FDF">
        <w:rPr>
          <w:i/>
          <w:sz w:val="24"/>
          <w:szCs w:val="24"/>
        </w:rPr>
        <w:t>=</w:t>
      </w:r>
      <w:r w:rsidRPr="00D17FDF">
        <w:rPr>
          <w:color w:val="000000"/>
        </w:rPr>
        <w:t xml:space="preserve"> </w:t>
      </w:r>
      <w:r w:rsidRPr="00D17FDF">
        <w:rPr>
          <w:i/>
          <w:sz w:val="24"/>
          <w:szCs w:val="24"/>
        </w:rPr>
        <w:t xml:space="preserve">(celkové způsobilé výdaje 2014 + celkové způsobilé výdaje 2015 - </w:t>
      </w:r>
      <w:r w:rsidRPr="00D17FDF">
        <w:rPr>
          <w:b/>
          <w:color w:val="000000"/>
          <w:sz w:val="24"/>
          <w:szCs w:val="24"/>
        </w:rPr>
        <w:t xml:space="preserve">2 116 955 133,31) – </w:t>
      </w:r>
      <w:r w:rsidRPr="00D17FDF">
        <w:rPr>
          <w:i/>
          <w:sz w:val="24"/>
          <w:szCs w:val="24"/>
        </w:rPr>
        <w:t xml:space="preserve">(10% finančních prostředků ERDF na OP PIK - </w:t>
      </w:r>
      <w:r w:rsidRPr="00D17FDF">
        <w:rPr>
          <w:b/>
          <w:color w:val="000000"/>
          <w:sz w:val="24"/>
          <w:szCs w:val="24"/>
        </w:rPr>
        <w:t>420 546 180,10</w:t>
      </w:r>
      <w:r w:rsidRPr="00D17FDF">
        <w:rPr>
          <w:i/>
          <w:sz w:val="24"/>
          <w:szCs w:val="24"/>
        </w:rPr>
        <w:t xml:space="preserve"> + výkonnostní rezerva za roky 2014 a 2015 – </w:t>
      </w:r>
      <w:r w:rsidR="00D36E2F" w:rsidRPr="00D36E2F">
        <w:rPr>
          <w:b/>
          <w:sz w:val="24"/>
          <w:szCs w:val="24"/>
        </w:rPr>
        <w:t>70 605 992</w:t>
      </w:r>
      <w:r w:rsidRPr="00D17FDF">
        <w:rPr>
          <w:b/>
          <w:sz w:val="24"/>
          <w:szCs w:val="24"/>
        </w:rPr>
        <w:t>,00</w:t>
      </w:r>
      <w:r w:rsidRPr="00D17FDF">
        <w:rPr>
          <w:i/>
          <w:sz w:val="24"/>
          <w:szCs w:val="24"/>
        </w:rPr>
        <w:t>)</w:t>
      </w:r>
    </w:p>
    <w:p w:rsidR="00A12D5D" w:rsidRPr="00D17FDF" w:rsidRDefault="00A12D5D" w:rsidP="00A12D5D">
      <w:pPr>
        <w:jc w:val="both"/>
        <w:rPr>
          <w:b/>
          <w:color w:val="000000"/>
          <w:sz w:val="24"/>
          <w:szCs w:val="24"/>
        </w:rPr>
      </w:pPr>
    </w:p>
    <w:p w:rsidR="00A12D5D" w:rsidRPr="00D17FDF" w:rsidRDefault="00A12D5D" w:rsidP="00A12D5D">
      <w:pPr>
        <w:jc w:val="both"/>
        <w:rPr>
          <w:color w:val="000000"/>
          <w:sz w:val="24"/>
          <w:szCs w:val="24"/>
        </w:rPr>
      </w:pPr>
      <w:r w:rsidRPr="00D17FDF">
        <w:rPr>
          <w:color w:val="000000"/>
          <w:sz w:val="24"/>
          <w:szCs w:val="24"/>
        </w:rPr>
        <w:t>Shodným postupem byly stanoveny finanční milníky za jednotlivé prioritní osy se zohledněním dalších již výše uvedených předpokladů.</w:t>
      </w:r>
    </w:p>
    <w:p w:rsidR="00A12D5D" w:rsidRPr="00D17FDF" w:rsidRDefault="00A12D5D" w:rsidP="00A12D5D">
      <w:pPr>
        <w:jc w:val="both"/>
        <w:rPr>
          <w:color w:val="000000"/>
          <w:sz w:val="24"/>
          <w:szCs w:val="24"/>
        </w:rPr>
      </w:pPr>
    </w:p>
    <w:p w:rsidR="00A12D5D" w:rsidRPr="00D17FDF" w:rsidRDefault="00A12D5D" w:rsidP="00A12D5D">
      <w:pPr>
        <w:pStyle w:val="Odstavecseseznamem1"/>
        <w:spacing w:after="0" w:line="240" w:lineRule="auto"/>
        <w:ind w:left="0"/>
        <w:jc w:val="both"/>
        <w:rPr>
          <w:rFonts w:cs="Times New Roman"/>
          <w:b/>
          <w:sz w:val="24"/>
          <w:szCs w:val="24"/>
          <w:lang w:val="cs-CZ"/>
        </w:rPr>
      </w:pPr>
      <w:r w:rsidRPr="00D17FDF">
        <w:rPr>
          <w:rFonts w:cs="Times New Roman"/>
          <w:b/>
          <w:sz w:val="24"/>
          <w:szCs w:val="24"/>
          <w:lang w:val="cs-CZ"/>
        </w:rPr>
        <w:t>PO 1 – PO 4</w:t>
      </w:r>
    </w:p>
    <w:p w:rsidR="00A12D5D" w:rsidRPr="00D17FDF" w:rsidRDefault="00A12D5D" w:rsidP="00A12D5D">
      <w:pPr>
        <w:pStyle w:val="Odstavecseseznamem1"/>
        <w:spacing w:after="0" w:line="240" w:lineRule="auto"/>
        <w:ind w:left="0"/>
        <w:jc w:val="both"/>
        <w:rPr>
          <w:i/>
          <w:sz w:val="24"/>
          <w:szCs w:val="24"/>
          <w:lang w:val="cs-CZ"/>
        </w:rPr>
      </w:pPr>
      <w:r w:rsidRPr="00D17FDF">
        <w:rPr>
          <w:i/>
          <w:sz w:val="24"/>
          <w:szCs w:val="24"/>
          <w:lang w:val="cs-CZ"/>
        </w:rPr>
        <w:t>Milník</w:t>
      </w:r>
      <w:r w:rsidRPr="00D17FDF">
        <w:rPr>
          <w:i/>
          <w:sz w:val="24"/>
          <w:szCs w:val="24"/>
          <w:vertAlign w:val="superscript"/>
          <w:lang w:val="cs-CZ"/>
        </w:rPr>
        <w:t>2018 PO1</w:t>
      </w:r>
      <w:r w:rsidRPr="00D17FDF">
        <w:rPr>
          <w:i/>
          <w:sz w:val="24"/>
          <w:szCs w:val="24"/>
          <w:lang w:val="cs-CZ"/>
        </w:rPr>
        <w:t>= (celkové způsobilé výdaje na PO 1 v roce 2014 + celkové způsobilé výdaje na PO 1 v roce 2015) – (10% finančních prostředků ERDF na PO 1 + podíl výkonnostní rezervy za roky 2014 a 2015 na PO 1)</w:t>
      </w:r>
    </w:p>
    <w:p w:rsidR="00A12D5D" w:rsidRPr="00D17FDF" w:rsidRDefault="00A12D5D" w:rsidP="00A12D5D">
      <w:pPr>
        <w:pStyle w:val="Odstavecseseznamem1"/>
        <w:spacing w:after="0" w:line="240" w:lineRule="auto"/>
        <w:ind w:left="0"/>
        <w:jc w:val="both"/>
        <w:rPr>
          <w:rFonts w:cs="Times New Roman"/>
          <w:iCs/>
          <w:sz w:val="24"/>
          <w:szCs w:val="24"/>
          <w:lang w:val="cs-CZ"/>
        </w:rPr>
      </w:pPr>
    </w:p>
    <w:p w:rsidR="00A12D5D" w:rsidRPr="00D17FDF" w:rsidRDefault="00A12D5D" w:rsidP="00A12D5D">
      <w:pPr>
        <w:pStyle w:val="Odstavecseseznamem1"/>
        <w:spacing w:after="0" w:line="240" w:lineRule="auto"/>
        <w:ind w:left="0"/>
        <w:jc w:val="both"/>
        <w:rPr>
          <w:i/>
          <w:sz w:val="24"/>
          <w:szCs w:val="24"/>
          <w:lang w:val="cs-CZ"/>
        </w:rPr>
      </w:pPr>
      <w:r w:rsidRPr="00D17FDF">
        <w:rPr>
          <w:i/>
          <w:sz w:val="24"/>
          <w:szCs w:val="24"/>
          <w:lang w:val="cs-CZ"/>
        </w:rPr>
        <w:t>Milník</w:t>
      </w:r>
      <w:r w:rsidRPr="00D17FDF">
        <w:rPr>
          <w:i/>
          <w:sz w:val="24"/>
          <w:szCs w:val="24"/>
          <w:vertAlign w:val="superscript"/>
          <w:lang w:val="cs-CZ"/>
        </w:rPr>
        <w:t>2018 P2</w:t>
      </w:r>
      <w:r w:rsidRPr="00D17FDF">
        <w:rPr>
          <w:i/>
          <w:sz w:val="24"/>
          <w:szCs w:val="24"/>
          <w:lang w:val="cs-CZ"/>
        </w:rPr>
        <w:t>= (celkové způsobilé výdaje na PO 2 v roce 2014 + celkové způsobilé výdaje na PO 2 v roce 2015) – (10% finančních prostředků ERDF na PO 2 + podíl výkonnostní rezervy za roky 2014 a 2015 na PO 2)</w:t>
      </w:r>
    </w:p>
    <w:p w:rsidR="00A12D5D" w:rsidRPr="00D17FDF" w:rsidRDefault="00A12D5D" w:rsidP="00A12D5D">
      <w:pPr>
        <w:pStyle w:val="Odstavecseseznamem1"/>
        <w:spacing w:after="0" w:line="240" w:lineRule="auto"/>
        <w:ind w:left="0"/>
        <w:jc w:val="both"/>
        <w:rPr>
          <w:rFonts w:cs="Times New Roman"/>
          <w:i/>
          <w:iCs/>
          <w:sz w:val="24"/>
          <w:szCs w:val="24"/>
          <w:lang w:val="cs-CZ"/>
        </w:rPr>
      </w:pPr>
    </w:p>
    <w:p w:rsidR="00A12D5D" w:rsidRPr="00D17FDF" w:rsidRDefault="00A12D5D" w:rsidP="00A12D5D">
      <w:pPr>
        <w:pStyle w:val="Odstavecseseznamem1"/>
        <w:spacing w:after="0" w:line="240" w:lineRule="auto"/>
        <w:ind w:left="0"/>
        <w:jc w:val="both"/>
        <w:rPr>
          <w:i/>
          <w:sz w:val="24"/>
          <w:szCs w:val="24"/>
          <w:lang w:val="cs-CZ"/>
        </w:rPr>
      </w:pPr>
      <w:r w:rsidRPr="00D17FDF">
        <w:rPr>
          <w:i/>
          <w:sz w:val="24"/>
          <w:szCs w:val="24"/>
          <w:lang w:val="cs-CZ"/>
        </w:rPr>
        <w:t>Milník</w:t>
      </w:r>
      <w:r w:rsidRPr="00D17FDF">
        <w:rPr>
          <w:i/>
          <w:sz w:val="24"/>
          <w:szCs w:val="24"/>
          <w:vertAlign w:val="superscript"/>
          <w:lang w:val="cs-CZ"/>
        </w:rPr>
        <w:t>2018 PO3</w:t>
      </w:r>
      <w:r w:rsidRPr="00D17FDF">
        <w:rPr>
          <w:i/>
          <w:sz w:val="24"/>
          <w:szCs w:val="24"/>
          <w:lang w:val="cs-CZ"/>
        </w:rPr>
        <w:t>= (celkové způsobilé výdaje na PO 3 v roce 2014 + celkové způsobilé výdaje na PO 3 v roce 2015) – (10% finančních prostředků ERDF na PO 3 + podíl výkonnostní rezervy za roky 2014 a 2015 na PO 3)</w:t>
      </w:r>
    </w:p>
    <w:p w:rsidR="00A12D5D" w:rsidRPr="00D17FDF" w:rsidRDefault="00A12D5D" w:rsidP="00A12D5D">
      <w:pPr>
        <w:pStyle w:val="Odstavecseseznamem1"/>
        <w:spacing w:after="0" w:line="240" w:lineRule="auto"/>
        <w:ind w:left="0"/>
        <w:jc w:val="both"/>
        <w:rPr>
          <w:rFonts w:cs="Times New Roman"/>
          <w:i/>
          <w:iCs/>
          <w:sz w:val="24"/>
          <w:szCs w:val="24"/>
          <w:lang w:val="cs-CZ"/>
        </w:rPr>
      </w:pPr>
    </w:p>
    <w:p w:rsidR="00A12D5D" w:rsidRDefault="00A12D5D" w:rsidP="00A12D5D">
      <w:pPr>
        <w:pStyle w:val="Odstavecseseznamem1"/>
        <w:spacing w:after="0" w:line="240" w:lineRule="auto"/>
        <w:ind w:left="0"/>
        <w:jc w:val="both"/>
        <w:rPr>
          <w:i/>
          <w:sz w:val="24"/>
          <w:szCs w:val="24"/>
          <w:lang w:val="cs-CZ"/>
        </w:rPr>
      </w:pPr>
      <w:r w:rsidRPr="00D17FDF">
        <w:rPr>
          <w:i/>
          <w:sz w:val="24"/>
          <w:szCs w:val="24"/>
          <w:lang w:val="cs-CZ"/>
        </w:rPr>
        <w:t>Milník</w:t>
      </w:r>
      <w:r w:rsidRPr="00D17FDF">
        <w:rPr>
          <w:i/>
          <w:sz w:val="24"/>
          <w:szCs w:val="24"/>
          <w:vertAlign w:val="superscript"/>
          <w:lang w:val="cs-CZ"/>
        </w:rPr>
        <w:t>2018 PO4</w:t>
      </w:r>
      <w:r w:rsidRPr="00D17FDF">
        <w:rPr>
          <w:i/>
          <w:sz w:val="24"/>
          <w:szCs w:val="24"/>
          <w:lang w:val="cs-CZ"/>
        </w:rPr>
        <w:t>= (celkové způsobilé výdaje na PO 4 v roce 2014 + celkové způsobilé výdaje na PO 4 v roce 2015) – (10% finančních prostředků ERDF na PO 4 + podíl výkonnostní rezervy za roky 2014 a 2015 na PO 4)</w:t>
      </w:r>
    </w:p>
    <w:p w:rsidR="00304D49" w:rsidRDefault="00304D49" w:rsidP="00A12D5D">
      <w:pPr>
        <w:pStyle w:val="Odstavecseseznamem1"/>
        <w:spacing w:after="0" w:line="240" w:lineRule="auto"/>
        <w:ind w:left="0"/>
        <w:jc w:val="both"/>
        <w:rPr>
          <w:i/>
          <w:sz w:val="24"/>
          <w:szCs w:val="24"/>
          <w:lang w:val="cs-CZ"/>
        </w:rPr>
      </w:pPr>
    </w:p>
    <w:p w:rsidR="00304D49" w:rsidRPr="00FA50D9" w:rsidRDefault="00304D49" w:rsidP="00A12D5D">
      <w:pPr>
        <w:pStyle w:val="Odstavecseseznamem1"/>
        <w:spacing w:after="0" w:line="240" w:lineRule="auto"/>
        <w:ind w:left="0"/>
        <w:jc w:val="both"/>
        <w:rPr>
          <w:i/>
          <w:sz w:val="24"/>
          <w:szCs w:val="24"/>
          <w:lang w:val="cs-CZ"/>
        </w:rPr>
      </w:pPr>
      <w:r w:rsidRPr="00D17FDF">
        <w:rPr>
          <w:sz w:val="24"/>
          <w:szCs w:val="24"/>
          <w:lang w:val="cs-CZ"/>
        </w:rPr>
        <w:t>Vzhledem k výše uvedenému lze proto reálně očekávat stále ještě relativně nízkou míru plnění jednotlivých milníků, a to i ke konci roku 2018. Právě z tohoto důvodu byl při kvantifikaci milníků zvolen ke konci roku 2018 spíše konzervativnější způsob výpočtu hodnoty dotčeného milníku. Naplňování milníků vzhledem k předpokládanému časovému skluzu v rozběhu implementace nového OP PIK, bude komplikovanější (zejména právě v první fázi), a bude si vyžadovat i speciální přístupy, jako např. urychlování prvních výzev a jejich naplňování, větší vysvětlovací seminární či jiné aktivity ze strany Řídícího orgánu vůči potenciálním příjemcům, atd.</w:t>
      </w:r>
    </w:p>
    <w:p w:rsidR="00A12D5D" w:rsidRDefault="00A12D5D" w:rsidP="00293757">
      <w:pPr>
        <w:pStyle w:val="Standardntext"/>
        <w:spacing w:after="240"/>
        <w:rPr>
          <w:lang w:val="cs-CZ"/>
        </w:rPr>
      </w:pPr>
    </w:p>
    <w:p w:rsidR="00293757" w:rsidRDefault="00293757" w:rsidP="00293757">
      <w:pPr>
        <w:pStyle w:val="Standardntext"/>
      </w:pPr>
      <w:r>
        <w:t xml:space="preserve">Při kvantifikaci </w:t>
      </w:r>
      <w:r w:rsidRPr="0070166B">
        <w:rPr>
          <w:u w:val="single"/>
        </w:rPr>
        <w:t xml:space="preserve">milníků pro rok 2023 </w:t>
      </w:r>
      <w:r>
        <w:t>byly zohledněny navíc následující předpoklady:</w:t>
      </w:r>
    </w:p>
    <w:p w:rsidR="00293757" w:rsidRDefault="00293757" w:rsidP="00293757">
      <w:pPr>
        <w:pStyle w:val="Standardntext"/>
        <w:numPr>
          <w:ilvl w:val="0"/>
          <w:numId w:val="7"/>
        </w:numPr>
      </w:pPr>
      <w:r>
        <w:t>Klíčovým předpokladem je naplnění stanovených cílů programu v jednotlivých prioritních osách (finanční i věcné plnění).</w:t>
      </w:r>
    </w:p>
    <w:p w:rsidR="00293757" w:rsidRDefault="00293757" w:rsidP="00293757">
      <w:pPr>
        <w:pStyle w:val="Standardntext"/>
        <w:numPr>
          <w:ilvl w:val="0"/>
          <w:numId w:val="7"/>
        </w:numPr>
      </w:pPr>
      <w:r>
        <w:t>Započítána je již i výkonnostní rezerva.</w:t>
      </w:r>
    </w:p>
    <w:p w:rsidR="00997B09" w:rsidRDefault="00997B09">
      <w:pPr>
        <w:jc w:val="both"/>
        <w:rPr>
          <w:sz w:val="24"/>
        </w:rPr>
      </w:pPr>
    </w:p>
    <w:sectPr w:rsidR="00997B09"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757" w:rsidRDefault="00293757" w:rsidP="00293757">
      <w:r>
        <w:separator/>
      </w:r>
    </w:p>
  </w:endnote>
  <w:endnote w:type="continuationSeparator" w:id="0">
    <w:p w:rsidR="00293757" w:rsidRDefault="00293757" w:rsidP="00293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757" w:rsidRDefault="00293757" w:rsidP="00293757">
    <w:pPr>
      <w:pStyle w:val="Zpat"/>
      <w:tabs>
        <w:tab w:val="clear" w:pos="9072"/>
      </w:tabs>
      <w:jc w:val="right"/>
      <w:rPr>
        <w:lang w:val="cs-CZ"/>
      </w:rPr>
    </w:pPr>
    <w:r>
      <w:fldChar w:fldCharType="begin"/>
    </w:r>
    <w:r>
      <w:instrText>PAGE   \* MERGEFORMAT</w:instrText>
    </w:r>
    <w:r>
      <w:fldChar w:fldCharType="separate"/>
    </w:r>
    <w:r w:rsidR="004263F2">
      <w:rPr>
        <w:noProof/>
      </w:rPr>
      <w:t>4</w:t>
    </w:r>
    <w:r>
      <w:fldChar w:fldCharType="end"/>
    </w:r>
  </w:p>
  <w:p w:rsidR="00293757" w:rsidRPr="00293757" w:rsidRDefault="00293757" w:rsidP="00293757">
    <w:pPr>
      <w:pStyle w:val="Zpat"/>
      <w:tabs>
        <w:tab w:val="clear" w:pos="9072"/>
      </w:tabs>
      <w:jc w:val="right"/>
      <w:rPr>
        <w:lang w:val="cs-C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757" w:rsidRDefault="00293757" w:rsidP="00293757">
      <w:r>
        <w:separator/>
      </w:r>
    </w:p>
  </w:footnote>
  <w:footnote w:type="continuationSeparator" w:id="0">
    <w:p w:rsidR="00293757" w:rsidRDefault="00293757" w:rsidP="00293757">
      <w:r>
        <w:continuationSeparator/>
      </w:r>
    </w:p>
  </w:footnote>
  <w:footnote w:id="1">
    <w:p w:rsidR="00293757" w:rsidRPr="00FA1AB7" w:rsidRDefault="00293757" w:rsidP="00293757">
      <w:pPr>
        <w:pStyle w:val="Poznmkapodarou"/>
      </w:pPr>
      <w:r w:rsidRPr="00FA1AB7">
        <w:rPr>
          <w:rStyle w:val="Znakapoznpodarou"/>
          <w:sz w:val="16"/>
          <w:szCs w:val="16"/>
        </w:rPr>
        <w:footnoteRef/>
      </w:r>
      <w:r>
        <w:t xml:space="preserve"> Z</w:t>
      </w:r>
      <w:r w:rsidRPr="00FA1AB7">
        <w:t xml:space="preserve">ejm.: EC </w:t>
      </w:r>
      <w:proofErr w:type="spellStart"/>
      <w:r w:rsidRPr="00FA1AB7">
        <w:t>Guidance</w:t>
      </w:r>
      <w:proofErr w:type="spellEnd"/>
      <w:r w:rsidRPr="00FA1AB7">
        <w:t xml:space="preserve"> </w:t>
      </w:r>
      <w:proofErr w:type="spellStart"/>
      <w:r w:rsidRPr="00FA1AB7">
        <w:t>Document</w:t>
      </w:r>
      <w:proofErr w:type="spellEnd"/>
      <w:r w:rsidRPr="00FA1AB7">
        <w:t xml:space="preserve"> on Monitoring and </w:t>
      </w:r>
      <w:proofErr w:type="spellStart"/>
      <w:r w:rsidRPr="00FA1AB7">
        <w:t>Evaluation</w:t>
      </w:r>
      <w:proofErr w:type="spellEnd"/>
      <w:r w:rsidRPr="00FA1AB7">
        <w:t xml:space="preserve"> – </w:t>
      </w:r>
      <w:proofErr w:type="spellStart"/>
      <w:r w:rsidRPr="00FA1AB7">
        <w:t>European</w:t>
      </w:r>
      <w:proofErr w:type="spellEnd"/>
      <w:r w:rsidRPr="00FA1AB7">
        <w:t xml:space="preserve"> </w:t>
      </w:r>
      <w:proofErr w:type="spellStart"/>
      <w:r w:rsidRPr="00FA1AB7">
        <w:t>Regional</w:t>
      </w:r>
      <w:proofErr w:type="spellEnd"/>
      <w:r w:rsidRPr="00FA1AB7">
        <w:t xml:space="preserve"> </w:t>
      </w:r>
      <w:proofErr w:type="spellStart"/>
      <w:r w:rsidRPr="00FA1AB7">
        <w:t>Development</w:t>
      </w:r>
      <w:proofErr w:type="spellEnd"/>
      <w:r w:rsidRPr="00FA1AB7">
        <w:t xml:space="preserve"> </w:t>
      </w:r>
      <w:proofErr w:type="spellStart"/>
      <w:r w:rsidRPr="00FA1AB7">
        <w:t>Fund</w:t>
      </w:r>
      <w:proofErr w:type="spellEnd"/>
      <w:r w:rsidRPr="00FA1AB7">
        <w:t xml:space="preserve"> and </w:t>
      </w:r>
      <w:proofErr w:type="spellStart"/>
      <w:r w:rsidRPr="00FA1AB7">
        <w:t>European</w:t>
      </w:r>
      <w:proofErr w:type="spellEnd"/>
      <w:r w:rsidRPr="00FA1AB7">
        <w:t xml:space="preserve"> </w:t>
      </w:r>
      <w:proofErr w:type="spellStart"/>
      <w:r w:rsidRPr="00FA1AB7">
        <w:t>Social</w:t>
      </w:r>
      <w:proofErr w:type="spellEnd"/>
      <w:r w:rsidRPr="00FA1AB7">
        <w:t xml:space="preserve"> </w:t>
      </w:r>
      <w:proofErr w:type="spellStart"/>
      <w:r w:rsidRPr="00FA1AB7">
        <w:t>Fund</w:t>
      </w:r>
      <w:proofErr w:type="spellEnd"/>
      <w:r w:rsidRPr="00FA1AB7">
        <w:t xml:space="preserve"> – </w:t>
      </w:r>
      <w:proofErr w:type="spellStart"/>
      <w:r w:rsidRPr="00FA1AB7">
        <w:t>Concepts</w:t>
      </w:r>
      <w:proofErr w:type="spellEnd"/>
      <w:r w:rsidRPr="00FA1AB7">
        <w:t xml:space="preserve"> and </w:t>
      </w:r>
      <w:proofErr w:type="spellStart"/>
      <w:r w:rsidRPr="00FA1AB7">
        <w:t>Recommendations</w:t>
      </w:r>
      <w:proofErr w:type="spellEnd"/>
      <w:r w:rsidRPr="00FA1AB7">
        <w:t xml:space="preserve">, </w:t>
      </w:r>
      <w:proofErr w:type="spellStart"/>
      <w:r w:rsidRPr="00FA1AB7">
        <w:t>March</w:t>
      </w:r>
      <w:proofErr w:type="spellEnd"/>
      <w:r w:rsidRPr="00FA1AB7">
        <w:t xml:space="preserve"> 2014;</w:t>
      </w:r>
      <w:r w:rsidRPr="00FA1AB7">
        <w:rPr>
          <w:rFonts w:ascii="Tahoma" w:hAnsi="Tahoma" w:cs="Tahoma"/>
        </w:rPr>
        <w:t xml:space="preserve"> </w:t>
      </w:r>
      <w:r w:rsidRPr="00FA1AB7">
        <w:t xml:space="preserve">EC </w:t>
      </w:r>
      <w:proofErr w:type="spellStart"/>
      <w:r w:rsidRPr="00FA1AB7">
        <w:t>Results</w:t>
      </w:r>
      <w:proofErr w:type="spellEnd"/>
      <w:r w:rsidRPr="00FA1AB7">
        <w:t xml:space="preserve"> </w:t>
      </w:r>
      <w:proofErr w:type="spellStart"/>
      <w:r w:rsidRPr="00FA1AB7">
        <w:t>Indicators</w:t>
      </w:r>
      <w:proofErr w:type="spellEnd"/>
      <w:r w:rsidRPr="00FA1AB7">
        <w:t xml:space="preserve"> 2014+: Report on Pilot </w:t>
      </w:r>
      <w:proofErr w:type="spellStart"/>
      <w:r w:rsidRPr="00FA1AB7">
        <w:t>Tests</w:t>
      </w:r>
      <w:proofErr w:type="spellEnd"/>
      <w:r w:rsidRPr="00FA1AB7">
        <w:t xml:space="preserve"> in 23 </w:t>
      </w:r>
      <w:proofErr w:type="spellStart"/>
      <w:r w:rsidRPr="00FA1AB7">
        <w:t>Regions</w:t>
      </w:r>
      <w:proofErr w:type="spellEnd"/>
      <w:r w:rsidRPr="00FA1AB7">
        <w:t>/</w:t>
      </w:r>
      <w:proofErr w:type="spellStart"/>
      <w:r w:rsidRPr="00FA1AB7">
        <w:t>OPs</w:t>
      </w:r>
      <w:proofErr w:type="spellEnd"/>
      <w:r w:rsidRPr="00FA1AB7">
        <w:t xml:space="preserve"> </w:t>
      </w:r>
      <w:proofErr w:type="spellStart"/>
      <w:r w:rsidRPr="00FA1AB7">
        <w:t>Across</w:t>
      </w:r>
      <w:proofErr w:type="spellEnd"/>
      <w:r w:rsidRPr="00FA1AB7">
        <w:t xml:space="preserve"> 15 MS </w:t>
      </w:r>
      <w:proofErr w:type="spellStart"/>
      <w:r w:rsidRPr="00FA1AB7">
        <w:t>of</w:t>
      </w:r>
      <w:proofErr w:type="spellEnd"/>
      <w:r w:rsidRPr="00FA1AB7">
        <w:t xml:space="preserve"> </w:t>
      </w:r>
      <w:proofErr w:type="spellStart"/>
      <w:r w:rsidRPr="00FA1AB7">
        <w:t>the</w:t>
      </w:r>
      <w:proofErr w:type="spellEnd"/>
      <w:r w:rsidRPr="00FA1AB7">
        <w:t xml:space="preserve"> EU, </w:t>
      </w:r>
      <w:proofErr w:type="spellStart"/>
      <w:r w:rsidRPr="00FA1AB7">
        <w:t>January</w:t>
      </w:r>
      <w:proofErr w:type="spellEnd"/>
      <w:r w:rsidRPr="00FA1AB7">
        <w:t xml:space="preserve"> 2013; F. </w:t>
      </w:r>
      <w:proofErr w:type="spellStart"/>
      <w:r w:rsidRPr="00FA1AB7">
        <w:t>Barca</w:t>
      </w:r>
      <w:proofErr w:type="spellEnd"/>
      <w:r w:rsidRPr="00FA1AB7">
        <w:t xml:space="preserve">, P. </w:t>
      </w:r>
      <w:proofErr w:type="spellStart"/>
      <w:r w:rsidRPr="00FA1AB7">
        <w:t>McCann</w:t>
      </w:r>
      <w:proofErr w:type="spellEnd"/>
      <w:r w:rsidRPr="00FA1AB7">
        <w:t xml:space="preserve">: </w:t>
      </w:r>
      <w:proofErr w:type="spellStart"/>
      <w:r w:rsidRPr="00FA1AB7">
        <w:t>Outcome</w:t>
      </w:r>
      <w:proofErr w:type="spellEnd"/>
      <w:r w:rsidRPr="00FA1AB7">
        <w:t xml:space="preserve"> </w:t>
      </w:r>
      <w:proofErr w:type="spellStart"/>
      <w:r w:rsidRPr="00FA1AB7">
        <w:t>Indicators</w:t>
      </w:r>
      <w:proofErr w:type="spellEnd"/>
      <w:r w:rsidRPr="00FA1AB7">
        <w:t xml:space="preserve"> and </w:t>
      </w:r>
      <w:proofErr w:type="spellStart"/>
      <w:r w:rsidRPr="00FA1AB7">
        <w:t>Targets</w:t>
      </w:r>
      <w:proofErr w:type="spellEnd"/>
      <w:r w:rsidRPr="00FA1AB7">
        <w:t xml:space="preserve"> - </w:t>
      </w:r>
      <w:proofErr w:type="spellStart"/>
      <w:r w:rsidRPr="00FA1AB7">
        <w:t>Towards</w:t>
      </w:r>
      <w:proofErr w:type="spellEnd"/>
      <w:r w:rsidRPr="00FA1AB7">
        <w:t xml:space="preserve"> a New </w:t>
      </w:r>
      <w:proofErr w:type="spellStart"/>
      <w:r w:rsidRPr="00FA1AB7">
        <w:t>System</w:t>
      </w:r>
      <w:proofErr w:type="spellEnd"/>
      <w:r w:rsidRPr="00FA1AB7">
        <w:t xml:space="preserve"> </w:t>
      </w:r>
      <w:proofErr w:type="spellStart"/>
      <w:r w:rsidRPr="00FA1AB7">
        <w:t>of</w:t>
      </w:r>
      <w:proofErr w:type="spellEnd"/>
      <w:r w:rsidRPr="00FA1AB7">
        <w:t xml:space="preserve"> Monitoring and </w:t>
      </w:r>
      <w:proofErr w:type="spellStart"/>
      <w:r w:rsidRPr="00FA1AB7">
        <w:t>Evaluation</w:t>
      </w:r>
      <w:proofErr w:type="spellEnd"/>
      <w:r w:rsidRPr="00FA1AB7">
        <w:t xml:space="preserve"> in EU </w:t>
      </w:r>
      <w:proofErr w:type="spellStart"/>
      <w:r w:rsidRPr="00FA1AB7">
        <w:t>Cohesion</w:t>
      </w:r>
      <w:proofErr w:type="spellEnd"/>
      <w:r w:rsidRPr="00FA1AB7">
        <w:t xml:space="preserve"> </w:t>
      </w:r>
      <w:proofErr w:type="spellStart"/>
      <w:r w:rsidRPr="00FA1AB7">
        <w:t>Policy</w:t>
      </w:r>
      <w:proofErr w:type="spellEnd"/>
      <w:r w:rsidRPr="00FA1AB7">
        <w:t>, June 2011 aj.</w:t>
      </w:r>
    </w:p>
  </w:footnote>
  <w:footnote w:id="2">
    <w:p w:rsidR="00293757" w:rsidRDefault="00293757" w:rsidP="00293757">
      <w:pPr>
        <w:pStyle w:val="Poznmkapodarou"/>
      </w:pPr>
      <w:r w:rsidRPr="00FA1AB7">
        <w:rPr>
          <w:rStyle w:val="Znakapoznpodarou"/>
          <w:sz w:val="16"/>
          <w:szCs w:val="16"/>
        </w:rPr>
        <w:footnoteRef/>
      </w:r>
      <w:r w:rsidRPr="00FA1AB7">
        <w:t xml:space="preserve"> „Vyhodnocení a optimalizace soustavy indikátorů OPPI 2007 - 2012“ realizované IREAS centrum, s.r.o. Praha.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D7B9B"/>
    <w:multiLevelType w:val="hybridMultilevel"/>
    <w:tmpl w:val="9A7E3D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2223B1"/>
    <w:multiLevelType w:val="multilevel"/>
    <w:tmpl w:val="DA023246"/>
    <w:lvl w:ilvl="0">
      <w:start w:val="1"/>
      <w:numFmt w:val="decimal"/>
      <w:pStyle w:val="Nadpis1"/>
      <w:lvlText w:val="ODDÍL %1"/>
      <w:lvlJc w:val="left"/>
      <w:pPr>
        <w:ind w:left="716" w:hanging="432"/>
      </w:pPr>
      <w:rPr>
        <w:rFonts w:hint="default"/>
        <w:spacing w:val="20"/>
        <w:sz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A.2.%4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33545C03"/>
    <w:multiLevelType w:val="hybridMultilevel"/>
    <w:tmpl w:val="69148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142540"/>
    <w:multiLevelType w:val="hybridMultilevel"/>
    <w:tmpl w:val="27CE8772"/>
    <w:lvl w:ilvl="0" w:tplc="DF3A60A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AE5849"/>
    <w:multiLevelType w:val="hybridMultilevel"/>
    <w:tmpl w:val="3E0012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CF6B6C"/>
    <w:multiLevelType w:val="hybridMultilevel"/>
    <w:tmpl w:val="C1345A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F84D62"/>
    <w:multiLevelType w:val="hybridMultilevel"/>
    <w:tmpl w:val="DED64F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trackRevision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757"/>
    <w:rsid w:val="00293757"/>
    <w:rsid w:val="00304D49"/>
    <w:rsid w:val="004263F2"/>
    <w:rsid w:val="00717AD7"/>
    <w:rsid w:val="007513EA"/>
    <w:rsid w:val="00927134"/>
    <w:rsid w:val="00997B09"/>
    <w:rsid w:val="00A12D5D"/>
    <w:rsid w:val="00D3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3757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aliases w:val="h1,H1,Nadpis 1-Nadpis smlouvy,Základní kapitola,V_Head1,Záhlaví 1,0Überschrift 1,1Überschrift 1,2Überschrift 1,3Überschrift 1,4Überschrift 1,5Überschrift 1,6Überschrift 1,7Überschrift 1,8Überschrift 1,9Überschrift 1,10Überschrift 1,Clanek1"/>
    <w:basedOn w:val="Normln"/>
    <w:next w:val="Normln"/>
    <w:link w:val="Nadpis1Char"/>
    <w:uiPriority w:val="9"/>
    <w:qFormat/>
    <w:rsid w:val="00293757"/>
    <w:pPr>
      <w:keepNext/>
      <w:pageBreakBefore/>
      <w:numPr>
        <w:numId w:val="1"/>
      </w:numPr>
      <w:overflowPunct/>
      <w:autoSpaceDE/>
      <w:autoSpaceDN/>
      <w:adjustRightInd/>
      <w:spacing w:before="120" w:after="240" w:line="276" w:lineRule="auto"/>
      <w:ind w:left="432"/>
      <w:jc w:val="both"/>
      <w:textAlignment w:val="auto"/>
      <w:outlineLvl w:val="0"/>
    </w:pPr>
    <w:rPr>
      <w:rFonts w:ascii="Calibri" w:hAnsi="Calibri"/>
      <w:b/>
      <w:bCs/>
      <w:smallCaps/>
      <w:kern w:val="32"/>
      <w:sz w:val="28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293757"/>
    <w:pPr>
      <w:keepNext/>
      <w:numPr>
        <w:ilvl w:val="1"/>
        <w:numId w:val="1"/>
      </w:numPr>
      <w:overflowPunct/>
      <w:autoSpaceDE/>
      <w:autoSpaceDN/>
      <w:adjustRightInd/>
      <w:spacing w:before="240" w:after="240" w:line="276" w:lineRule="auto"/>
      <w:jc w:val="both"/>
      <w:textAlignment w:val="auto"/>
      <w:outlineLvl w:val="1"/>
    </w:pPr>
    <w:rPr>
      <w:rFonts w:ascii="Calibri" w:hAnsi="Calibri"/>
      <w:b/>
      <w:bCs/>
      <w:iCs/>
      <w:sz w:val="26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293757"/>
    <w:pPr>
      <w:keepNext/>
      <w:keepLines/>
      <w:numPr>
        <w:ilvl w:val="2"/>
        <w:numId w:val="1"/>
      </w:numPr>
      <w:overflowPunct/>
      <w:autoSpaceDE/>
      <w:autoSpaceDN/>
      <w:adjustRightInd/>
      <w:spacing w:before="240" w:after="240" w:line="276" w:lineRule="auto"/>
      <w:jc w:val="both"/>
      <w:textAlignment w:val="auto"/>
      <w:outlineLvl w:val="2"/>
    </w:pPr>
    <w:rPr>
      <w:rFonts w:ascii="Calibri" w:hAnsi="Calibri"/>
      <w:b/>
      <w:bCs/>
      <w:color w:val="365F91"/>
      <w:sz w:val="24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qFormat/>
    <w:rsid w:val="00293757"/>
    <w:pPr>
      <w:keepNext/>
      <w:keepLines/>
      <w:numPr>
        <w:ilvl w:val="3"/>
        <w:numId w:val="1"/>
      </w:numPr>
      <w:overflowPunct/>
      <w:autoSpaceDE/>
      <w:autoSpaceDN/>
      <w:adjustRightInd/>
      <w:spacing w:before="360" w:after="120" w:line="276" w:lineRule="auto"/>
      <w:jc w:val="both"/>
      <w:textAlignment w:val="auto"/>
      <w:outlineLvl w:val="3"/>
    </w:pPr>
    <w:rPr>
      <w:rFonts w:ascii="Calibri" w:hAnsi="Calibri"/>
      <w:b/>
      <w:bCs/>
      <w:i/>
      <w:iCs/>
      <w:sz w:val="24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qFormat/>
    <w:rsid w:val="00293757"/>
    <w:pPr>
      <w:keepNext/>
      <w:keepLines/>
      <w:numPr>
        <w:ilvl w:val="4"/>
        <w:numId w:val="1"/>
      </w:numPr>
      <w:overflowPunct/>
      <w:autoSpaceDE/>
      <w:autoSpaceDN/>
      <w:adjustRightInd/>
      <w:spacing w:before="200" w:after="120" w:line="276" w:lineRule="auto"/>
      <w:jc w:val="both"/>
      <w:textAlignment w:val="auto"/>
      <w:outlineLvl w:val="4"/>
    </w:pPr>
    <w:rPr>
      <w:rFonts w:ascii="Calibri" w:hAnsi="Calibri"/>
      <w:color w:val="365F91"/>
      <w:sz w:val="24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qFormat/>
    <w:rsid w:val="00293757"/>
    <w:pPr>
      <w:keepNext/>
      <w:keepLines/>
      <w:numPr>
        <w:ilvl w:val="5"/>
        <w:numId w:val="1"/>
      </w:numPr>
      <w:overflowPunct/>
      <w:autoSpaceDE/>
      <w:autoSpaceDN/>
      <w:adjustRightInd/>
      <w:spacing w:before="200" w:line="276" w:lineRule="auto"/>
      <w:jc w:val="both"/>
      <w:textAlignment w:val="auto"/>
      <w:outlineLvl w:val="5"/>
    </w:pPr>
    <w:rPr>
      <w:rFonts w:ascii="Cambria" w:hAnsi="Cambria"/>
      <w:i/>
      <w:iCs/>
      <w:color w:val="243F60"/>
      <w:sz w:val="24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qFormat/>
    <w:rsid w:val="00293757"/>
    <w:pPr>
      <w:keepNext/>
      <w:keepLines/>
      <w:numPr>
        <w:ilvl w:val="6"/>
        <w:numId w:val="1"/>
      </w:numPr>
      <w:overflowPunct/>
      <w:autoSpaceDE/>
      <w:autoSpaceDN/>
      <w:adjustRightInd/>
      <w:spacing w:before="200" w:line="276" w:lineRule="auto"/>
      <w:jc w:val="both"/>
      <w:textAlignment w:val="auto"/>
      <w:outlineLvl w:val="6"/>
    </w:pPr>
    <w:rPr>
      <w:rFonts w:ascii="Cambria" w:hAnsi="Cambria"/>
      <w:i/>
      <w:iCs/>
      <w:color w:val="404040"/>
      <w:sz w:val="24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qFormat/>
    <w:rsid w:val="00293757"/>
    <w:pPr>
      <w:keepNext/>
      <w:keepLines/>
      <w:numPr>
        <w:ilvl w:val="7"/>
        <w:numId w:val="1"/>
      </w:numPr>
      <w:overflowPunct/>
      <w:autoSpaceDE/>
      <w:autoSpaceDN/>
      <w:adjustRightInd/>
      <w:spacing w:before="200" w:line="276" w:lineRule="auto"/>
      <w:jc w:val="both"/>
      <w:textAlignment w:val="auto"/>
      <w:outlineLvl w:val="7"/>
    </w:pPr>
    <w:rPr>
      <w:rFonts w:ascii="Cambria" w:hAnsi="Cambria"/>
      <w:color w:val="404040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qFormat/>
    <w:rsid w:val="00293757"/>
    <w:pPr>
      <w:keepNext/>
      <w:keepLines/>
      <w:numPr>
        <w:ilvl w:val="8"/>
        <w:numId w:val="1"/>
      </w:numPr>
      <w:overflowPunct/>
      <w:autoSpaceDE/>
      <w:autoSpaceDN/>
      <w:adjustRightInd/>
      <w:spacing w:before="200" w:line="276" w:lineRule="auto"/>
      <w:jc w:val="both"/>
      <w:textAlignment w:val="auto"/>
      <w:outlineLvl w:val="8"/>
    </w:pPr>
    <w:rPr>
      <w:rFonts w:ascii="Cambria" w:hAnsi="Cambria"/>
      <w:i/>
      <w:iCs/>
      <w:color w:val="40404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,Nadpis 1-Nadpis smlouvy Char,Základní kapitola Char,V_Head1 Char,Záhlaví 1 Char,0Überschrift 1 Char,1Überschrift 1 Char,2Überschrift 1 Char,3Überschrift 1 Char,4Überschrift 1 Char,5Überschrift 1 Char,6Überschrift 1 Char"/>
    <w:basedOn w:val="Standardnpsmoodstavce"/>
    <w:link w:val="Nadpis1"/>
    <w:uiPriority w:val="9"/>
    <w:rsid w:val="00293757"/>
    <w:rPr>
      <w:rFonts w:ascii="Calibri" w:hAnsi="Calibri"/>
      <w:b/>
      <w:bCs/>
      <w:smallCaps/>
      <w:kern w:val="32"/>
      <w:sz w:val="28"/>
      <w:szCs w:val="32"/>
      <w:lang w:val="x-none" w:eastAsia="x-none"/>
    </w:rPr>
  </w:style>
  <w:style w:type="character" w:customStyle="1" w:styleId="Nadpis2Char">
    <w:name w:val="Nadpis 2 Char"/>
    <w:basedOn w:val="Standardnpsmoodstavce"/>
    <w:link w:val="Nadpis2"/>
    <w:rsid w:val="00293757"/>
    <w:rPr>
      <w:rFonts w:ascii="Calibri" w:hAnsi="Calibri"/>
      <w:b/>
      <w:bCs/>
      <w:iCs/>
      <w:sz w:val="26"/>
      <w:szCs w:val="28"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"/>
    <w:rsid w:val="00293757"/>
    <w:rPr>
      <w:rFonts w:ascii="Calibri" w:hAnsi="Calibri"/>
      <w:b/>
      <w:bCs/>
      <w:color w:val="365F91"/>
      <w:sz w:val="24"/>
      <w:lang w:val="x-none" w:eastAsia="x-none"/>
    </w:rPr>
  </w:style>
  <w:style w:type="character" w:customStyle="1" w:styleId="Nadpis4Char">
    <w:name w:val="Nadpis 4 Char"/>
    <w:basedOn w:val="Standardnpsmoodstavce"/>
    <w:link w:val="Nadpis4"/>
    <w:uiPriority w:val="9"/>
    <w:rsid w:val="00293757"/>
    <w:rPr>
      <w:rFonts w:ascii="Calibri" w:hAnsi="Calibri"/>
      <w:b/>
      <w:bCs/>
      <w:i/>
      <w:iCs/>
      <w:sz w:val="24"/>
      <w:lang w:val="x-none" w:eastAsia="x-none"/>
    </w:rPr>
  </w:style>
  <w:style w:type="character" w:customStyle="1" w:styleId="Nadpis5Char">
    <w:name w:val="Nadpis 5 Char"/>
    <w:basedOn w:val="Standardnpsmoodstavce"/>
    <w:link w:val="Nadpis5"/>
    <w:uiPriority w:val="9"/>
    <w:rsid w:val="00293757"/>
    <w:rPr>
      <w:rFonts w:ascii="Calibri" w:hAnsi="Calibri"/>
      <w:color w:val="365F91"/>
      <w:sz w:val="24"/>
      <w:lang w:val="x-none" w:eastAsia="x-none"/>
    </w:rPr>
  </w:style>
  <w:style w:type="character" w:customStyle="1" w:styleId="Nadpis6Char">
    <w:name w:val="Nadpis 6 Char"/>
    <w:basedOn w:val="Standardnpsmoodstavce"/>
    <w:link w:val="Nadpis6"/>
    <w:uiPriority w:val="9"/>
    <w:rsid w:val="00293757"/>
    <w:rPr>
      <w:rFonts w:ascii="Cambria" w:hAnsi="Cambria"/>
      <w:i/>
      <w:iCs/>
      <w:color w:val="243F60"/>
      <w:sz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uiPriority w:val="9"/>
    <w:rsid w:val="00293757"/>
    <w:rPr>
      <w:rFonts w:ascii="Cambria" w:hAnsi="Cambria"/>
      <w:i/>
      <w:iCs/>
      <w:color w:val="404040"/>
      <w:sz w:val="24"/>
      <w:lang w:val="x-none" w:eastAsia="x-none"/>
    </w:rPr>
  </w:style>
  <w:style w:type="character" w:customStyle="1" w:styleId="Nadpis8Char">
    <w:name w:val="Nadpis 8 Char"/>
    <w:basedOn w:val="Standardnpsmoodstavce"/>
    <w:link w:val="Nadpis8"/>
    <w:uiPriority w:val="9"/>
    <w:rsid w:val="00293757"/>
    <w:rPr>
      <w:rFonts w:ascii="Cambria" w:hAnsi="Cambria"/>
      <w:color w:val="404040"/>
      <w:lang w:val="x-none" w:eastAsia="x-none"/>
    </w:rPr>
  </w:style>
  <w:style w:type="character" w:customStyle="1" w:styleId="Nadpis9Char">
    <w:name w:val="Nadpis 9 Char"/>
    <w:basedOn w:val="Standardnpsmoodstavce"/>
    <w:link w:val="Nadpis9"/>
    <w:uiPriority w:val="9"/>
    <w:rsid w:val="00293757"/>
    <w:rPr>
      <w:rFonts w:ascii="Cambria" w:hAnsi="Cambria"/>
      <w:i/>
      <w:iCs/>
      <w:color w:val="404040"/>
      <w:lang w:val="x-none" w:eastAsia="x-none"/>
    </w:rPr>
  </w:style>
  <w:style w:type="character" w:styleId="Znakapoznpodarou">
    <w:name w:val="footnote reference"/>
    <w:aliases w:val="BVI fnr,Footnote symbol,Footnote Reference Number,PGI Fußnote Ziffer,Footnote Reference Superscript,Appel note de bas de p,Appel note de bas de page,Légende,Char Car Car Car Car,Voetnootverwijzing,Légende;Char Car Car Car Car"/>
    <w:uiPriority w:val="99"/>
    <w:rsid w:val="0029375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93757"/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</w:pPr>
    <w:rPr>
      <w:rFonts w:ascii="Calibri" w:hAnsi="Calibri"/>
      <w:sz w:val="24"/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293757"/>
    <w:rPr>
      <w:rFonts w:ascii="Calibri" w:hAnsi="Calibri"/>
      <w:sz w:val="24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293757"/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</w:pPr>
    <w:rPr>
      <w:rFonts w:ascii="Calibri" w:hAnsi="Calibri"/>
      <w:sz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93757"/>
    <w:rPr>
      <w:rFonts w:ascii="Calibri" w:hAnsi="Calibri"/>
      <w:sz w:val="24"/>
      <w:lang w:val="x-none" w:eastAsia="x-none"/>
    </w:rPr>
  </w:style>
  <w:style w:type="paragraph" w:customStyle="1" w:styleId="Poznmkapodarou">
    <w:name w:val="Poznámka pod čarou"/>
    <w:basedOn w:val="Normln"/>
    <w:link w:val="PoznmkapodarouChar"/>
    <w:qFormat/>
    <w:rsid w:val="00293757"/>
    <w:pPr>
      <w:tabs>
        <w:tab w:val="left" w:pos="708"/>
      </w:tabs>
      <w:suppressAutoHyphens/>
      <w:autoSpaceDN/>
      <w:adjustRightInd/>
      <w:spacing w:after="60" w:line="200" w:lineRule="atLeast"/>
      <w:jc w:val="both"/>
    </w:pPr>
    <w:rPr>
      <w:lang w:val="x-none" w:eastAsia="x-none"/>
    </w:rPr>
  </w:style>
  <w:style w:type="paragraph" w:customStyle="1" w:styleId="Standardntext">
    <w:name w:val="Standardní text"/>
    <w:basedOn w:val="Normln"/>
    <w:link w:val="StandardntextChar"/>
    <w:qFormat/>
    <w:rsid w:val="00293757"/>
    <w:pPr>
      <w:spacing w:after="120"/>
      <w:jc w:val="both"/>
    </w:pPr>
    <w:rPr>
      <w:sz w:val="24"/>
      <w:szCs w:val="24"/>
      <w:lang w:val="x-none" w:eastAsia="x-none"/>
    </w:rPr>
  </w:style>
  <w:style w:type="character" w:customStyle="1" w:styleId="PoznmkapodarouChar">
    <w:name w:val="Poznámka pod čarou Char"/>
    <w:link w:val="Poznmkapodarou"/>
    <w:rsid w:val="00293757"/>
    <w:rPr>
      <w:lang w:val="x-none" w:eastAsia="x-none"/>
    </w:rPr>
  </w:style>
  <w:style w:type="character" w:customStyle="1" w:styleId="StandardntextChar">
    <w:name w:val="Standardní text Char"/>
    <w:link w:val="Standardntext"/>
    <w:rsid w:val="00293757"/>
    <w:rPr>
      <w:sz w:val="24"/>
      <w:szCs w:val="24"/>
      <w:lang w:val="x-none" w:eastAsia="x-none"/>
    </w:rPr>
  </w:style>
  <w:style w:type="character" w:customStyle="1" w:styleId="longtext">
    <w:name w:val="long_text"/>
    <w:basedOn w:val="Standardnpsmoodstavce"/>
    <w:rsid w:val="00293757"/>
  </w:style>
  <w:style w:type="character" w:customStyle="1" w:styleId="hps">
    <w:name w:val="hps"/>
    <w:basedOn w:val="Standardnpsmoodstavce"/>
    <w:rsid w:val="00293757"/>
  </w:style>
  <w:style w:type="paragraph" w:styleId="Odstavecseseznamem">
    <w:name w:val="List Paragraph"/>
    <w:basedOn w:val="Normln"/>
    <w:uiPriority w:val="34"/>
    <w:qFormat/>
    <w:rsid w:val="00293757"/>
    <w:pPr>
      <w:ind w:left="720"/>
      <w:contextualSpacing/>
    </w:pPr>
  </w:style>
  <w:style w:type="paragraph" w:customStyle="1" w:styleId="Odstavecseseznamem1">
    <w:name w:val="Odstavec se seznamem1"/>
    <w:basedOn w:val="Normln"/>
    <w:uiPriority w:val="99"/>
    <w:rsid w:val="00A12D5D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SimSun" w:hAnsi="Calibri" w:cs="Calibri"/>
      <w:sz w:val="22"/>
      <w:szCs w:val="22"/>
      <w:lang w:val="en-US"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2D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D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3757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aliases w:val="h1,H1,Nadpis 1-Nadpis smlouvy,Základní kapitola,V_Head1,Záhlaví 1,0Überschrift 1,1Überschrift 1,2Überschrift 1,3Überschrift 1,4Überschrift 1,5Überschrift 1,6Überschrift 1,7Überschrift 1,8Überschrift 1,9Überschrift 1,10Überschrift 1,Clanek1"/>
    <w:basedOn w:val="Normln"/>
    <w:next w:val="Normln"/>
    <w:link w:val="Nadpis1Char"/>
    <w:uiPriority w:val="9"/>
    <w:qFormat/>
    <w:rsid w:val="00293757"/>
    <w:pPr>
      <w:keepNext/>
      <w:pageBreakBefore/>
      <w:numPr>
        <w:numId w:val="1"/>
      </w:numPr>
      <w:overflowPunct/>
      <w:autoSpaceDE/>
      <w:autoSpaceDN/>
      <w:adjustRightInd/>
      <w:spacing w:before="120" w:after="240" w:line="276" w:lineRule="auto"/>
      <w:ind w:left="432"/>
      <w:jc w:val="both"/>
      <w:textAlignment w:val="auto"/>
      <w:outlineLvl w:val="0"/>
    </w:pPr>
    <w:rPr>
      <w:rFonts w:ascii="Calibri" w:hAnsi="Calibri"/>
      <w:b/>
      <w:bCs/>
      <w:smallCaps/>
      <w:kern w:val="32"/>
      <w:sz w:val="28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293757"/>
    <w:pPr>
      <w:keepNext/>
      <w:numPr>
        <w:ilvl w:val="1"/>
        <w:numId w:val="1"/>
      </w:numPr>
      <w:overflowPunct/>
      <w:autoSpaceDE/>
      <w:autoSpaceDN/>
      <w:adjustRightInd/>
      <w:spacing w:before="240" w:after="240" w:line="276" w:lineRule="auto"/>
      <w:jc w:val="both"/>
      <w:textAlignment w:val="auto"/>
      <w:outlineLvl w:val="1"/>
    </w:pPr>
    <w:rPr>
      <w:rFonts w:ascii="Calibri" w:hAnsi="Calibri"/>
      <w:b/>
      <w:bCs/>
      <w:iCs/>
      <w:sz w:val="26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293757"/>
    <w:pPr>
      <w:keepNext/>
      <w:keepLines/>
      <w:numPr>
        <w:ilvl w:val="2"/>
        <w:numId w:val="1"/>
      </w:numPr>
      <w:overflowPunct/>
      <w:autoSpaceDE/>
      <w:autoSpaceDN/>
      <w:adjustRightInd/>
      <w:spacing w:before="240" w:after="240" w:line="276" w:lineRule="auto"/>
      <w:jc w:val="both"/>
      <w:textAlignment w:val="auto"/>
      <w:outlineLvl w:val="2"/>
    </w:pPr>
    <w:rPr>
      <w:rFonts w:ascii="Calibri" w:hAnsi="Calibri"/>
      <w:b/>
      <w:bCs/>
      <w:color w:val="365F91"/>
      <w:sz w:val="24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qFormat/>
    <w:rsid w:val="00293757"/>
    <w:pPr>
      <w:keepNext/>
      <w:keepLines/>
      <w:numPr>
        <w:ilvl w:val="3"/>
        <w:numId w:val="1"/>
      </w:numPr>
      <w:overflowPunct/>
      <w:autoSpaceDE/>
      <w:autoSpaceDN/>
      <w:adjustRightInd/>
      <w:spacing w:before="360" w:after="120" w:line="276" w:lineRule="auto"/>
      <w:jc w:val="both"/>
      <w:textAlignment w:val="auto"/>
      <w:outlineLvl w:val="3"/>
    </w:pPr>
    <w:rPr>
      <w:rFonts w:ascii="Calibri" w:hAnsi="Calibri"/>
      <w:b/>
      <w:bCs/>
      <w:i/>
      <w:iCs/>
      <w:sz w:val="24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qFormat/>
    <w:rsid w:val="00293757"/>
    <w:pPr>
      <w:keepNext/>
      <w:keepLines/>
      <w:numPr>
        <w:ilvl w:val="4"/>
        <w:numId w:val="1"/>
      </w:numPr>
      <w:overflowPunct/>
      <w:autoSpaceDE/>
      <w:autoSpaceDN/>
      <w:adjustRightInd/>
      <w:spacing w:before="200" w:after="120" w:line="276" w:lineRule="auto"/>
      <w:jc w:val="both"/>
      <w:textAlignment w:val="auto"/>
      <w:outlineLvl w:val="4"/>
    </w:pPr>
    <w:rPr>
      <w:rFonts w:ascii="Calibri" w:hAnsi="Calibri"/>
      <w:color w:val="365F91"/>
      <w:sz w:val="24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qFormat/>
    <w:rsid w:val="00293757"/>
    <w:pPr>
      <w:keepNext/>
      <w:keepLines/>
      <w:numPr>
        <w:ilvl w:val="5"/>
        <w:numId w:val="1"/>
      </w:numPr>
      <w:overflowPunct/>
      <w:autoSpaceDE/>
      <w:autoSpaceDN/>
      <w:adjustRightInd/>
      <w:spacing w:before="200" w:line="276" w:lineRule="auto"/>
      <w:jc w:val="both"/>
      <w:textAlignment w:val="auto"/>
      <w:outlineLvl w:val="5"/>
    </w:pPr>
    <w:rPr>
      <w:rFonts w:ascii="Cambria" w:hAnsi="Cambria"/>
      <w:i/>
      <w:iCs/>
      <w:color w:val="243F60"/>
      <w:sz w:val="24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qFormat/>
    <w:rsid w:val="00293757"/>
    <w:pPr>
      <w:keepNext/>
      <w:keepLines/>
      <w:numPr>
        <w:ilvl w:val="6"/>
        <w:numId w:val="1"/>
      </w:numPr>
      <w:overflowPunct/>
      <w:autoSpaceDE/>
      <w:autoSpaceDN/>
      <w:adjustRightInd/>
      <w:spacing w:before="200" w:line="276" w:lineRule="auto"/>
      <w:jc w:val="both"/>
      <w:textAlignment w:val="auto"/>
      <w:outlineLvl w:val="6"/>
    </w:pPr>
    <w:rPr>
      <w:rFonts w:ascii="Cambria" w:hAnsi="Cambria"/>
      <w:i/>
      <w:iCs/>
      <w:color w:val="404040"/>
      <w:sz w:val="24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qFormat/>
    <w:rsid w:val="00293757"/>
    <w:pPr>
      <w:keepNext/>
      <w:keepLines/>
      <w:numPr>
        <w:ilvl w:val="7"/>
        <w:numId w:val="1"/>
      </w:numPr>
      <w:overflowPunct/>
      <w:autoSpaceDE/>
      <w:autoSpaceDN/>
      <w:adjustRightInd/>
      <w:spacing w:before="200" w:line="276" w:lineRule="auto"/>
      <w:jc w:val="both"/>
      <w:textAlignment w:val="auto"/>
      <w:outlineLvl w:val="7"/>
    </w:pPr>
    <w:rPr>
      <w:rFonts w:ascii="Cambria" w:hAnsi="Cambria"/>
      <w:color w:val="404040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qFormat/>
    <w:rsid w:val="00293757"/>
    <w:pPr>
      <w:keepNext/>
      <w:keepLines/>
      <w:numPr>
        <w:ilvl w:val="8"/>
        <w:numId w:val="1"/>
      </w:numPr>
      <w:overflowPunct/>
      <w:autoSpaceDE/>
      <w:autoSpaceDN/>
      <w:adjustRightInd/>
      <w:spacing w:before="200" w:line="276" w:lineRule="auto"/>
      <w:jc w:val="both"/>
      <w:textAlignment w:val="auto"/>
      <w:outlineLvl w:val="8"/>
    </w:pPr>
    <w:rPr>
      <w:rFonts w:ascii="Cambria" w:hAnsi="Cambria"/>
      <w:i/>
      <w:iCs/>
      <w:color w:val="40404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,Nadpis 1-Nadpis smlouvy Char,Základní kapitola Char,V_Head1 Char,Záhlaví 1 Char,0Überschrift 1 Char,1Überschrift 1 Char,2Überschrift 1 Char,3Überschrift 1 Char,4Überschrift 1 Char,5Überschrift 1 Char,6Überschrift 1 Char"/>
    <w:basedOn w:val="Standardnpsmoodstavce"/>
    <w:link w:val="Nadpis1"/>
    <w:uiPriority w:val="9"/>
    <w:rsid w:val="00293757"/>
    <w:rPr>
      <w:rFonts w:ascii="Calibri" w:hAnsi="Calibri"/>
      <w:b/>
      <w:bCs/>
      <w:smallCaps/>
      <w:kern w:val="32"/>
      <w:sz w:val="28"/>
      <w:szCs w:val="32"/>
      <w:lang w:val="x-none" w:eastAsia="x-none"/>
    </w:rPr>
  </w:style>
  <w:style w:type="character" w:customStyle="1" w:styleId="Nadpis2Char">
    <w:name w:val="Nadpis 2 Char"/>
    <w:basedOn w:val="Standardnpsmoodstavce"/>
    <w:link w:val="Nadpis2"/>
    <w:rsid w:val="00293757"/>
    <w:rPr>
      <w:rFonts w:ascii="Calibri" w:hAnsi="Calibri"/>
      <w:b/>
      <w:bCs/>
      <w:iCs/>
      <w:sz w:val="26"/>
      <w:szCs w:val="28"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"/>
    <w:rsid w:val="00293757"/>
    <w:rPr>
      <w:rFonts w:ascii="Calibri" w:hAnsi="Calibri"/>
      <w:b/>
      <w:bCs/>
      <w:color w:val="365F91"/>
      <w:sz w:val="24"/>
      <w:lang w:val="x-none" w:eastAsia="x-none"/>
    </w:rPr>
  </w:style>
  <w:style w:type="character" w:customStyle="1" w:styleId="Nadpis4Char">
    <w:name w:val="Nadpis 4 Char"/>
    <w:basedOn w:val="Standardnpsmoodstavce"/>
    <w:link w:val="Nadpis4"/>
    <w:uiPriority w:val="9"/>
    <w:rsid w:val="00293757"/>
    <w:rPr>
      <w:rFonts w:ascii="Calibri" w:hAnsi="Calibri"/>
      <w:b/>
      <w:bCs/>
      <w:i/>
      <w:iCs/>
      <w:sz w:val="24"/>
      <w:lang w:val="x-none" w:eastAsia="x-none"/>
    </w:rPr>
  </w:style>
  <w:style w:type="character" w:customStyle="1" w:styleId="Nadpis5Char">
    <w:name w:val="Nadpis 5 Char"/>
    <w:basedOn w:val="Standardnpsmoodstavce"/>
    <w:link w:val="Nadpis5"/>
    <w:uiPriority w:val="9"/>
    <w:rsid w:val="00293757"/>
    <w:rPr>
      <w:rFonts w:ascii="Calibri" w:hAnsi="Calibri"/>
      <w:color w:val="365F91"/>
      <w:sz w:val="24"/>
      <w:lang w:val="x-none" w:eastAsia="x-none"/>
    </w:rPr>
  </w:style>
  <w:style w:type="character" w:customStyle="1" w:styleId="Nadpis6Char">
    <w:name w:val="Nadpis 6 Char"/>
    <w:basedOn w:val="Standardnpsmoodstavce"/>
    <w:link w:val="Nadpis6"/>
    <w:uiPriority w:val="9"/>
    <w:rsid w:val="00293757"/>
    <w:rPr>
      <w:rFonts w:ascii="Cambria" w:hAnsi="Cambria"/>
      <w:i/>
      <w:iCs/>
      <w:color w:val="243F60"/>
      <w:sz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uiPriority w:val="9"/>
    <w:rsid w:val="00293757"/>
    <w:rPr>
      <w:rFonts w:ascii="Cambria" w:hAnsi="Cambria"/>
      <w:i/>
      <w:iCs/>
      <w:color w:val="404040"/>
      <w:sz w:val="24"/>
      <w:lang w:val="x-none" w:eastAsia="x-none"/>
    </w:rPr>
  </w:style>
  <w:style w:type="character" w:customStyle="1" w:styleId="Nadpis8Char">
    <w:name w:val="Nadpis 8 Char"/>
    <w:basedOn w:val="Standardnpsmoodstavce"/>
    <w:link w:val="Nadpis8"/>
    <w:uiPriority w:val="9"/>
    <w:rsid w:val="00293757"/>
    <w:rPr>
      <w:rFonts w:ascii="Cambria" w:hAnsi="Cambria"/>
      <w:color w:val="404040"/>
      <w:lang w:val="x-none" w:eastAsia="x-none"/>
    </w:rPr>
  </w:style>
  <w:style w:type="character" w:customStyle="1" w:styleId="Nadpis9Char">
    <w:name w:val="Nadpis 9 Char"/>
    <w:basedOn w:val="Standardnpsmoodstavce"/>
    <w:link w:val="Nadpis9"/>
    <w:uiPriority w:val="9"/>
    <w:rsid w:val="00293757"/>
    <w:rPr>
      <w:rFonts w:ascii="Cambria" w:hAnsi="Cambria"/>
      <w:i/>
      <w:iCs/>
      <w:color w:val="404040"/>
      <w:lang w:val="x-none" w:eastAsia="x-none"/>
    </w:rPr>
  </w:style>
  <w:style w:type="character" w:styleId="Znakapoznpodarou">
    <w:name w:val="footnote reference"/>
    <w:aliases w:val="BVI fnr,Footnote symbol,Footnote Reference Number,PGI Fußnote Ziffer,Footnote Reference Superscript,Appel note de bas de p,Appel note de bas de page,Légende,Char Car Car Car Car,Voetnootverwijzing,Légende;Char Car Car Car Car"/>
    <w:uiPriority w:val="99"/>
    <w:rsid w:val="0029375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93757"/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</w:pPr>
    <w:rPr>
      <w:rFonts w:ascii="Calibri" w:hAnsi="Calibri"/>
      <w:sz w:val="24"/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293757"/>
    <w:rPr>
      <w:rFonts w:ascii="Calibri" w:hAnsi="Calibri"/>
      <w:sz w:val="24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293757"/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</w:pPr>
    <w:rPr>
      <w:rFonts w:ascii="Calibri" w:hAnsi="Calibri"/>
      <w:sz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93757"/>
    <w:rPr>
      <w:rFonts w:ascii="Calibri" w:hAnsi="Calibri"/>
      <w:sz w:val="24"/>
      <w:lang w:val="x-none" w:eastAsia="x-none"/>
    </w:rPr>
  </w:style>
  <w:style w:type="paragraph" w:customStyle="1" w:styleId="Poznmkapodarou">
    <w:name w:val="Poznámka pod čarou"/>
    <w:basedOn w:val="Normln"/>
    <w:link w:val="PoznmkapodarouChar"/>
    <w:qFormat/>
    <w:rsid w:val="00293757"/>
    <w:pPr>
      <w:tabs>
        <w:tab w:val="left" w:pos="708"/>
      </w:tabs>
      <w:suppressAutoHyphens/>
      <w:autoSpaceDN/>
      <w:adjustRightInd/>
      <w:spacing w:after="60" w:line="200" w:lineRule="atLeast"/>
      <w:jc w:val="both"/>
    </w:pPr>
    <w:rPr>
      <w:lang w:val="x-none" w:eastAsia="x-none"/>
    </w:rPr>
  </w:style>
  <w:style w:type="paragraph" w:customStyle="1" w:styleId="Standardntext">
    <w:name w:val="Standardní text"/>
    <w:basedOn w:val="Normln"/>
    <w:link w:val="StandardntextChar"/>
    <w:qFormat/>
    <w:rsid w:val="00293757"/>
    <w:pPr>
      <w:spacing w:after="120"/>
      <w:jc w:val="both"/>
    </w:pPr>
    <w:rPr>
      <w:sz w:val="24"/>
      <w:szCs w:val="24"/>
      <w:lang w:val="x-none" w:eastAsia="x-none"/>
    </w:rPr>
  </w:style>
  <w:style w:type="character" w:customStyle="1" w:styleId="PoznmkapodarouChar">
    <w:name w:val="Poznámka pod čarou Char"/>
    <w:link w:val="Poznmkapodarou"/>
    <w:rsid w:val="00293757"/>
    <w:rPr>
      <w:lang w:val="x-none" w:eastAsia="x-none"/>
    </w:rPr>
  </w:style>
  <w:style w:type="character" w:customStyle="1" w:styleId="StandardntextChar">
    <w:name w:val="Standardní text Char"/>
    <w:link w:val="Standardntext"/>
    <w:rsid w:val="00293757"/>
    <w:rPr>
      <w:sz w:val="24"/>
      <w:szCs w:val="24"/>
      <w:lang w:val="x-none" w:eastAsia="x-none"/>
    </w:rPr>
  </w:style>
  <w:style w:type="character" w:customStyle="1" w:styleId="longtext">
    <w:name w:val="long_text"/>
    <w:basedOn w:val="Standardnpsmoodstavce"/>
    <w:rsid w:val="00293757"/>
  </w:style>
  <w:style w:type="character" w:customStyle="1" w:styleId="hps">
    <w:name w:val="hps"/>
    <w:basedOn w:val="Standardnpsmoodstavce"/>
    <w:rsid w:val="00293757"/>
  </w:style>
  <w:style w:type="paragraph" w:styleId="Odstavecseseznamem">
    <w:name w:val="List Paragraph"/>
    <w:basedOn w:val="Normln"/>
    <w:uiPriority w:val="34"/>
    <w:qFormat/>
    <w:rsid w:val="00293757"/>
    <w:pPr>
      <w:ind w:left="720"/>
      <w:contextualSpacing/>
    </w:pPr>
  </w:style>
  <w:style w:type="paragraph" w:customStyle="1" w:styleId="Odstavecseseznamem1">
    <w:name w:val="Odstavec se seznamem1"/>
    <w:basedOn w:val="Normln"/>
    <w:uiPriority w:val="99"/>
    <w:rsid w:val="00A12D5D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SimSun" w:hAnsi="Calibri" w:cs="Calibri"/>
      <w:sz w:val="22"/>
      <w:szCs w:val="22"/>
      <w:lang w:val="en-US"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2D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D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7B31D4B8.dotm</Template>
  <TotalTime>14</TotalTime>
  <Pages>5</Pages>
  <Words>1940</Words>
  <Characters>11448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13362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Ptáčník</dc:creator>
  <cp:lastModifiedBy>Martin Ptáčník</cp:lastModifiedBy>
  <cp:revision>7</cp:revision>
  <dcterms:created xsi:type="dcterms:W3CDTF">2014-06-30T07:54:00Z</dcterms:created>
  <dcterms:modified xsi:type="dcterms:W3CDTF">2014-11-19T14:17:00Z</dcterms:modified>
</cp:coreProperties>
</file>