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B2B" w:rsidRDefault="000D1B2B" w:rsidP="000D1B2B">
      <w:pPr>
        <w:pStyle w:val="Nadpis2"/>
        <w:numPr>
          <w:ilvl w:val="0"/>
          <w:numId w:val="0"/>
        </w:numPr>
        <w:ind w:left="576" w:hanging="576"/>
        <w:rPr>
          <w:rFonts w:cs="Calibri"/>
        </w:rPr>
      </w:pPr>
      <w:bookmarkStart w:id="0" w:name="_Toc391474918"/>
      <w:bookmarkStart w:id="1" w:name="_GoBack"/>
      <w:r>
        <w:rPr>
          <w:rFonts w:cs="Calibri"/>
        </w:rPr>
        <w:t>Nepovinná příloha č. 1</w:t>
      </w:r>
      <w:r w:rsidRPr="00F23CDB">
        <w:rPr>
          <w:rFonts w:cs="Calibri"/>
        </w:rPr>
        <w:t>:</w:t>
      </w:r>
      <w:r>
        <w:rPr>
          <w:rFonts w:cs="Calibri"/>
        </w:rPr>
        <w:t xml:space="preserve"> Zhodnocení z</w:t>
      </w:r>
      <w:r w:rsidRPr="00811581">
        <w:rPr>
          <w:rFonts w:cs="Calibri"/>
        </w:rPr>
        <w:t>kušenost</w:t>
      </w:r>
      <w:r>
        <w:rPr>
          <w:rFonts w:cs="Calibri"/>
        </w:rPr>
        <w:t>í</w:t>
      </w:r>
      <w:r w:rsidRPr="00811581">
        <w:rPr>
          <w:rFonts w:cs="Calibri"/>
        </w:rPr>
        <w:t xml:space="preserve"> z programovacího období 2007-2013</w:t>
      </w:r>
      <w:bookmarkEnd w:id="0"/>
      <w:bookmarkEnd w:id="1"/>
    </w:p>
    <w:p w:rsidR="000D1B2B" w:rsidRDefault="000D1B2B" w:rsidP="000D1B2B">
      <w:pPr>
        <w:pStyle w:val="Standardntext"/>
        <w:rPr>
          <w:szCs w:val="22"/>
        </w:rPr>
      </w:pPr>
      <w:r>
        <w:rPr>
          <w:szCs w:val="22"/>
        </w:rPr>
        <w:t>Zkušenosti z programovacího období 2007-2013 a jejich návaznosti v programovacím období 2014-2020 lze rozdělit do dvou hlavních kategorií:</w:t>
      </w:r>
    </w:p>
    <w:p w:rsidR="000D1B2B" w:rsidRDefault="000D1B2B" w:rsidP="000D1B2B">
      <w:pPr>
        <w:pStyle w:val="Standardntext"/>
        <w:numPr>
          <w:ilvl w:val="0"/>
          <w:numId w:val="2"/>
        </w:numPr>
        <w:ind w:left="714" w:hanging="357"/>
        <w:rPr>
          <w:szCs w:val="22"/>
        </w:rPr>
      </w:pPr>
      <w:r>
        <w:rPr>
          <w:szCs w:val="22"/>
        </w:rPr>
        <w:t>věcné zaměření podpory</w:t>
      </w:r>
    </w:p>
    <w:p w:rsidR="000D1B2B" w:rsidRDefault="000D1B2B" w:rsidP="000D1B2B">
      <w:pPr>
        <w:pStyle w:val="Standardntext"/>
        <w:numPr>
          <w:ilvl w:val="0"/>
          <w:numId w:val="2"/>
        </w:numPr>
        <w:rPr>
          <w:szCs w:val="22"/>
        </w:rPr>
      </w:pPr>
      <w:r>
        <w:rPr>
          <w:szCs w:val="22"/>
        </w:rPr>
        <w:t>systém implementace operačního programu</w:t>
      </w:r>
    </w:p>
    <w:p w:rsidR="000D1B2B" w:rsidRPr="00271199" w:rsidRDefault="000D1B2B" w:rsidP="000D1B2B">
      <w:pPr>
        <w:pStyle w:val="Standardntext"/>
        <w:spacing w:after="240"/>
        <w:rPr>
          <w:szCs w:val="22"/>
        </w:rPr>
      </w:pPr>
      <w:r>
        <w:rPr>
          <w:szCs w:val="22"/>
        </w:rPr>
        <w:t>Zkušenosti z implementac</w:t>
      </w:r>
      <w:r w:rsidRPr="00271199">
        <w:rPr>
          <w:szCs w:val="22"/>
        </w:rPr>
        <w:t>e Operačního programu Podnikání a inovace 2007-2013 a v návaznosti na to opatření zaměřená na snižování administrativní zátěže příjemců jsou popsány v Oddílu 10 programového dokumentu Operačního programu Podnikání a inovace pro konkurenceschopnost. V této příloze je proto věnována pozornost především zkušenostem a posunům v oblasti věcného zaměření podpory (intervencí, aktivit), nicméně jsou zde také uvedeny zkušenosti z implementace OPPI, které se vztahují k realizaci opatření podporovaných z prostředků technické pomoci operačního programu.</w:t>
      </w:r>
    </w:p>
    <w:p w:rsidR="000D1B2B" w:rsidRPr="00271199" w:rsidRDefault="000D1B2B" w:rsidP="000D1B2B">
      <w:pPr>
        <w:pStyle w:val="Standardntext"/>
        <w:rPr>
          <w:b/>
          <w:szCs w:val="22"/>
        </w:rPr>
      </w:pPr>
      <w:r w:rsidRPr="00271199">
        <w:rPr>
          <w:b/>
          <w:szCs w:val="22"/>
        </w:rPr>
        <w:t>1. Věcné zaměření podpory</w:t>
      </w:r>
    </w:p>
    <w:p w:rsidR="000D1B2B" w:rsidRPr="00271199" w:rsidRDefault="000D1B2B" w:rsidP="000D1B2B">
      <w:pPr>
        <w:pStyle w:val="Standardntext"/>
        <w:rPr>
          <w:szCs w:val="22"/>
        </w:rPr>
      </w:pPr>
      <w:r w:rsidRPr="00271199">
        <w:rPr>
          <w:szCs w:val="22"/>
        </w:rPr>
        <w:t xml:space="preserve">Operační program Podnikání a inovace (OPPI) byl realizován prostřednictvím šesti věcných prioritních os zaměřených na vznik firem, rozvoj firem, efektivní energie, inovace, prostředí pro podnikání a inovace a služby pro podnikání. Celková alokace zdrojů EU činila po provedených realokacích 3 120,69 mil. EUR. </w:t>
      </w:r>
    </w:p>
    <w:p w:rsidR="000D1B2B" w:rsidRPr="00271199" w:rsidRDefault="000D1B2B" w:rsidP="000D1B2B">
      <w:pPr>
        <w:pStyle w:val="Standardntext"/>
        <w:rPr>
          <w:szCs w:val="22"/>
        </w:rPr>
      </w:pPr>
      <w:r w:rsidRPr="00271199">
        <w:rPr>
          <w:szCs w:val="22"/>
        </w:rPr>
        <w:t xml:space="preserve">Operační program Podnikání a inovace pro konkurenceschopnost (OP PIK) bezprostředně navazuje na OPPI. I v důsledku nového přístupu EU ke kohezní politice v novém programovacím období došlo ke snížení počtu věcných prioritních os programu na čtyři. Zaměřují se na: i) rozvoj výzkumu a vývoje pro inovace, </w:t>
      </w:r>
      <w:proofErr w:type="spellStart"/>
      <w:r w:rsidRPr="00271199">
        <w:rPr>
          <w:szCs w:val="22"/>
        </w:rPr>
        <w:t>ii</w:t>
      </w:r>
      <w:proofErr w:type="spellEnd"/>
      <w:r w:rsidRPr="00271199">
        <w:rPr>
          <w:szCs w:val="22"/>
        </w:rPr>
        <w:t xml:space="preserve">) rozvoj podnikání a konkurenceschopnosti MSP, </w:t>
      </w:r>
      <w:proofErr w:type="spellStart"/>
      <w:r w:rsidRPr="00271199">
        <w:rPr>
          <w:szCs w:val="22"/>
        </w:rPr>
        <w:t>iii</w:t>
      </w:r>
      <w:proofErr w:type="spellEnd"/>
      <w:r w:rsidRPr="00271199">
        <w:rPr>
          <w:szCs w:val="22"/>
        </w:rPr>
        <w:t xml:space="preserve">) účinné nakládání s energiemi, rozvoje energetické infrastruktury a OZE, podporu zavádění nových technologií v oblasti nakládání energií a druhotných surovin a na </w:t>
      </w:r>
      <w:proofErr w:type="spellStart"/>
      <w:r w:rsidRPr="00271199">
        <w:rPr>
          <w:szCs w:val="22"/>
        </w:rPr>
        <w:t>iv</w:t>
      </w:r>
      <w:proofErr w:type="spellEnd"/>
      <w:r w:rsidRPr="00271199">
        <w:rPr>
          <w:szCs w:val="22"/>
        </w:rPr>
        <w:t>) rozvoj vysokorychlostních přístupových sítí k internetu a informačních a komunikačních technologií.</w:t>
      </w:r>
    </w:p>
    <w:p w:rsidR="000D1B2B" w:rsidRPr="00271199" w:rsidRDefault="000D1B2B" w:rsidP="000D1B2B">
      <w:pPr>
        <w:pStyle w:val="Standardntext"/>
        <w:rPr>
          <w:szCs w:val="22"/>
        </w:rPr>
      </w:pPr>
      <w:r w:rsidRPr="00271199">
        <w:rPr>
          <w:szCs w:val="22"/>
        </w:rPr>
        <w:t xml:space="preserve">Z obsahového hlediska došlo oproti programovacímu období 2007-2013 k některým změnám ve smyslu zúžení nebo naopak rozšíření podporovaných aktivit; zcela nová témata pak představují především energetická infrastruktura, nové inovativní nízkouhlíkové technologie a také infrastruktura pro přístup k vysokorychlostnímu internetu. </w:t>
      </w:r>
    </w:p>
    <w:p w:rsidR="000D1B2B" w:rsidRPr="00271199" w:rsidRDefault="000D1B2B" w:rsidP="000D1B2B">
      <w:pPr>
        <w:pStyle w:val="Standardntext"/>
        <w:rPr>
          <w:szCs w:val="22"/>
        </w:rPr>
      </w:pPr>
      <w:r w:rsidRPr="00271199">
        <w:rPr>
          <w:szCs w:val="22"/>
        </w:rPr>
        <w:t xml:space="preserve">Celková alokace zdrojů EU pro OP PIK byla oproti OPPI navýšena a činí celkem 4 319, 062 mil. EUR. Při stanovení alokace byly zohledňovány jak potřeby a priority ČR, tak také požadavky na tematické zaměření prostředků EFRR. Největší část finanční alokace OP PIK bude použita na podporu investic do výzkumu, vývoje a inovací a vytváření vazeb mezi podniky a </w:t>
      </w:r>
      <w:proofErr w:type="spellStart"/>
      <w:r w:rsidRPr="00271199">
        <w:rPr>
          <w:szCs w:val="22"/>
        </w:rPr>
        <w:t>VaV</w:t>
      </w:r>
      <w:proofErr w:type="spellEnd"/>
      <w:r w:rsidRPr="00271199">
        <w:rPr>
          <w:szCs w:val="22"/>
        </w:rPr>
        <w:t xml:space="preserve"> institucemi a na podporu zvyšování energetické účinnosti v podnicích, druhá nejvyšší alokace směřuje na intervence v energetice. </w:t>
      </w:r>
    </w:p>
    <w:p w:rsidR="000D1B2B" w:rsidRPr="00271199" w:rsidRDefault="000D1B2B" w:rsidP="000D1B2B">
      <w:pPr>
        <w:pStyle w:val="Standardntext"/>
        <w:rPr>
          <w:szCs w:val="22"/>
        </w:rPr>
      </w:pPr>
      <w:r w:rsidRPr="00271199">
        <w:rPr>
          <w:szCs w:val="22"/>
        </w:rPr>
        <w:t>Východiska strategie přístupu k novému programovacímu období:</w:t>
      </w:r>
    </w:p>
    <w:p w:rsidR="000D1B2B" w:rsidRPr="00271199" w:rsidRDefault="000D1B2B" w:rsidP="000D1B2B">
      <w:pPr>
        <w:pStyle w:val="Standardntext"/>
        <w:numPr>
          <w:ilvl w:val="0"/>
          <w:numId w:val="3"/>
        </w:numPr>
        <w:rPr>
          <w:szCs w:val="22"/>
        </w:rPr>
      </w:pPr>
      <w:r w:rsidRPr="00271199">
        <w:rPr>
          <w:szCs w:val="22"/>
        </w:rPr>
        <w:t xml:space="preserve">Klíčovou skupinou příjemců jsou podnikatelé, zejména malé a střední podniky (zvláště inovativní); podpora velkým podnikům bude poskytována v odůvodněných případech a ve vazbě na dosažení cílů operačního programu a v souladu s příslušnými nařízením (zejména nařízením č. 1301/2013 o EFRR). </w:t>
      </w:r>
    </w:p>
    <w:p w:rsidR="000D1B2B" w:rsidRPr="00271199" w:rsidRDefault="000D1B2B" w:rsidP="000D1B2B">
      <w:pPr>
        <w:pStyle w:val="Standardntext"/>
        <w:numPr>
          <w:ilvl w:val="0"/>
          <w:numId w:val="3"/>
        </w:numPr>
        <w:rPr>
          <w:szCs w:val="22"/>
        </w:rPr>
      </w:pPr>
      <w:r w:rsidRPr="00271199">
        <w:rPr>
          <w:szCs w:val="22"/>
        </w:rPr>
        <w:t>Větší důraz bude kladen na tematickou koncentraci a také na zohlednění specifických potřeb regionů ČR, zejména strukturálně postižených regionů.</w:t>
      </w:r>
    </w:p>
    <w:p w:rsidR="000D1B2B" w:rsidRPr="00271199" w:rsidRDefault="000D1B2B" w:rsidP="000D1B2B">
      <w:pPr>
        <w:pStyle w:val="Standardntext"/>
        <w:numPr>
          <w:ilvl w:val="0"/>
          <w:numId w:val="3"/>
        </w:numPr>
        <w:rPr>
          <w:szCs w:val="22"/>
        </w:rPr>
      </w:pPr>
      <w:r w:rsidRPr="00271199">
        <w:rPr>
          <w:szCs w:val="22"/>
        </w:rPr>
        <w:lastRenderedPageBreak/>
        <w:t>Z hlediska formy podpory se předpokládá vyšší využití finančních nástrojů, nicméně i nadále budou převládat dotační schémata.</w:t>
      </w:r>
    </w:p>
    <w:p w:rsidR="000D1B2B" w:rsidRPr="00271199" w:rsidRDefault="000D1B2B" w:rsidP="000D1B2B">
      <w:pPr>
        <w:pStyle w:val="Standardntext"/>
        <w:numPr>
          <w:ilvl w:val="0"/>
          <w:numId w:val="3"/>
        </w:numPr>
        <w:spacing w:after="240"/>
        <w:ind w:left="714" w:hanging="357"/>
        <w:rPr>
          <w:szCs w:val="22"/>
        </w:rPr>
      </w:pPr>
      <w:r w:rsidRPr="00271199">
        <w:rPr>
          <w:szCs w:val="22"/>
        </w:rPr>
        <w:t>Větší pozornost bude věnována spolupráci s hospodářskými a sociálními partnery, zástupci regionů a ostatními resorty za účelem dosažení vyšší efektivnosti intervencí (využití integrovaného nástroje ITI, spolupráce s místními akčními skupinami, koordinace intervencí, synergické efekty apod.).</w:t>
      </w:r>
    </w:p>
    <w:p w:rsidR="000D1B2B" w:rsidRPr="00271199" w:rsidRDefault="000D1B2B" w:rsidP="000D1B2B">
      <w:pPr>
        <w:pStyle w:val="Standardntext"/>
        <w:rPr>
          <w:b/>
          <w:i/>
          <w:szCs w:val="22"/>
        </w:rPr>
      </w:pPr>
      <w:r w:rsidRPr="00271199">
        <w:rPr>
          <w:b/>
          <w:i/>
          <w:szCs w:val="22"/>
        </w:rPr>
        <w:t>1.1 Výzkum, vývoj a inovace</w:t>
      </w:r>
    </w:p>
    <w:p w:rsidR="000D1B2B" w:rsidRPr="00271199" w:rsidRDefault="000D1B2B" w:rsidP="000D1B2B">
      <w:pPr>
        <w:pStyle w:val="Standardntext"/>
        <w:rPr>
          <w:szCs w:val="22"/>
        </w:rPr>
      </w:pPr>
      <w:r w:rsidRPr="00271199">
        <w:rPr>
          <w:szCs w:val="22"/>
        </w:rPr>
        <w:t>V OPPI byla tato tematická oblast řešena především prostřednictvím prioritní osy 4 „Inovace“ a částečně také prioritní osy 5 „Prostředí pro podnikání a inovace“.</w:t>
      </w:r>
    </w:p>
    <w:p w:rsidR="000D1B2B" w:rsidRPr="00271199" w:rsidRDefault="000D1B2B" w:rsidP="000D1B2B">
      <w:pPr>
        <w:pStyle w:val="Standardntext"/>
        <w:rPr>
          <w:szCs w:val="22"/>
        </w:rPr>
      </w:pPr>
      <w:r w:rsidRPr="00271199">
        <w:rPr>
          <w:szCs w:val="22"/>
        </w:rPr>
        <w:t xml:space="preserve">V rámci prioritní osy 4 OPPI byly realizovány dva programy podpory, a sice program </w:t>
      </w:r>
      <w:r w:rsidRPr="00271199">
        <w:rPr>
          <w:i/>
          <w:szCs w:val="22"/>
        </w:rPr>
        <w:t>Inovace</w:t>
      </w:r>
      <w:r w:rsidRPr="00271199">
        <w:rPr>
          <w:szCs w:val="22"/>
        </w:rPr>
        <w:t xml:space="preserve"> zaměřený na podporu technických (inovace produktů a procesů) a netechnických inovací (organizační a marketingové inovace) v podnicích, včetně rozvíjení jejich spolupráce s výzkumnými a vývojovými organizacemi, a program </w:t>
      </w:r>
      <w:r w:rsidRPr="00271199">
        <w:rPr>
          <w:i/>
          <w:szCs w:val="22"/>
        </w:rPr>
        <w:t>Potenciál</w:t>
      </w:r>
      <w:r w:rsidRPr="00271199">
        <w:rPr>
          <w:szCs w:val="22"/>
        </w:rPr>
        <w:t xml:space="preserve"> zaměřený na podporu jejich vlastních firemních kapacit pro </w:t>
      </w:r>
      <w:proofErr w:type="spellStart"/>
      <w:r w:rsidRPr="00271199">
        <w:rPr>
          <w:szCs w:val="22"/>
        </w:rPr>
        <w:t>VaV</w:t>
      </w:r>
      <w:proofErr w:type="spellEnd"/>
      <w:r w:rsidRPr="00271199">
        <w:rPr>
          <w:szCs w:val="22"/>
        </w:rPr>
        <w:t xml:space="preserve"> a návazných aktivit, zejména pak v sektoru MSP tak, aby se zvýšila inovační aktivita podniků a počet podniků, které provádějí vlastní výzkum a vývoj.</w:t>
      </w:r>
    </w:p>
    <w:p w:rsidR="000D1B2B" w:rsidRPr="00271199" w:rsidRDefault="000D1B2B" w:rsidP="000D1B2B">
      <w:pPr>
        <w:pStyle w:val="Standardntext"/>
        <w:rPr>
          <w:szCs w:val="22"/>
        </w:rPr>
      </w:pPr>
      <w:r w:rsidRPr="00271199">
        <w:rPr>
          <w:szCs w:val="22"/>
        </w:rPr>
        <w:t>Z pohledu naplňování věcných cílů OPPI v prioritní ose 4 lze konstatovat, že při zachování současného trendu je možné očekávat bezproblémové splnění cílových hodnot indikátorů věcných cílů prioritní osy 4 do roku 2015.</w:t>
      </w:r>
      <w:r w:rsidRPr="00271199">
        <w:t xml:space="preserve"> Řada úspěšně realizovaných projektů prokázala, že podnikatelské subjekty jsou na základě vhodně zvolené a zacílené podpory schopny produkovat špičkové výsledky výzkumu a vývoje a následně je i uplatnit v podobě konkurenceschopných produktů na domácím i zahraničním trhu.</w:t>
      </w:r>
    </w:p>
    <w:p w:rsidR="000D1B2B" w:rsidRPr="00271199" w:rsidRDefault="000D1B2B" w:rsidP="000D1B2B">
      <w:pPr>
        <w:pStyle w:val="Standardntext"/>
        <w:rPr>
          <w:szCs w:val="22"/>
        </w:rPr>
      </w:pPr>
      <w:r w:rsidRPr="00271199">
        <w:rPr>
          <w:szCs w:val="22"/>
        </w:rPr>
        <w:t xml:space="preserve">Stav čerpání finančních prostředků i absorpční kapacitu prioritní osy 4 OPPI lze hodnotit jednoznačně pozitivně. V programu </w:t>
      </w:r>
      <w:r w:rsidRPr="00271199">
        <w:rPr>
          <w:i/>
          <w:szCs w:val="22"/>
        </w:rPr>
        <w:t>Inovace</w:t>
      </w:r>
      <w:r w:rsidRPr="00271199">
        <w:rPr>
          <w:szCs w:val="22"/>
        </w:rPr>
        <w:t xml:space="preserve"> podané žádosti překročily více než dvojnásobně alokaci na tento program; celá alokace je krytá vydanými Rozhodnutími a lze očekávat její plné vyčerpání. Stejně tak v programu </w:t>
      </w:r>
      <w:r w:rsidRPr="00271199">
        <w:rPr>
          <w:i/>
          <w:szCs w:val="22"/>
        </w:rPr>
        <w:t>Potenciál</w:t>
      </w:r>
      <w:r w:rsidRPr="00271199">
        <w:rPr>
          <w:szCs w:val="22"/>
        </w:rPr>
        <w:t xml:space="preserve"> převýšil zájem ze strany žadatelů výrazným způsobem disponibilní alokaci a lze očekávat její plné vyčerpání.</w:t>
      </w:r>
    </w:p>
    <w:p w:rsidR="000D1B2B" w:rsidRPr="00271199" w:rsidRDefault="000D1B2B" w:rsidP="000D1B2B">
      <w:pPr>
        <w:pStyle w:val="Standardntext"/>
        <w:rPr>
          <w:szCs w:val="22"/>
        </w:rPr>
      </w:pPr>
      <w:r w:rsidRPr="00271199">
        <w:rPr>
          <w:szCs w:val="22"/>
        </w:rPr>
        <w:t xml:space="preserve">V programu </w:t>
      </w:r>
      <w:r w:rsidRPr="00271199">
        <w:rPr>
          <w:i/>
          <w:szCs w:val="22"/>
        </w:rPr>
        <w:t>Inovace</w:t>
      </w:r>
      <w:r w:rsidRPr="00271199">
        <w:rPr>
          <w:szCs w:val="22"/>
        </w:rPr>
        <w:t xml:space="preserve"> přetrvávaly po celou dobu jeho realizace víceméně stále stejné problémy. Jednalo se zejména o nepochopení podstaty programu, kdy některé projekty předkládané do tohoto programu nenaplňovaly svou podstatou podmínky programu a následně byly zamítány. Další okruh problémů v obou programech podpory se týkal nedodržování pravidel pro výběr dodavatelů, což vedlo v některých případech ke krácení plateb. Nedodržení pravidel je přitom často způsobeno i jejich přílišnou složitostí. Specifickými problémy programu </w:t>
      </w:r>
      <w:r w:rsidRPr="00271199">
        <w:rPr>
          <w:i/>
          <w:szCs w:val="22"/>
        </w:rPr>
        <w:t>Potenciál</w:t>
      </w:r>
      <w:r w:rsidRPr="00271199">
        <w:rPr>
          <w:szCs w:val="22"/>
        </w:rPr>
        <w:t xml:space="preserve"> pak byly pomalý postup stavebních řízení a nedostatečná připravenost stavební dokumentace stavební části projektu a také malý počet projektů z některých regionů ČR, zejména z Karlovarského, Libereckého a Ústeckého kraje. </w:t>
      </w:r>
    </w:p>
    <w:p w:rsidR="000D1B2B" w:rsidRPr="00271199" w:rsidRDefault="000D1B2B" w:rsidP="000D1B2B">
      <w:pPr>
        <w:pStyle w:val="Standardntext"/>
        <w:rPr>
          <w:szCs w:val="22"/>
        </w:rPr>
      </w:pPr>
      <w:r w:rsidRPr="00271199">
        <w:rPr>
          <w:szCs w:val="22"/>
        </w:rPr>
        <w:t xml:space="preserve">V prioritní ose 5 OPPI byly realizovány programy podpory </w:t>
      </w:r>
      <w:r w:rsidRPr="00271199">
        <w:rPr>
          <w:i/>
          <w:szCs w:val="22"/>
        </w:rPr>
        <w:t>Spolupráce</w:t>
      </w:r>
      <w:r w:rsidRPr="00271199">
        <w:rPr>
          <w:szCs w:val="22"/>
        </w:rPr>
        <w:t xml:space="preserve"> a </w:t>
      </w:r>
      <w:r w:rsidRPr="00271199">
        <w:rPr>
          <w:i/>
          <w:szCs w:val="22"/>
        </w:rPr>
        <w:t>Prosperita</w:t>
      </w:r>
      <w:r w:rsidRPr="00271199">
        <w:rPr>
          <w:szCs w:val="22"/>
        </w:rPr>
        <w:t xml:space="preserve">. Program </w:t>
      </w:r>
      <w:r w:rsidRPr="00271199">
        <w:rPr>
          <w:i/>
          <w:szCs w:val="22"/>
        </w:rPr>
        <w:t>Spolupráce</w:t>
      </w:r>
      <w:r w:rsidRPr="00271199">
        <w:rPr>
          <w:szCs w:val="22"/>
        </w:rPr>
        <w:t xml:space="preserve"> byl zaměřen na vytváření a rozvoj regionálně koncentrovaných odvětvových seskupení podnikatelských subjektů a podpůrných institucí včetně výzkumných a vzdělávacích subjektů, tj. klastrů. V rámci této oblasti byly podporovány i technologické platformy, a to zejména vznik a rozvoj národních technologických platforem. Podpora poskytovaná v rámci programu </w:t>
      </w:r>
      <w:r w:rsidRPr="00271199">
        <w:rPr>
          <w:i/>
          <w:szCs w:val="22"/>
        </w:rPr>
        <w:t>Prosperita</w:t>
      </w:r>
      <w:r w:rsidRPr="00271199">
        <w:rPr>
          <w:szCs w:val="22"/>
        </w:rPr>
        <w:t xml:space="preserve"> směřovala do rozvoje infrastruktury pro průmyslový výzkum, vývoj a inovace se zaměřením na transfer technologií mezi subjekty inovačního prostředí a na podporu přímých vazeb mezi výzkumnými institucemi a podnikatelskou sférou. Podporován byl proces zakládání, činnosti a dalšího rozvoje podnikatelských inkubátorů, resp. podnikatelských inovačních center (BIC, PIC) a zakládání a rozvoj vědeckých a vědeckotechnických parků a center pro transfer technologií. </w:t>
      </w:r>
    </w:p>
    <w:p w:rsidR="000D1B2B" w:rsidRPr="00271199" w:rsidRDefault="000D1B2B" w:rsidP="000D1B2B">
      <w:pPr>
        <w:pStyle w:val="Standardntext"/>
      </w:pPr>
      <w:r w:rsidRPr="00271199">
        <w:lastRenderedPageBreak/>
        <w:t xml:space="preserve">Věcné cíle OPPI v programu </w:t>
      </w:r>
      <w:r w:rsidRPr="00271199">
        <w:rPr>
          <w:i/>
        </w:rPr>
        <w:t xml:space="preserve">Spolupráce </w:t>
      </w:r>
      <w:r w:rsidRPr="00271199">
        <w:t xml:space="preserve">se týkaly počtu podpořených uskupení a byly víceméně naplněny. Program přispěl k vytvoření více jak 20 stabilních klastrových organizací, přičemž některé klastry již splňují náročná kritéria klastrové excelence (6 klastrů již také absolvovalo hodnocení dle metodiky ESCA) a mají významnou mezinárodní působnost jak v oblasti vstupu na nové trhy, tak zapojování do mezinárodních výzkumných projektů. Výsledky projektů v programu </w:t>
      </w:r>
      <w:r w:rsidRPr="00271199">
        <w:rPr>
          <w:i/>
        </w:rPr>
        <w:t>Prosperita</w:t>
      </w:r>
      <w:r w:rsidRPr="00271199">
        <w:t xml:space="preserve"> v podobě inovačních firem využívajících infrastrukturu pro </w:t>
      </w:r>
      <w:proofErr w:type="spellStart"/>
      <w:r w:rsidRPr="00271199">
        <w:t>VVaI</w:t>
      </w:r>
      <w:proofErr w:type="spellEnd"/>
      <w:r w:rsidRPr="00271199">
        <w:t xml:space="preserve"> jsou s ohledem na jejich dlouhodobější charakter očekávány zejména v následujících letech. Díky podpoře z tohoto programu vznikne nebo bude významně rozšířeno celkem 55 vědeckotechnických parků a center pro transfer technologií a 38 podnikatelských inkubátorů. </w:t>
      </w:r>
      <w:r w:rsidRPr="00271199">
        <w:rPr>
          <w:szCs w:val="22"/>
        </w:rPr>
        <w:t xml:space="preserve">Stav čerpání finančních prostředků i absorpční kapacitu lze hodnotit pozitivně. Podané žádosti překročily více než dvojnásobně alokaci na tyto programy, celá alokace je krytá vydanými Rozhodnutími a lze očekávat její plné vyčerpání. </w:t>
      </w:r>
      <w:r w:rsidRPr="00271199">
        <w:t xml:space="preserve">Pro program </w:t>
      </w:r>
      <w:r w:rsidRPr="00271199">
        <w:rPr>
          <w:i/>
        </w:rPr>
        <w:t>Prosperita</w:t>
      </w:r>
      <w:r w:rsidRPr="00271199">
        <w:t xml:space="preserve"> je charakteristická velice vysoká náročnost přípravy a realizace investičně objemných projektů.</w:t>
      </w:r>
    </w:p>
    <w:p w:rsidR="000D1B2B" w:rsidRPr="00271199" w:rsidRDefault="000D1B2B" w:rsidP="000D1B2B">
      <w:pPr>
        <w:pStyle w:val="Standardntext"/>
      </w:pPr>
      <w:r w:rsidRPr="00271199">
        <w:t xml:space="preserve">Pro programovacím období 2014-2020 je podpora podnikových investic do inovací a výzkumu a vytváření vazeb a součinnosti mezi podniky a institucemi </w:t>
      </w:r>
      <w:proofErr w:type="spellStart"/>
      <w:r w:rsidRPr="00271199">
        <w:t>VaV</w:t>
      </w:r>
      <w:proofErr w:type="spellEnd"/>
      <w:r w:rsidRPr="00271199">
        <w:t xml:space="preserve"> v rámci OP PIK integrována v souladu s tematickou koncentrací do jedné prioritní osy a jedné investiční priority tematického cíle 1, na kterou byla zároveň přidělena největší část alokace pro tento operační program. Vyjadřuje to záměr ČR klást v novém programovacím období důraz právě na znalostní ekonomiku, transfery technologií a spolupráci </w:t>
      </w:r>
      <w:proofErr w:type="spellStart"/>
      <w:r w:rsidRPr="00271199">
        <w:t>VaV</w:t>
      </w:r>
      <w:proofErr w:type="spellEnd"/>
      <w:r w:rsidRPr="00271199">
        <w:t xml:space="preserve"> s inovačními firmami.</w:t>
      </w:r>
    </w:p>
    <w:p w:rsidR="000D1B2B" w:rsidRPr="00271199" w:rsidRDefault="000D1B2B" w:rsidP="000D1B2B">
      <w:pPr>
        <w:pStyle w:val="Standardntext"/>
        <w:spacing w:after="240"/>
      </w:pPr>
      <w:r w:rsidRPr="00271199">
        <w:t xml:space="preserve">Intervence OP PIK by měly být zaměřeny zejména na obory s vysokou přidanou hodnotou a potenciálem posunu na globálních hodnotových řetězcích v souladu se strategií RIS3; zvýšený důraz bude kladen na spolupráci s domácími a zahraničními partnery a vědeckovýzkumnou sférou a na podporu tzv. netechnických inovací. Nově byly zařazeny do specifického cíle 1.1 programu aktivity spojené s aplikovaným průmyslovým výzkumem. Specifický cíl 1.2 navazuje na výsledky programů </w:t>
      </w:r>
      <w:r w:rsidRPr="00271199">
        <w:rPr>
          <w:i/>
        </w:rPr>
        <w:t>Prosperita</w:t>
      </w:r>
      <w:r w:rsidRPr="00271199">
        <w:t xml:space="preserve"> a </w:t>
      </w:r>
      <w:r w:rsidRPr="00271199">
        <w:rPr>
          <w:i/>
        </w:rPr>
        <w:t>Spolupráce</w:t>
      </w:r>
      <w:r w:rsidRPr="00271199">
        <w:t xml:space="preserve"> OPPI. Jestliže program podpory </w:t>
      </w:r>
      <w:r w:rsidRPr="00271199">
        <w:rPr>
          <w:i/>
        </w:rPr>
        <w:t xml:space="preserve">Prosperita </w:t>
      </w:r>
      <w:r w:rsidRPr="00271199">
        <w:t xml:space="preserve">pomohl v období 2007-2013 založit podpůrnou infrastrukturu s vazbami na univerzity či výzkumné organizace, v jejichž rámci jsou postupně vytvářeny služby a podmínky pro užší spolupráci podnikové a výzkumné sféry a vedle toho program podpory </w:t>
      </w:r>
      <w:r w:rsidRPr="00271199">
        <w:rPr>
          <w:i/>
        </w:rPr>
        <w:t>Spolupráce</w:t>
      </w:r>
      <w:r w:rsidRPr="00271199">
        <w:t xml:space="preserve"> přispěl k vytvoření a rozvoji klastrových seskupení v různých odvětvích a přispěl k překonávání nedůvěry ve společné aktivity, definovaní společných potřeb MSP i k zahájení a realizaci společných </w:t>
      </w:r>
      <w:proofErr w:type="spellStart"/>
      <w:r w:rsidRPr="00271199">
        <w:t>VaV</w:t>
      </w:r>
      <w:proofErr w:type="spellEnd"/>
      <w:r w:rsidRPr="00271199">
        <w:t xml:space="preserve"> projektů, pak cílem pro období 2014-2020 bude postup do další fáze, která se zaměří zejména na zkvalitňování služeb </w:t>
      </w:r>
      <w:proofErr w:type="spellStart"/>
      <w:r w:rsidRPr="00271199">
        <w:t>VaV</w:t>
      </w:r>
      <w:proofErr w:type="spellEnd"/>
      <w:r w:rsidRPr="00271199">
        <w:t xml:space="preserve"> infrastruktury s důrazem na naplňování jejich poslání – růst počtu transferů technologií a znalostí, zlepšování podmínek pro vznik a rozvoj inovačních firem apod. Cílem tedy již není založení spolupráce, ale její další zefektivnění vedoucí k růstu konkurenceschopnosti regionů. V oblasti klastrů bude cílem vychovat excelentní klastry, které se úspěšně integrují do inovačního řetězce, budou generovat kvalitní výstupy v oblasti </w:t>
      </w:r>
      <w:proofErr w:type="spellStart"/>
      <w:r w:rsidRPr="00271199">
        <w:t>VaV</w:t>
      </w:r>
      <w:proofErr w:type="spellEnd"/>
      <w:r w:rsidRPr="00271199">
        <w:t xml:space="preserve"> a budou schopny se úspěšně zapojovat např. do projektů rámcového programu HORIZON 2020.</w:t>
      </w:r>
    </w:p>
    <w:p w:rsidR="000D1B2B" w:rsidRPr="00271199" w:rsidRDefault="000D1B2B" w:rsidP="000D1B2B">
      <w:pPr>
        <w:pStyle w:val="Standardntext"/>
        <w:rPr>
          <w:b/>
          <w:i/>
          <w:szCs w:val="22"/>
        </w:rPr>
      </w:pPr>
      <w:r w:rsidRPr="00271199">
        <w:rPr>
          <w:b/>
          <w:i/>
          <w:szCs w:val="22"/>
        </w:rPr>
        <w:t>1.2 Konkurenceschopnost malých a středních podniků</w:t>
      </w:r>
    </w:p>
    <w:p w:rsidR="000D1B2B" w:rsidRPr="00271199" w:rsidRDefault="000D1B2B" w:rsidP="000D1B2B">
      <w:pPr>
        <w:pStyle w:val="Standardntext"/>
        <w:rPr>
          <w:szCs w:val="22"/>
        </w:rPr>
      </w:pPr>
      <w:r w:rsidRPr="00271199">
        <w:rPr>
          <w:szCs w:val="22"/>
        </w:rPr>
        <w:t>V OPPI bylo téma konkurenceschopnosti malých a středních podniků řešeno v rámci čtyř prioritních os.</w:t>
      </w:r>
    </w:p>
    <w:p w:rsidR="000D1B2B" w:rsidRPr="00271199" w:rsidRDefault="000D1B2B" w:rsidP="000D1B2B">
      <w:pPr>
        <w:pStyle w:val="Standardntext"/>
      </w:pPr>
      <w:r w:rsidRPr="00271199">
        <w:t>Prioritní osa 1 se zaměřovala na vytváření podmínek pro vznik nových firem, s akcentem podpory na začínající a inovačně orientované firmy. Pozornost byla věnována problematice dostupnosti vhodných finančních zdrojů, včetně vytváření nových pro-inovačně působících finančních nástrojů s cílem usnadnit přístup začínajících podnikatelů ke kapitálu a rozšířit tím možnosti pro financování jejich podnikatelských záměrů a předkládaných projektů.</w:t>
      </w:r>
    </w:p>
    <w:p w:rsidR="000D1B2B" w:rsidRPr="00271199" w:rsidRDefault="000D1B2B" w:rsidP="000D1B2B">
      <w:pPr>
        <w:pStyle w:val="Standardntext"/>
      </w:pPr>
      <w:r w:rsidRPr="00271199">
        <w:lastRenderedPageBreak/>
        <w:t xml:space="preserve">Podpora v rámci programu </w:t>
      </w:r>
      <w:r w:rsidRPr="00271199">
        <w:rPr>
          <w:i/>
        </w:rPr>
        <w:t>Start</w:t>
      </w:r>
      <w:r w:rsidRPr="00271199">
        <w:t xml:space="preserve"> zaměřeného na zvýšení motivace k podnikání byla poskytována formou bezúročných úvěrů a zvýhodněných záruk s finančním příspěvkem k zaručovanému úvěru. Ačkoliv zájem ze strany žadatelů byl dostatečný, problém zde představovalo zapojení ČMZRB a.s. do</w:t>
      </w:r>
      <w:r>
        <w:t xml:space="preserve"> </w:t>
      </w:r>
      <w:r w:rsidRPr="00271199">
        <w:t>systému implementace OPPI a rozdílný přístup EK k zapojení ČMZRB do tohoto systému, což ovlivnilo implementaci tohoto programu podpory.</w:t>
      </w:r>
      <w:r>
        <w:t xml:space="preserve"> </w:t>
      </w:r>
    </w:p>
    <w:p w:rsidR="000D1B2B" w:rsidRPr="00271199" w:rsidRDefault="000D1B2B" w:rsidP="000D1B2B">
      <w:pPr>
        <w:pStyle w:val="Standardntext"/>
      </w:pPr>
      <w:r w:rsidRPr="00271199">
        <w:t xml:space="preserve">Druhá oblast podpory prioritní osy 1 OPPI měla být zaměřena na zavedení nových finančních nástrojů, které měly napomoci řešit problematiku financování projektů s vysokou rizikovostí vyplývající z charakteru žadatelů o podporu a typů realizovaných projektů. Předpokládala se podpora investic pro rozvoj malých a středních podniků formou rizikového kapitálu. V této souvislosti byl řídícím orgánem OPPI připraven pilotní projekt </w:t>
      </w:r>
      <w:proofErr w:type="spellStart"/>
      <w:r w:rsidRPr="00271199">
        <w:t>Seed</w:t>
      </w:r>
      <w:proofErr w:type="spellEnd"/>
      <w:r w:rsidRPr="00271199">
        <w:t xml:space="preserve"> kapitálového fondu, ovšem jeho spuštění bylo pozastaveno z důvodu správního řízení vedeného u Úřadu pro ochranu hospodářské soutěže. Tím došlo k významnému zpoždění, projekt nemohl být v rámci OPPI již realizován a bude nově připravován pro OP PIK </w:t>
      </w:r>
    </w:p>
    <w:p w:rsidR="000D1B2B" w:rsidRPr="00271199" w:rsidRDefault="000D1B2B" w:rsidP="000D1B2B">
      <w:pPr>
        <w:pStyle w:val="Standardntext"/>
      </w:pPr>
      <w:r w:rsidRPr="00271199">
        <w:t xml:space="preserve">Prioritní osa 2 OPPI byla zaměřena na dvě hlavní témata, a sice i) na podporu realizace rozvojových podnikatelských projektů konkurenceschopných malých a středních podniků, kterým brání nižší vlastní kapitálová vybavenost nebo omezená schopnost poskytnout zajištění úvěru v možnosti získat externí zdroje financování prostřednictvím bankovních nástrojů, a </w:t>
      </w:r>
      <w:proofErr w:type="spellStart"/>
      <w:r w:rsidRPr="00271199">
        <w:t>ii</w:t>
      </w:r>
      <w:proofErr w:type="spellEnd"/>
      <w:r w:rsidRPr="00271199">
        <w:t>) na zlepšování technické vybavenosti podniků nákupem moderních technologií, včetně ICT, a na rozvoj vybraných strategických služeb.</w:t>
      </w:r>
    </w:p>
    <w:p w:rsidR="000D1B2B" w:rsidRPr="00271199" w:rsidRDefault="000D1B2B" w:rsidP="000D1B2B">
      <w:pPr>
        <w:pStyle w:val="Standardntext"/>
      </w:pPr>
      <w:r w:rsidRPr="00271199">
        <w:t xml:space="preserve">V programu </w:t>
      </w:r>
      <w:r w:rsidRPr="00271199">
        <w:rPr>
          <w:i/>
        </w:rPr>
        <w:t>Záruka</w:t>
      </w:r>
      <w:r w:rsidRPr="00271199">
        <w:t xml:space="preserve"> byly formou zvýhodněných záruk k úvěrům podporovány projekty zaměřené na pořízení strojů a zařízení a získání provozních prostor (výstavba či rekonstrukce nemovitosti) k rozvoji podnikání a doplňkově také nákupy vstupů pro zahájení či rozvoj podnikání. Poskytnuté záruky za úvěry</w:t>
      </w:r>
      <w:r>
        <w:t xml:space="preserve"> </w:t>
      </w:r>
      <w:r w:rsidRPr="00271199">
        <w:t>významně napomohly udržení MSP na trhu, zejména v době ekonomické recese 2008 – 2010,</w:t>
      </w:r>
      <w:r>
        <w:t xml:space="preserve"> </w:t>
      </w:r>
      <w:r w:rsidRPr="00271199">
        <w:t xml:space="preserve">kdy úvěry komerčních bank byly obtížně dostupné bez dostatečného zajištění. V programu </w:t>
      </w:r>
      <w:r w:rsidRPr="00271199">
        <w:rPr>
          <w:i/>
        </w:rPr>
        <w:t>Progres</w:t>
      </w:r>
      <w:r w:rsidRPr="00271199">
        <w:t xml:space="preserve"> byly formou zvýhodněných úvěrů financovány projekty zaměřené zejména na pořízení strojů a zařízení a získání provozních prostor (výstavba či rekonstrukce nemovitosti) k rozvoji podnikání. Realizací programů </w:t>
      </w:r>
      <w:r w:rsidRPr="00271199">
        <w:rPr>
          <w:i/>
        </w:rPr>
        <w:t>Záruka a Progres</w:t>
      </w:r>
      <w:r w:rsidRPr="00271199">
        <w:t xml:space="preserve"> byla pověřena ČMZRB, kde implementaci </w:t>
      </w:r>
      <w:r w:rsidRPr="00271199">
        <w:rPr>
          <w:lang w:val="cs-CZ"/>
        </w:rPr>
        <w:t xml:space="preserve">ovlivňovala </w:t>
      </w:r>
      <w:r w:rsidRPr="00271199">
        <w:t xml:space="preserve">skutečnost uvedená výše u programu </w:t>
      </w:r>
      <w:r w:rsidRPr="00271199">
        <w:rPr>
          <w:i/>
        </w:rPr>
        <w:t>Start.</w:t>
      </w:r>
      <w:r>
        <w:rPr>
          <w:i/>
        </w:rPr>
        <w:t xml:space="preserve"> </w:t>
      </w:r>
    </w:p>
    <w:p w:rsidR="000D1B2B" w:rsidRPr="00271199" w:rsidRDefault="000D1B2B" w:rsidP="000D1B2B">
      <w:pPr>
        <w:pStyle w:val="Standardntext"/>
      </w:pPr>
      <w:r w:rsidRPr="00271199">
        <w:t xml:space="preserve">Dotační program </w:t>
      </w:r>
      <w:r w:rsidRPr="00271199">
        <w:rPr>
          <w:i/>
        </w:rPr>
        <w:t>Rozvoj</w:t>
      </w:r>
      <w:r w:rsidRPr="00271199">
        <w:t xml:space="preserve"> podporoval projekty MSP v regionech s vyšší mírou nezaměstnanosti a umožňoval získat dotaci na pořízení technologií s vyššími technickými a užitnými parametry a realizaci projektů zvyšujících efektivnost procesů. Realizace podpořených projektů přispěla ke zvýšení konkurenceschopnosti MSP, zvýšení zaměstnanosti a rozvoji regionů. Program </w:t>
      </w:r>
      <w:r w:rsidRPr="00271199">
        <w:rPr>
          <w:i/>
        </w:rPr>
        <w:t>ICT v podnicích</w:t>
      </w:r>
      <w:r w:rsidRPr="00271199">
        <w:t xml:space="preserve"> se zaměřoval na zavádění podnikových informačních systémů pro řízení zdrojů, řízení dodavatelsko-odběratelských vztahů atp. a program </w:t>
      </w:r>
      <w:r w:rsidRPr="00271199">
        <w:rPr>
          <w:i/>
        </w:rPr>
        <w:t>ICT a strategické služby</w:t>
      </w:r>
      <w:r w:rsidRPr="00271199">
        <w:t xml:space="preserve"> na tvorbu nových softwarových řešení a aplikací, na založení a rozvoj centra sdílených služeb, centra zákaznické podpory či centra oprav </w:t>
      </w:r>
      <w:proofErr w:type="spellStart"/>
      <w:r w:rsidRPr="00271199">
        <w:t>high-tech</w:t>
      </w:r>
      <w:proofErr w:type="spellEnd"/>
      <w:r w:rsidRPr="00271199">
        <w:t xml:space="preserve"> výrobků a technologií, a dále také na budování a rozšiřování datových center.</w:t>
      </w:r>
    </w:p>
    <w:p w:rsidR="000D1B2B" w:rsidRPr="00271199" w:rsidRDefault="000D1B2B" w:rsidP="000D1B2B">
      <w:pPr>
        <w:pStyle w:val="Standardntext"/>
      </w:pPr>
      <w:r w:rsidRPr="00271199">
        <w:t xml:space="preserve">V prioritní ose 5 OPPI byly kromě již výše uvedených programů podpory </w:t>
      </w:r>
      <w:r w:rsidRPr="00271199">
        <w:rPr>
          <w:i/>
        </w:rPr>
        <w:t>Spolupráce a Prosperita</w:t>
      </w:r>
      <w:r w:rsidRPr="00271199">
        <w:t xml:space="preserve"> realizovány také programy </w:t>
      </w:r>
      <w:r w:rsidRPr="00271199">
        <w:rPr>
          <w:i/>
        </w:rPr>
        <w:t>Školicí střediska a Nemovitosti</w:t>
      </w:r>
      <w:r w:rsidRPr="00271199">
        <w:t xml:space="preserve">. Program </w:t>
      </w:r>
      <w:r w:rsidRPr="00271199">
        <w:rPr>
          <w:i/>
        </w:rPr>
        <w:t>Školicí střediska</w:t>
      </w:r>
      <w:r w:rsidRPr="00271199">
        <w:t xml:space="preserve"> se zaměřil na tvorbu kvalitní infrastruktury pro realizaci vzdělávacích aktivit v podnikové sféře, která podpořila růst konkurenceschopnosti podniků a podnikatelských subjektů ve vymezených sektorech a zaměstnanosti jednotlivců v souladu s potřebami pracovního trhu vyplývajícími ze zavádění nových technologií, inovací, výrobních proces</w:t>
      </w:r>
      <w:r>
        <w:t>ů a postupů</w:t>
      </w:r>
      <w:r w:rsidRPr="00271199">
        <w:t>. Rozšiřování vzdělávacích kapacit spolu se zvyšováním odborného růstu zaměstnanců se v dlouhodobém horizontu pozitivně promítá ve vztahu k efektivitě a kvalitě výroby a služeb.</w:t>
      </w:r>
    </w:p>
    <w:p w:rsidR="000D1B2B" w:rsidRPr="00271199" w:rsidRDefault="000D1B2B" w:rsidP="000D1B2B">
      <w:pPr>
        <w:pStyle w:val="Standardntext"/>
      </w:pPr>
      <w:r w:rsidRPr="00271199">
        <w:lastRenderedPageBreak/>
        <w:t xml:space="preserve">Cílem programu </w:t>
      </w:r>
      <w:r w:rsidRPr="00271199">
        <w:rPr>
          <w:i/>
        </w:rPr>
        <w:t>Nemovitosti</w:t>
      </w:r>
      <w:r w:rsidRPr="00271199">
        <w:t xml:space="preserve"> bylo zkvalitnění infrastruktury pro podnikání, formou vytváření a rozvoje podnikatelských nemovitostí na úrovni evropských standardů. Podpora byla poskytována na obnovu zanedbaných objektů, zejména prostřednictvím regenerace brownfieldů. Přínos programu podpory v oblasti rekonstrukce nevyužívaných budov včetně souvisejících dopadů na zlepšení životního prostředí a snížení záboru nové půdy je proto jednoznačně pozitivní. </w:t>
      </w:r>
    </w:p>
    <w:p w:rsidR="000D1B2B" w:rsidRPr="00271199" w:rsidRDefault="000D1B2B" w:rsidP="000D1B2B">
      <w:pPr>
        <w:pStyle w:val="ZZNormln"/>
        <w:rPr>
          <w:rFonts w:ascii="Times New Roman" w:hAnsi="Times New Roman"/>
          <w:szCs w:val="24"/>
        </w:rPr>
      </w:pPr>
      <w:r w:rsidRPr="00271199">
        <w:rPr>
          <w:rFonts w:ascii="Times New Roman" w:hAnsi="Times New Roman" w:cs="Times New Roman"/>
        </w:rPr>
        <w:t xml:space="preserve">Prioritní osa 6 OPPI byla zaměřena na rozvoj a využití kvalitních poradenských a informačních služeb pro podnikatelské subjekty, a to i v oblasti vyhledávání nových obchodních příležitostí a odborné přípravy na posilování pozic českého průmyslu v mezinárodním obchodu. Podporovanými aktivitami programu </w:t>
      </w:r>
      <w:r w:rsidRPr="00271199">
        <w:rPr>
          <w:rFonts w:ascii="Times New Roman" w:hAnsi="Times New Roman" w:cs="Times New Roman"/>
          <w:i/>
        </w:rPr>
        <w:t>Poradenství</w:t>
      </w:r>
      <w:r w:rsidRPr="00271199">
        <w:rPr>
          <w:rFonts w:ascii="Times New Roman" w:hAnsi="Times New Roman" w:cs="Times New Roman"/>
        </w:rPr>
        <w:t xml:space="preserve"> byly poradenské služby v rámci individuálních projektů malých a středních podniků související se zaváděním inovací pro malé a střední podniky a poskytované externími poradci oprávněnými k této činnosti podle platných právních předpisů. Poradenské služby poskytované externími poradci se vztahovaly na inovace produktu (inovace výrobku, inovace služby, inovace výrobku i služby), inovace procesu (inovace metod výroby nebo zpracování výrobků nebo služeb, inovace metod logistiky nebo distribuce výrobků nebo služeb, inovace podpůrných činností), organizační inovace (zavedení inovovaného systému řízení v rámci podniku, změna organizace práce, významné změny ve vztahu k jiným firmám) a marketingové inovace (významné změny u designu výrobků nebo </w:t>
      </w:r>
      <w:r w:rsidRPr="00271199">
        <w:rPr>
          <w:rFonts w:ascii="Times New Roman" w:hAnsi="Times New Roman" w:cs="Times New Roman"/>
          <w:szCs w:val="24"/>
        </w:rPr>
        <w:t xml:space="preserve">služeb, podstatné změny metod prodeje nebo distribuce výrobků nebo služeb). Realizace programu Poradenství významným způsobem přispěla k rozšíření nabídky relevantních poradenských služeb pro malé a střední podniky, v procesu rozvoje podniků, zavádění inovací a zvyšování jejich konkurenceschopnosti. </w:t>
      </w:r>
      <w:r w:rsidRPr="00271199">
        <w:rPr>
          <w:rFonts w:ascii="Times New Roman" w:hAnsi="Times New Roman"/>
          <w:szCs w:val="24"/>
        </w:rPr>
        <w:t xml:space="preserve">Program </w:t>
      </w:r>
      <w:r w:rsidRPr="00271199">
        <w:rPr>
          <w:rFonts w:ascii="Times New Roman" w:hAnsi="Times New Roman"/>
          <w:i/>
          <w:szCs w:val="24"/>
        </w:rPr>
        <w:t>Marketing</w:t>
      </w:r>
      <w:r w:rsidRPr="00271199">
        <w:rPr>
          <w:rFonts w:ascii="Times New Roman" w:hAnsi="Times New Roman"/>
          <w:szCs w:val="24"/>
        </w:rPr>
        <w:t xml:space="preserve"> se zaměřil zejména na posílení mezinárodní konkurenceschopnosti malých a středních podniků prostřednictvím podpory jejich individuálních a společných účastí na zahraničních výstavách a veletrzích. Účast v programu firmám umožnila představení a propagaci výsledků výzkumu a inovativních aktivit v zahraničí, přispěla k mezinárodnímu transferu vědomostí a know-how a k vytváření pozitivního image firem ČR v zahraničí. Pozitivně je možno hodnotit interní projekt</w:t>
      </w:r>
      <w:r w:rsidRPr="00271199">
        <w:rPr>
          <w:rFonts w:ascii="Times New Roman" w:hAnsi="Times New Roman"/>
          <w:i/>
          <w:szCs w:val="24"/>
        </w:rPr>
        <w:t xml:space="preserve"> Společná účast na specializovaných výstavách a veletrzích v zahraničí 2009 – 2012 (SVV) </w:t>
      </w:r>
      <w:r w:rsidRPr="00271199">
        <w:rPr>
          <w:rFonts w:ascii="Times New Roman" w:hAnsi="Times New Roman"/>
          <w:szCs w:val="24"/>
          <w:lang w:eastAsia="en-US"/>
        </w:rPr>
        <w:t>zaměřený na oborovou prezentaci prostřednictvím společné účasti cílových skupin - profesních (oborových) organizací a individuálních podniků na vybraných specializovaných veletrzích a výstavách v zahraničí. Projekt významným způsobem podpořil vstup zejména malých a středních podniků na zahraniční trhy a jejich konkurenceschopnost. Vzhledem k jednoznačně kladnému hodnocení projektu a zájmu ze strany MSP bylo přistoupeno k vyhlášení obdobného interního projektu rovněž pro období 2013-2014.</w:t>
      </w:r>
    </w:p>
    <w:p w:rsidR="000D1B2B" w:rsidRPr="00271199" w:rsidRDefault="000D1B2B" w:rsidP="000D1B2B">
      <w:pPr>
        <w:pStyle w:val="Standardntext"/>
      </w:pPr>
      <w:r w:rsidRPr="00271199">
        <w:t xml:space="preserve">V prioritní ose 6 OPPI byly realizovány i některé další tzv. interní projekty. Projekt </w:t>
      </w:r>
      <w:proofErr w:type="spellStart"/>
      <w:r w:rsidRPr="00271199">
        <w:rPr>
          <w:i/>
        </w:rPr>
        <w:t>CzechAccelerator</w:t>
      </w:r>
      <w:proofErr w:type="spellEnd"/>
      <w:r w:rsidRPr="00271199">
        <w:rPr>
          <w:i/>
        </w:rPr>
        <w:t xml:space="preserve"> 2011–2014</w:t>
      </w:r>
      <w:r w:rsidRPr="00271199">
        <w:t xml:space="preserve"> zaměřený </w:t>
      </w:r>
      <w:r w:rsidRPr="00271199">
        <w:rPr>
          <w:bCs/>
        </w:rPr>
        <w:t>n</w:t>
      </w:r>
      <w:r w:rsidRPr="00271199">
        <w:t xml:space="preserve">a zlepšení kvality a dostupnosti ucelené koncepce poradenských služeb zejména pro </w:t>
      </w:r>
      <w:r w:rsidRPr="00271199">
        <w:rPr>
          <w:bCs/>
        </w:rPr>
        <w:t>malé a střední podniky</w:t>
      </w:r>
      <w:r w:rsidRPr="00271199">
        <w:t xml:space="preserve"> s cílem zvýšení jejich konkurenceschopnosti. Poradenské služby poskytované v rámci projektu </w:t>
      </w:r>
      <w:r w:rsidRPr="00271199">
        <w:rPr>
          <w:bCs/>
        </w:rPr>
        <w:t>pomohly</w:t>
      </w:r>
      <w:r w:rsidRPr="00271199">
        <w:t xml:space="preserve"> </w:t>
      </w:r>
      <w:r w:rsidRPr="00271199">
        <w:rPr>
          <w:bCs/>
        </w:rPr>
        <w:t>malým a středním podnikům</w:t>
      </w:r>
      <w:r w:rsidRPr="00271199">
        <w:t xml:space="preserve"> získat praktické manažerské zkušenosti na cílových trzích, vyhledat na nich vhodné partnery a rozvíjet obchodní aktivity včetně </w:t>
      </w:r>
      <w:proofErr w:type="spellStart"/>
      <w:r w:rsidRPr="00271199">
        <w:t>komercialiazce</w:t>
      </w:r>
      <w:proofErr w:type="spellEnd"/>
      <w:r>
        <w:t xml:space="preserve"> </w:t>
      </w:r>
      <w:r w:rsidRPr="00271199">
        <w:t>jejich produktu. Projekt</w:t>
      </w:r>
      <w:r>
        <w:t xml:space="preserve"> </w:t>
      </w:r>
      <w:proofErr w:type="spellStart"/>
      <w:r w:rsidRPr="00271199">
        <w:rPr>
          <w:i/>
        </w:rPr>
        <w:t>CzechAccelerator</w:t>
      </w:r>
      <w:proofErr w:type="spellEnd"/>
      <w:r w:rsidRPr="00271199">
        <w:rPr>
          <w:i/>
        </w:rPr>
        <w:t xml:space="preserve"> 2011–2014</w:t>
      </w:r>
      <w:r>
        <w:t xml:space="preserve"> </w:t>
      </w:r>
      <w:r w:rsidRPr="00271199">
        <w:t xml:space="preserve">přispěl k úspěšnému působení </w:t>
      </w:r>
      <w:r w:rsidRPr="00271199">
        <w:rPr>
          <w:bCs/>
        </w:rPr>
        <w:t xml:space="preserve">malých a středních podniků se sídlem v ČR v zahraničních destinacích, zejména pak </w:t>
      </w:r>
      <w:r w:rsidRPr="00271199">
        <w:t xml:space="preserve">k praktickému uplatnění jejich podnikatelských plánů a posílení marketingových a manažerských schopností. Cílem interního projektu </w:t>
      </w:r>
      <w:proofErr w:type="spellStart"/>
      <w:r w:rsidRPr="00271199">
        <w:rPr>
          <w:i/>
        </w:rPr>
        <w:t>CzechEkoSystem</w:t>
      </w:r>
      <w:proofErr w:type="spellEnd"/>
      <w:r w:rsidRPr="00271199">
        <w:t xml:space="preserve"> bylo podpořit poradenské a služby pro malé a střední podniky, včetně přípravy projektů pro vstup rizikového kapitálu na zvýšení jejich konkurenceschopnosti. </w:t>
      </w:r>
      <w:r w:rsidRPr="00271199">
        <w:rPr>
          <w:lang w:eastAsia="en-US"/>
        </w:rPr>
        <w:t xml:space="preserve">Projekt přispěl ke zvýšení konkurenceschopnosti malých a středních podniků prostřednictvím ucelené koncepce poradenských služeb. </w:t>
      </w:r>
      <w:r w:rsidRPr="00271199">
        <w:t xml:space="preserve">Realizací projektu došlo k zapojení odborných kapacit do procesu přípravy projektů potenciálně financovatelných </w:t>
      </w:r>
      <w:r w:rsidRPr="00271199">
        <w:lastRenderedPageBreak/>
        <w:t xml:space="preserve">formou rizikového kapitálu. Interní projekt </w:t>
      </w:r>
      <w:r w:rsidRPr="00271199">
        <w:rPr>
          <w:i/>
        </w:rPr>
        <w:t>Posílení mezinárodní konkurenceschopnosti českých podniků v oblasti kosmických technologií,</w:t>
      </w:r>
      <w:r w:rsidRPr="00271199" w:rsidDel="00681B92">
        <w:rPr>
          <w:i/>
        </w:rPr>
        <w:t xml:space="preserve"> </w:t>
      </w:r>
      <w:r w:rsidRPr="00271199">
        <w:t xml:space="preserve">byl přínosem zejména pro zvýšení informovanosti firem v ČR o programech z oblasti kosmických technologií a přiblížení možnosti zapojení do těchto programů. Projekt byl zaměřen také na vyhledání výrobců nejmodernějších a pro ČR klíčových technologií s vlastními inovacemi a vývojem, nebo se zájmem o spolupráci s organizací v oblasti inovací a vývoje. Projekt </w:t>
      </w:r>
      <w:r w:rsidRPr="00271199">
        <w:rPr>
          <w:bCs/>
          <w:i/>
        </w:rPr>
        <w:t>Design pro konkurenceschopnost 2013-2014</w:t>
      </w:r>
      <w:r>
        <w:rPr>
          <w:bCs/>
          <w:i/>
        </w:rPr>
        <w:t xml:space="preserve"> </w:t>
      </w:r>
      <w:r w:rsidRPr="00271199">
        <w:t xml:space="preserve">byl zaměřen na podporu implementace průmyslového designu do podnikatelských strategií malých a středních podniků, formou profesionálně zpracovaného designu. V rámci projektu byla podporována spolupráce designérů s malými a středními podniky poskytování informací prostřednictvím Design </w:t>
      </w:r>
      <w:proofErr w:type="spellStart"/>
      <w:r w:rsidRPr="00271199">
        <w:t>Newsletterů</w:t>
      </w:r>
      <w:proofErr w:type="spellEnd"/>
      <w:r w:rsidRPr="00271199">
        <w:t xml:space="preserve"> a odborných publikací, organizace odborných seminářů a workshopů se zaměřením na problematiku Design Managementu, a propagace průmyslového designu v zahraničí formou společné expozice na vybraných veletrzích a výstavách v zahraničí.</w:t>
      </w:r>
    </w:p>
    <w:p w:rsidR="000D1B2B" w:rsidRPr="00271199" w:rsidRDefault="000D1B2B" w:rsidP="000D1B2B">
      <w:pPr>
        <w:pStyle w:val="Standardntext"/>
        <w:spacing w:after="240"/>
      </w:pPr>
      <w:r w:rsidRPr="00271199">
        <w:t xml:space="preserve">V programovacím období 2014-2020 došlo především ke koncentraci podpory zaměřené výhradně na malé a střední podniky do jedné prioritní osy OP PIK (prioritní osa 2 vážící se k tematickému cíli 3 dle čl. 9(3) nařízení č. 1303/2013). Tato prioritní osa zahrnuje tři investiční priority tematického cíle 3 definované nařízením č. 1301/2013 o EFRR, rozvojové potřeby ČR zde budou naplňovány prostřednictvím čtyř specifických cílů. </w:t>
      </w:r>
    </w:p>
    <w:p w:rsidR="000D1B2B" w:rsidRPr="00271199" w:rsidRDefault="000D1B2B" w:rsidP="000D1B2B">
      <w:pPr>
        <w:pStyle w:val="Standardntext"/>
        <w:spacing w:after="240"/>
        <w:rPr>
          <w:b/>
          <w:i/>
        </w:rPr>
      </w:pPr>
      <w:r w:rsidRPr="00271199">
        <w:rPr>
          <w:b/>
          <w:i/>
        </w:rPr>
        <w:t>1.3 Energetická a materiálová náročnost, energetická infrastruktura</w:t>
      </w:r>
    </w:p>
    <w:p w:rsidR="000D1B2B" w:rsidRPr="00271199" w:rsidRDefault="000D1B2B" w:rsidP="000D1B2B">
      <w:pPr>
        <w:pStyle w:val="Standardntext"/>
      </w:pPr>
      <w:r w:rsidRPr="00271199">
        <w:t xml:space="preserve">V OPPI byla vymezena prioritní osa 3 „Efektivní energie“. Prostřednictvím jediného programu podpory </w:t>
      </w:r>
      <w:proofErr w:type="spellStart"/>
      <w:r w:rsidRPr="00271199">
        <w:rPr>
          <w:i/>
        </w:rPr>
        <w:t>Eko</w:t>
      </w:r>
      <w:proofErr w:type="spellEnd"/>
      <w:r w:rsidRPr="00271199">
        <w:rPr>
          <w:i/>
        </w:rPr>
        <w:t>-energie</w:t>
      </w:r>
      <w:r w:rsidRPr="00271199">
        <w:t xml:space="preserve"> byly podporovány podnikatelské aktivity v oblasti úspor energie a obnovitelných, příp. i druhotných zdrojů energie. Cílem poskytování podpor bylo snížit energetickou náročnost na jednotku produkce při zachování dlouhodobé stability a dostupnosti energie pro podnikatelskou sféru, omezit závislost české ekonomiky na dovozu energetických komodit, snížit spotřebu fosilních primárních energetických zdrojů a podporovat podnikatele v oblasti využití obnovitelných zdrojů energie, přispívat ke zvyšování jejich konkurenceschopnosti.</w:t>
      </w:r>
    </w:p>
    <w:p w:rsidR="000D1B2B" w:rsidRPr="00271199" w:rsidRDefault="000D1B2B" w:rsidP="000D1B2B">
      <w:pPr>
        <w:pStyle w:val="Standardntext"/>
        <w:spacing w:after="240"/>
      </w:pPr>
      <w:r w:rsidRPr="00271199">
        <w:t xml:space="preserve">Věcný pokrok prioritní osy 3 OPPI potvrdil očekávání, že se jí podaří naplnit stanovené cíle. Poněkud pomalejší náběh dosahování stanovených hodnot indikátorů je dán především charakterem realizovaných projektů, u kterých se efekty projevují s určitým časovým zpožděním. Podpořené projekty se zaměřily zhruba z 86 % na zvyšování energetické účinnosti a ze 14 % na zvýšení výroby energie z obnovitelných zdrojů. Vzhledem k tomu, že podniky stále hledají prostor pro snižování nákladů a podpora úspor energie v podnicích je v tomto směru velmi účinným nástrojem. Téma snižování energetické náročnosti je proto jedním ze stěžejních i pro programovací období 2014-2020. Přetrvávající vysoká energetická a surovinová náročnost českého hospodářství, rostoucí ceny energií, závislost na neobnovitelných zdrojích energie a postupné zastarávání a nedostatečná kapacita energetické infrastruktury jsou příčinou toho, že prioritní osa 3 představuje vedle podpory </w:t>
      </w:r>
      <w:proofErr w:type="spellStart"/>
      <w:r w:rsidRPr="00271199">
        <w:t>VaV</w:t>
      </w:r>
      <w:proofErr w:type="spellEnd"/>
      <w:r w:rsidRPr="00271199">
        <w:t xml:space="preserve"> a inovací v prioritní ose 1 druhou hlavní oblast podpory v OP PIK. Vedle „tradičních“ oblastí podpory zaměřených na úspory energií v podnicích (SC 3.2), kombinovanou výrobu elektřiny a tepla (SC 3.5) a výstavbu a modernizaci zdrojů na výrobu energie z OZE (SC 3.1) budou nově financovány také komplexní intervence v elektrizační soustavě (SC 3.6 - přenosová soustava a SC 3.3 - distribuční soustavy). Tento komplexní přístup přinese kvalitativně vyšší přínosy pro posílení bezpečnosti, spolehlivosti</w:t>
      </w:r>
      <w:r>
        <w:t xml:space="preserve"> </w:t>
      </w:r>
      <w:r w:rsidRPr="00271199">
        <w:t xml:space="preserve">a kvality dodávky elektrické energie a zároveň umožní dobudovat vnitřní trh s elektřinou, integraci decentrálních zdrojů včetně OZE do distribučních soustav a efektivnější nakládání energií. Nově budou podporovány také aktivity spojené se zaváděním inovativních řešení při nakládání energiemi a při získávání a využívání druhotných </w:t>
      </w:r>
      <w:r w:rsidRPr="00271199">
        <w:lastRenderedPageBreak/>
        <w:t xml:space="preserve">surovin (SC 3.4) s cílem dále snižovat spotřebu primárních surovin a více využívat nízkouhlíkové technologie v oblastech čisté mobility, </w:t>
      </w:r>
      <w:proofErr w:type="spellStart"/>
      <w:r w:rsidRPr="00271199">
        <w:t>smart</w:t>
      </w:r>
      <w:proofErr w:type="spellEnd"/>
      <w:r w:rsidRPr="00271199">
        <w:t xml:space="preserve"> </w:t>
      </w:r>
      <w:proofErr w:type="spellStart"/>
      <w:r w:rsidRPr="00271199">
        <w:t>cities</w:t>
      </w:r>
      <w:proofErr w:type="spellEnd"/>
      <w:r w:rsidRPr="00271199">
        <w:t xml:space="preserve"> apod.</w:t>
      </w:r>
    </w:p>
    <w:p w:rsidR="000D1B2B" w:rsidRPr="00271199" w:rsidRDefault="000D1B2B" w:rsidP="000D1B2B">
      <w:pPr>
        <w:pStyle w:val="Standardntext"/>
        <w:rPr>
          <w:b/>
          <w:i/>
        </w:rPr>
      </w:pPr>
      <w:r w:rsidRPr="00271199">
        <w:rPr>
          <w:b/>
          <w:i/>
        </w:rPr>
        <w:t>1.4 ICT infrastruktura a služby</w:t>
      </w:r>
    </w:p>
    <w:p w:rsidR="000D1B2B" w:rsidRPr="00271199" w:rsidRDefault="000D1B2B" w:rsidP="000D1B2B">
      <w:pPr>
        <w:pStyle w:val="Standardntext"/>
      </w:pPr>
      <w:r w:rsidRPr="00271199">
        <w:t xml:space="preserve">ICT infrastruktura v podobě výstavby nebo modernizace sítí elektronických komunikací pro vysokorychlostní přístup k internetu nebyla v programovém období 2007–2013 podporována. Specifický cíl 4.1 OP PIK zaměřený na modernizace, resp. rozšiřování stávající infrastruktury pro vysokorychlostní přístup k internetu využitím optických prvků, zřizování nových sítí sestávajících z části nebo plně z optických vedení pro vysokorychlostní přístup k internetu a vytváření pasivní infrastruktury pro vysokorychlostní přístup k internetu zejména v lokalitách předpokládaného budoucího stavebního rozvoje je reakcí na strategický cíl ČR i EU </w:t>
      </w:r>
      <w:r w:rsidRPr="00271199">
        <w:rPr>
          <w:sz w:val="23"/>
          <w:szCs w:val="23"/>
        </w:rPr>
        <w:t xml:space="preserve">umožnit do roku 2020 přenosové rychlosti 30 </w:t>
      </w:r>
      <w:proofErr w:type="spellStart"/>
      <w:r w:rsidRPr="00271199">
        <w:rPr>
          <w:sz w:val="23"/>
          <w:szCs w:val="23"/>
        </w:rPr>
        <w:t>Mbit</w:t>
      </w:r>
      <w:proofErr w:type="spellEnd"/>
      <w:r w:rsidRPr="00271199">
        <w:rPr>
          <w:sz w:val="23"/>
          <w:szCs w:val="23"/>
        </w:rPr>
        <w:t xml:space="preserve">/s pro všechny obyvatele a 100 </w:t>
      </w:r>
      <w:proofErr w:type="spellStart"/>
      <w:r w:rsidRPr="00271199">
        <w:rPr>
          <w:sz w:val="23"/>
          <w:szCs w:val="23"/>
        </w:rPr>
        <w:t>Mbit</w:t>
      </w:r>
      <w:proofErr w:type="spellEnd"/>
      <w:r w:rsidRPr="00271199">
        <w:rPr>
          <w:sz w:val="23"/>
          <w:szCs w:val="23"/>
        </w:rPr>
        <w:t>/s minimálně pro polovinu domácností.</w:t>
      </w:r>
      <w:r>
        <w:rPr>
          <w:sz w:val="23"/>
          <w:szCs w:val="23"/>
        </w:rPr>
        <w:t xml:space="preserve"> </w:t>
      </w:r>
    </w:p>
    <w:p w:rsidR="000D1B2B" w:rsidRPr="00271199" w:rsidRDefault="000D1B2B" w:rsidP="000D1B2B">
      <w:pPr>
        <w:pStyle w:val="Standardntext"/>
        <w:spacing w:after="240"/>
      </w:pPr>
      <w:r w:rsidRPr="00271199">
        <w:t xml:space="preserve">Specifický cíl 4.2 OP PIK navazuje na program podpory </w:t>
      </w:r>
      <w:r w:rsidRPr="00271199">
        <w:rPr>
          <w:i/>
        </w:rPr>
        <w:t>ICT a strategické služby</w:t>
      </w:r>
      <w:r w:rsidRPr="00271199">
        <w:t xml:space="preserve"> OPPI 2007-2013, </w:t>
      </w:r>
      <w:r w:rsidRPr="00271199">
        <w:rPr>
          <w:bCs/>
        </w:rPr>
        <w:t xml:space="preserve">ve kterém byla podporována jak tvorba ICT řešení, tak centra sdílených služeb. Byly realizovány projekty, které přinesly unikátní řešení a rovněž vytvořily vysoce kvalifikovaná pracovní místa. </w:t>
      </w:r>
      <w:r w:rsidRPr="00271199">
        <w:t xml:space="preserve">To přispívá ke zvyšování konkurenceschopnosti ČR v oblasti ICT služeb. </w:t>
      </w:r>
      <w:r w:rsidRPr="00271199">
        <w:rPr>
          <w:bCs/>
        </w:rPr>
        <w:t xml:space="preserve">V návaznosti na zkušenosti z realizace OPPI bude specifický cíl 4.2 OP PIK zaměřen na tvorbu ICT řešení a centra sdílených služeb s velkým důrazem na současné trendy, mezi které patří mimo jiné </w:t>
      </w:r>
      <w:proofErr w:type="spellStart"/>
      <w:r w:rsidRPr="00271199">
        <w:rPr>
          <w:bCs/>
        </w:rPr>
        <w:t>cloudová</w:t>
      </w:r>
      <w:proofErr w:type="spellEnd"/>
      <w:r w:rsidRPr="00271199">
        <w:rPr>
          <w:bCs/>
        </w:rPr>
        <w:t xml:space="preserve"> řešení. Tím bude rovněž stimulována poptávka po </w:t>
      </w:r>
      <w:proofErr w:type="spellStart"/>
      <w:r w:rsidRPr="00271199">
        <w:rPr>
          <w:bCs/>
        </w:rPr>
        <w:t>cloudových</w:t>
      </w:r>
      <w:proofErr w:type="spellEnd"/>
      <w:r w:rsidRPr="00271199">
        <w:rPr>
          <w:bCs/>
        </w:rPr>
        <w:t xml:space="preserve"> službách, jejichž využívání vede ke snižování nákladů koncových uživatelů.</w:t>
      </w:r>
      <w:r w:rsidRPr="00271199">
        <w:t xml:space="preserve"> V průběhu realizace programu podpory </w:t>
      </w:r>
      <w:r w:rsidRPr="00271199">
        <w:rPr>
          <w:i/>
        </w:rPr>
        <w:t>ICT a strategické služby</w:t>
      </w:r>
      <w:r w:rsidRPr="00271199">
        <w:t xml:space="preserve"> byl v čase možný pozorovat kvalitativní posun v předkládaných projektech. Žadatele se od počátečních „nesmělých“ pokusů se v průběhu několika výzev dopracovávali k projektům zaměřeným na vysoce sofistikovaná řešení náročná na kvalifikovanou pracovní sílu. Očekáváme tento trend i v programovacím období 2014 – 2020. </w:t>
      </w:r>
    </w:p>
    <w:p w:rsidR="000D1B2B" w:rsidRPr="00271199" w:rsidRDefault="000D1B2B" w:rsidP="000D1B2B">
      <w:pPr>
        <w:pStyle w:val="Standardntext"/>
        <w:rPr>
          <w:b/>
        </w:rPr>
      </w:pPr>
      <w:r w:rsidRPr="00271199">
        <w:rPr>
          <w:b/>
        </w:rPr>
        <w:t>2. Technická pomoc operačního programu</w:t>
      </w:r>
    </w:p>
    <w:p w:rsidR="000D1B2B" w:rsidRPr="00271199" w:rsidRDefault="000D1B2B" w:rsidP="000D1B2B">
      <w:pPr>
        <w:pStyle w:val="Standardntext"/>
      </w:pPr>
      <w:r w:rsidRPr="00271199">
        <w:t xml:space="preserve">Zkušenosti z implementace předchozích operačních programů v gesci MPO se v oblasti technické pomoci programu koncentrují do následujících hlavních oblastí: </w:t>
      </w:r>
    </w:p>
    <w:p w:rsidR="000D1B2B" w:rsidRPr="00271199" w:rsidRDefault="000D1B2B" w:rsidP="000D1B2B">
      <w:pPr>
        <w:pStyle w:val="Standardntext"/>
      </w:pPr>
      <w:r w:rsidRPr="00271199">
        <w:t xml:space="preserve">(i) Jednou z hlavních problematických zkušeností implementace strukturálních fondů v letech 2007 – 2013 je vyšší fluktuace zaměstnanců, kdy ze svých pozic odcházejí pracovníci, kteří již danou oblast znají a ovládají, a zájmem (nejenom) řídícího orgánu programu je takovéto pracovníky motivovat a </w:t>
      </w:r>
      <w:r w:rsidRPr="00271199">
        <w:rPr>
          <w:u w:val="single"/>
        </w:rPr>
        <w:t>profesní strukturu v implementačním systému stabilizovat</w:t>
      </w:r>
      <w:r w:rsidRPr="00271199">
        <w:t>. Pro zlepšení implementace OP PIK je tedy v rámci aktivit technické pomoci zásadní otázkou zajistit stálou zaměstnaneckou sestavu řídícího orgánu, s tím souvisí i potřeba proškolování pracovníků, a to jak interními semináři, tak školeními externími. Potřeba vzdělávání a proškolování zaměstnanců odůvodňují i časté legislativní změny, a to jak na úrovni národních právních předpisů, tak evropských. Pro řádné řízení programu je tedy nutné zajistit dostatečnou administrativní kapacitu řídícího orgánu a zprostředkujících subjektů, mj. v oblasti kontrol.</w:t>
      </w:r>
    </w:p>
    <w:p w:rsidR="000D1B2B" w:rsidRPr="00271199" w:rsidRDefault="000D1B2B" w:rsidP="000D1B2B">
      <w:pPr>
        <w:pStyle w:val="Standardntext"/>
      </w:pPr>
      <w:r w:rsidRPr="00271199">
        <w:t>(</w:t>
      </w:r>
      <w:proofErr w:type="spellStart"/>
      <w:r w:rsidRPr="00271199">
        <w:t>ii</w:t>
      </w:r>
      <w:proofErr w:type="spellEnd"/>
      <w:r w:rsidRPr="00271199">
        <w:t xml:space="preserve">) Velmi problematickým tématem, které je pro období 2014 – 2020 potřeba řešit, je </w:t>
      </w:r>
      <w:r w:rsidRPr="00271199">
        <w:rPr>
          <w:u w:val="single"/>
        </w:rPr>
        <w:t>oblast veřejných zakázek, a téma outsourcingu služeb</w:t>
      </w:r>
      <w:r w:rsidRPr="00271199">
        <w:t xml:space="preserve">. </w:t>
      </w:r>
      <w:proofErr w:type="spellStart"/>
      <w:r w:rsidRPr="00271199">
        <w:t>Outsourcovány</w:t>
      </w:r>
      <w:proofErr w:type="spellEnd"/>
      <w:r w:rsidRPr="00271199">
        <w:t xml:space="preserve"> nebudou služby, které je možno z dnešního pohledu označit za citlivé (např. externí spolupráce na výkonu kontrol, právní poradenství) a řídící orgán by si je měl ponechat v rámci své kompetence. V případě outsourcingu je ale potřeba zohlednit skutečnost, že řídící orgán nemá takovou administrativní a odbornou kapacitu, aby od </w:t>
      </w:r>
      <w:proofErr w:type="spellStart"/>
      <w:r w:rsidRPr="00271199">
        <w:t>outsourcování</w:t>
      </w:r>
      <w:proofErr w:type="spellEnd"/>
      <w:r w:rsidRPr="00271199">
        <w:t xml:space="preserve"> některých typů služeb mohl plně odstoupit. Zadávány budou pouze vysoce specializované zakázky v oblastech, které není schopen řídící </w:t>
      </w:r>
      <w:r w:rsidRPr="00271199">
        <w:lastRenderedPageBreak/>
        <w:t xml:space="preserve">orgán pokrýt vlastní administrativou, důležité je, že tyto služby nebudou </w:t>
      </w:r>
      <w:proofErr w:type="spellStart"/>
      <w:r w:rsidRPr="00271199">
        <w:t>nasmlouvávány</w:t>
      </w:r>
      <w:proofErr w:type="spellEnd"/>
      <w:r w:rsidRPr="00271199">
        <w:t xml:space="preserve"> závazně na celou dobu běhu programu. Tím bude ŘO moci reagovat na aktuální potřeby a to i tržní a nezaváže se k dlouhodobému (a často nákladnému) plnění. V oblasti publicity se bude outsourcing plánovat s ohledem na princip 3E a zakázka bude zadána dle finančních limitů v souladu se zákonem o veřejných zakázkách. Kontrolní činnost nebude </w:t>
      </w:r>
      <w:proofErr w:type="spellStart"/>
      <w:r w:rsidRPr="00271199">
        <w:t>outsourcována</w:t>
      </w:r>
      <w:proofErr w:type="spellEnd"/>
      <w:r w:rsidRPr="00271199">
        <w:t>. Kontroly bude provádět řídící orgán a bude podléhat auditům ze strany auditního orgánu.</w:t>
      </w:r>
    </w:p>
    <w:p w:rsidR="000D1B2B" w:rsidRPr="00271199" w:rsidRDefault="000D1B2B" w:rsidP="000D1B2B">
      <w:pPr>
        <w:pStyle w:val="Standardntext"/>
      </w:pPr>
      <w:r w:rsidRPr="00271199">
        <w:t>(</w:t>
      </w:r>
      <w:proofErr w:type="spellStart"/>
      <w:r w:rsidRPr="00271199">
        <w:t>iii</w:t>
      </w:r>
      <w:proofErr w:type="spellEnd"/>
      <w:r w:rsidRPr="00271199">
        <w:t xml:space="preserve">) </w:t>
      </w:r>
      <w:r w:rsidRPr="00271199">
        <w:rPr>
          <w:u w:val="single"/>
        </w:rPr>
        <w:t>Ke zlepšení informovanosti veřejnosti o fondech EU</w:t>
      </w:r>
      <w:r w:rsidRPr="00271199">
        <w:t xml:space="preserve"> je nutné zkvalitnit způsob medializace a cílení informačních a komunikačních kampaní, a to nejenom v době přípravy programu, nýbrž zejména po celou dobu realizace programovacího období. Zkušeností, ze které je potřeba se pro období 2014 -2020 poučit, je nerealizovat do budoucna příliš obecné a rozsáhlé komunikační kampaně (tyto budou aktivitami v centrálním OP Technická pomoc, OPTP), nýbrž tyto kampaně cílit přímo na potenciální žadatele a budoucí příjemce programu, a to prostřednictví přímých kontaktů na specializovaných seminářích, prostřednictvím specializovaných brožur, odborných článků, pomocí </w:t>
      </w:r>
      <w:proofErr w:type="spellStart"/>
      <w:r w:rsidRPr="00271199">
        <w:t>help</w:t>
      </w:r>
      <w:proofErr w:type="spellEnd"/>
      <w:r w:rsidRPr="00271199">
        <w:t xml:space="preserve"> linky a přehledných a uživatelsky příznivých webových stránek; a to prostřednictvím jak webových stránek OP PIK, tak webových stránek zprostředkujících subjektů a centrálních stránek strukturálních fondů v gesci MMR-NOK (ve vazbě na plnění publicity v rámci společné komunikační strategie). K publicitě programu patří rovněž informace o úspěšných projektech, informace o administraci projektů, úspěšnosti podaných žádostí. V omezené míře bude přistupováno k placené inzerci v tisku a médiích. Řídící orgán se spíše kloní k propagaci programu ve formě spolupráce s jednotlivými médii.</w:t>
      </w:r>
    </w:p>
    <w:p w:rsidR="000D1B2B" w:rsidRPr="00271199" w:rsidRDefault="000D1B2B" w:rsidP="000D1B2B">
      <w:pPr>
        <w:pStyle w:val="Standardntext"/>
      </w:pPr>
      <w:r w:rsidRPr="00271199">
        <w:t>(</w:t>
      </w:r>
      <w:proofErr w:type="spellStart"/>
      <w:r w:rsidRPr="00271199">
        <w:t>iv</w:t>
      </w:r>
      <w:proofErr w:type="spellEnd"/>
      <w:r w:rsidRPr="00271199">
        <w:t>) Veřejnost má mnohdy spíše negativní povědomí o čerpání fondů EU a dosažených výsledcích, neboť si často tuto problematiku spojuje s podvody a korupcí. Česká republika přijala „</w:t>
      </w:r>
      <w:r w:rsidRPr="00271199">
        <w:rPr>
          <w:u w:val="single"/>
        </w:rPr>
        <w:t>Strategii pro boj s podvody a korupcí v rámci čerpání fondů SSR v období 2014-2020</w:t>
      </w:r>
      <w:r w:rsidRPr="00271199">
        <w:t>“, kterou zpracoval MMR-NOK v roce 2013. Pro její naplnění byl připraven Akční plán, který specifikuje zapracování navržených opatření do jednotlivých metodických dokumentů, přičemž některá opatření a jejich zapracování jdou až na úroveň programů a jejich nastavení. Řídící orgán OP PIK se bude při boji s podvody a korupcí řídit výše uvedenou strategií, resp. Akčním plánem.</w:t>
      </w:r>
    </w:p>
    <w:p w:rsidR="000D1B2B" w:rsidRPr="00271199" w:rsidRDefault="000D1B2B" w:rsidP="000D1B2B">
      <w:pPr>
        <w:pStyle w:val="Standardntext"/>
      </w:pPr>
      <w:r w:rsidRPr="00271199">
        <w:t xml:space="preserve">(v) </w:t>
      </w:r>
      <w:r w:rsidRPr="00271199">
        <w:rPr>
          <w:u w:val="single"/>
        </w:rPr>
        <w:t>Opatření ke zvyšování absorpční kapacity programu a snižování administrativní zátěže</w:t>
      </w:r>
      <w:r w:rsidRPr="00271199">
        <w:t>:</w:t>
      </w:r>
      <w:r>
        <w:t xml:space="preserve"> </w:t>
      </w:r>
    </w:p>
    <w:p w:rsidR="000D1B2B" w:rsidRPr="00271199" w:rsidRDefault="000D1B2B" w:rsidP="000D1B2B">
      <w:pPr>
        <w:pStyle w:val="Standardntext"/>
      </w:pPr>
      <w:r w:rsidRPr="00271199">
        <w:rPr>
          <w:szCs w:val="22"/>
        </w:rPr>
        <w:t>Řídící orgán OPPI zpracoval v předešlém programovacím období několik evaluací, které se zaměřovaly na problematiku komunikace s žadateli a tím vyhodnocení absorpční kapacity programu. D</w:t>
      </w:r>
      <w:r w:rsidRPr="00271199" w:rsidDel="00BE1BD6">
        <w:rPr>
          <w:szCs w:val="22"/>
        </w:rPr>
        <w:t xml:space="preserve">etailnější informace </w:t>
      </w:r>
      <w:r w:rsidRPr="00271199">
        <w:rPr>
          <w:szCs w:val="22"/>
        </w:rPr>
        <w:t xml:space="preserve">byly uvádění v jednotlivých </w:t>
      </w:r>
      <w:r w:rsidRPr="00271199" w:rsidDel="00BE1BD6">
        <w:rPr>
          <w:szCs w:val="22"/>
        </w:rPr>
        <w:t>výročních zprávách</w:t>
      </w:r>
      <w:r w:rsidRPr="00271199">
        <w:rPr>
          <w:szCs w:val="22"/>
        </w:rPr>
        <w:t xml:space="preserve"> OPPI. Šlo zejména o „Hodnocení absorpční kapacity OPPI 2007 - 2013 ve vztahu k cílovým skupinám“, „Možnosti uplatnění PPP v OPPI 2007 - 2013“, „Střednědobé hodnocení Operačního programu Podnikání a inovace 2007 – 2013“ nebo „Vyhodnocení ekonomických efektů a nastavení podmínek výzev programů podpory OPPI“. Závěry a doporučení těchto studií byly použity zejména při vyjednávání o revizích OPPI. Ve vztahu k opatřením ke snižování administrativní zátěže podnikatelů byla zpracována studie „Vyhodnocení a optimalizace soustavy indikátorů OPPI 2007 - 2013“, jejíž závěry byly využity pro přípravu OP PIK. Další evaluační projekty se týkaly oblasti řízení a administrace programu. Šlo zejména o „Analýzu efektivnosti čerpání, kvality řízení a procesních postupů OPPI, včetně návrhu souboru opatření“. Výsledky a závěry analýzy byly využity pro optimalizaci administrativních procesů a postupů při implementaci OPPI a byly zapracovány do příslušných implementačních manuálů. Dále byla řešena oblast elektronické administrace projektů a to ve studii „Vyhodnocení internetové aplikace </w:t>
      </w:r>
      <w:proofErr w:type="spellStart"/>
      <w:r w:rsidRPr="00271199">
        <w:rPr>
          <w:szCs w:val="22"/>
        </w:rPr>
        <w:t>eAccount</w:t>
      </w:r>
      <w:proofErr w:type="spellEnd"/>
      <w:r w:rsidRPr="00271199">
        <w:rPr>
          <w:szCs w:val="22"/>
        </w:rPr>
        <w:t xml:space="preserve"> pro komunikaci se žadateli a příjemci OPPI 2007 - 2013“, jejíž výsledky byly využity pro zefektivnění systému elektronického podávání žádostí prostřednictvím internetové aplikace </w:t>
      </w:r>
      <w:proofErr w:type="spellStart"/>
      <w:r w:rsidRPr="00271199">
        <w:rPr>
          <w:szCs w:val="22"/>
        </w:rPr>
        <w:t>eAccount</w:t>
      </w:r>
      <w:proofErr w:type="spellEnd"/>
      <w:r w:rsidRPr="00271199">
        <w:rPr>
          <w:szCs w:val="22"/>
        </w:rPr>
        <w:t xml:space="preserve"> s cílem jejího celkového zpřehlednění a snížení administrativních úkonů jak na straně Řídícího orgánu, tak především na straně </w:t>
      </w:r>
      <w:r w:rsidRPr="00271199">
        <w:rPr>
          <w:szCs w:val="22"/>
        </w:rPr>
        <w:lastRenderedPageBreak/>
        <w:t>žadatele – předkladatele projektu. V neposlední řadě je potřeba zmínit rámcovou „Analýzu věcných priorit a potřeb jednotlivých oblastí v působnosti MPO pro zaměření podpory ze strukturálních fondů EU v příštím programovacím období“, ze které se vycházelo při koncipování návrhu OP PIK 2014 - 2020.</w:t>
      </w:r>
    </w:p>
    <w:p w:rsidR="000D1B2B" w:rsidRPr="00271199" w:rsidRDefault="000D1B2B" w:rsidP="000D1B2B">
      <w:pPr>
        <w:pStyle w:val="Standardntext"/>
      </w:pPr>
      <w:r w:rsidRPr="00271199">
        <w:t>(</w:t>
      </w:r>
      <w:proofErr w:type="spellStart"/>
      <w:r w:rsidRPr="00271199">
        <w:t>vi</w:t>
      </w:r>
      <w:proofErr w:type="spellEnd"/>
      <w:r w:rsidRPr="00271199">
        <w:t xml:space="preserve">) </w:t>
      </w:r>
      <w:r w:rsidRPr="00271199">
        <w:rPr>
          <w:u w:val="single"/>
        </w:rPr>
        <w:t>Opatření realizovaná v rámci technické pomoci programu</w:t>
      </w:r>
      <w:r w:rsidRPr="00271199">
        <w:t xml:space="preserve">: </w:t>
      </w:r>
    </w:p>
    <w:p w:rsidR="000D1B2B" w:rsidRPr="00271199" w:rsidRDefault="000D1B2B" w:rsidP="000D1B2B">
      <w:pPr>
        <w:pStyle w:val="Standardntext"/>
      </w:pPr>
      <w:r w:rsidRPr="00271199">
        <w:t xml:space="preserve">V rámci výsledků hodnocení technické pomoci OPPI (výstupy z analýzy „Hodnocení řídících procesů v oblasti TP OPPI a návrhy na vylepšení“) je nutné zkonstatovat výrazně vysokou administrativní náročnost projektů, což souvisí s vysokým číslem jednotlivých žádostí. Zároveň jsou ale tyto žádosti co do svého finančního objemu nižšího rázu. Průměrná výše dotace EU patří v celém souboru operačních programů k nejnižším. </w:t>
      </w:r>
    </w:p>
    <w:p w:rsidR="000D1B2B" w:rsidRPr="00271199" w:rsidRDefault="000D1B2B" w:rsidP="000D1B2B">
      <w:pPr>
        <w:pStyle w:val="Standardntext"/>
      </w:pPr>
      <w:r w:rsidRPr="00271199">
        <w:t xml:space="preserve">Již za administrace technické pomoci OPPI tedy došlo k určitým optimalizačním krokům (agregace záměrů, a tím snížení jejich počtů, vytvoření kontrolního listu, který ve většině případů nahrazuje II. oponentní řízení), které vedly ke snížení administrativní zátěže, zjednodušení procesu a snížení počtů jednotlivých záměrů. V nastaveném trendu je vhodné pokračovat i v rámci OP PIK, i nadále se tedy bude snižovat počet záměrů, kdy, kde to bude administrativně možné a logické, bude pro jednu oblast zvolen jeden zaštiťující záměr na celou dobu realizace operačního programu, kdy dílčí plnění lze tvořit jako etapy. Výše uvedený postup povede i k velké transparentnosti čerpání prostředků v rámci OP PIK, neboť budou realizovány komplexní projektové záměry sestávající z dílčích aktivit (akcí). Takto definované projektové záměry mají jasně definované zdroje (čas, finanční prostředky) a cíle, které jsou předmětem schvalování. Zavedení vyšší míry komplexnosti schvalování projektových záměrů vede rovněž k vyšší provázanosti mezi čerpání prostředků a plněním cílů technické pomoci. </w:t>
      </w:r>
    </w:p>
    <w:p w:rsidR="000D1B2B" w:rsidRPr="00271199" w:rsidRDefault="000D1B2B" w:rsidP="000D1B2B">
      <w:pPr>
        <w:pStyle w:val="Standardntext"/>
      </w:pPr>
      <w:r w:rsidRPr="00271199">
        <w:t>Každý projektový záměr financovaný z technické pomoci OP PIK</w:t>
      </w:r>
      <w:r>
        <w:t xml:space="preserve"> </w:t>
      </w:r>
      <w:r w:rsidRPr="00271199">
        <w:t>bude procházet přesně definovaným procesem schvalování a bude podroben několikastupňové kontrole v průběhu jeho realizace. Pracovní postupy v rámci technické pomoci OP PIK neobsahují formální a duplicitní kroky a jsou nastaveny tak, aby umožnily efektivní výkon a kontrolu prováděných činností. Je rovněž zajištěno provádění koordinace s relevantními odbory MPO mimo strukturu Řídícího orgánu OP PIK (např. odbor právní, odbor komunikace, personální apod.)</w:t>
      </w:r>
    </w:p>
    <w:p w:rsidR="000D1B2B" w:rsidRPr="00304A4E" w:rsidRDefault="000D1B2B" w:rsidP="000D1B2B">
      <w:pPr>
        <w:pStyle w:val="Standardntext"/>
        <w:rPr>
          <w:lang w:val="cs-CZ"/>
        </w:rPr>
      </w:pPr>
      <w:r w:rsidRPr="00271199">
        <w:t>Na úrovni programového řízení technické pomoci OP PIK</w:t>
      </w:r>
      <w:r>
        <w:t xml:space="preserve"> </w:t>
      </w:r>
      <w:r w:rsidRPr="00271199">
        <w:t>dojde k posílení souborů cílů a metrik pro vyhodnocování, a to zejména prostřednictvím výrazně posílené škály indikátorů. Dále je v rámci technické pomoci OP PIK na základě vyhodnocení technické pomoci OPPI</w:t>
      </w:r>
      <w:r>
        <w:t xml:space="preserve"> </w:t>
      </w:r>
      <w:r w:rsidRPr="00271199">
        <w:t>posílena koordinace aktivit technické pomoci napříč implementační strukturou, včetně posuzování projektových záměrů z hlediska vzájemné synergie a přínosů pro naplňování cílů prioritní osy technická pomoc OP PIK. Výše uvedené se týká i spolupráce s odbornými útvary MPO mimo implementační strukturu, a to zejména v oblasti publicity (odbor komunikace a marketingu MPO).</w:t>
      </w:r>
    </w:p>
    <w:p w:rsidR="00997B09" w:rsidRDefault="00997B09">
      <w:pPr>
        <w:jc w:val="both"/>
        <w:rPr>
          <w:sz w:val="24"/>
        </w:rPr>
      </w:pPr>
    </w:p>
    <w:sectPr w:rsidR="00997B09">
      <w:foot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1B2B" w:rsidRDefault="000D1B2B" w:rsidP="000D1B2B">
      <w:r>
        <w:separator/>
      </w:r>
    </w:p>
  </w:endnote>
  <w:endnote w:type="continuationSeparator" w:id="0">
    <w:p w:rsidR="000D1B2B" w:rsidRDefault="000D1B2B" w:rsidP="000D1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B2B" w:rsidRDefault="000D1B2B" w:rsidP="000D1B2B">
    <w:pPr>
      <w:pStyle w:val="Zpat"/>
      <w:tabs>
        <w:tab w:val="clear" w:pos="9072"/>
      </w:tabs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0D1B2B" w:rsidRDefault="000D1B2B" w:rsidP="000D1B2B">
    <w:pPr>
      <w:pStyle w:val="Zpat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1B2B" w:rsidRDefault="000D1B2B" w:rsidP="000D1B2B">
      <w:r>
        <w:separator/>
      </w:r>
    </w:p>
  </w:footnote>
  <w:footnote w:type="continuationSeparator" w:id="0">
    <w:p w:rsidR="000D1B2B" w:rsidRDefault="000D1B2B" w:rsidP="000D1B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2223B1"/>
    <w:multiLevelType w:val="multilevel"/>
    <w:tmpl w:val="DA023246"/>
    <w:lvl w:ilvl="0">
      <w:start w:val="1"/>
      <w:numFmt w:val="decimal"/>
      <w:pStyle w:val="Nadpis1"/>
      <w:lvlText w:val="ODDÍL %1"/>
      <w:lvlJc w:val="left"/>
      <w:pPr>
        <w:ind w:left="716" w:hanging="432"/>
      </w:pPr>
      <w:rPr>
        <w:rFonts w:hint="default"/>
        <w:spacing w:val="20"/>
        <w:sz w:val="28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A.2.%4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>
    <w:nsid w:val="4C89635E"/>
    <w:multiLevelType w:val="hybridMultilevel"/>
    <w:tmpl w:val="9D42640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B5785F"/>
    <w:multiLevelType w:val="hybridMultilevel"/>
    <w:tmpl w:val="4330D46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B2B"/>
    <w:rsid w:val="000D1B2B"/>
    <w:rsid w:val="00997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aliases w:val="h1,H1,Nadpis 1-Nadpis smlouvy,Základní kapitola,V_Head1,Záhlaví 1,0Überschrift 1,1Überschrift 1,2Überschrift 1,3Überschrift 1,4Überschrift 1,5Überschrift 1,6Überschrift 1,7Überschrift 1,8Überschrift 1,9Überschrift 1,10Überschrift 1,Clanek1"/>
    <w:basedOn w:val="Normln"/>
    <w:next w:val="Normln"/>
    <w:link w:val="Nadpis1Char"/>
    <w:uiPriority w:val="9"/>
    <w:qFormat/>
    <w:rsid w:val="000D1B2B"/>
    <w:pPr>
      <w:keepNext/>
      <w:pageBreakBefore/>
      <w:numPr>
        <w:numId w:val="1"/>
      </w:numPr>
      <w:overflowPunct/>
      <w:autoSpaceDE/>
      <w:autoSpaceDN/>
      <w:adjustRightInd/>
      <w:spacing w:before="120" w:after="240" w:line="276" w:lineRule="auto"/>
      <w:ind w:left="432"/>
      <w:jc w:val="both"/>
      <w:textAlignment w:val="auto"/>
      <w:outlineLvl w:val="0"/>
    </w:pPr>
    <w:rPr>
      <w:rFonts w:ascii="Calibri" w:hAnsi="Calibri"/>
      <w:b/>
      <w:bCs/>
      <w:smallCaps/>
      <w:kern w:val="32"/>
      <w:sz w:val="28"/>
      <w:szCs w:val="32"/>
      <w:lang w:val="x-none" w:eastAsia="x-none"/>
    </w:rPr>
  </w:style>
  <w:style w:type="paragraph" w:styleId="Nadpis2">
    <w:name w:val="heading 2"/>
    <w:basedOn w:val="Normln"/>
    <w:next w:val="Normln"/>
    <w:link w:val="Nadpis2Char"/>
    <w:qFormat/>
    <w:rsid w:val="000D1B2B"/>
    <w:pPr>
      <w:keepNext/>
      <w:numPr>
        <w:ilvl w:val="1"/>
        <w:numId w:val="1"/>
      </w:numPr>
      <w:overflowPunct/>
      <w:autoSpaceDE/>
      <w:autoSpaceDN/>
      <w:adjustRightInd/>
      <w:spacing w:before="240" w:after="240" w:line="276" w:lineRule="auto"/>
      <w:jc w:val="both"/>
      <w:textAlignment w:val="auto"/>
      <w:outlineLvl w:val="1"/>
    </w:pPr>
    <w:rPr>
      <w:rFonts w:ascii="Calibri" w:hAnsi="Calibri"/>
      <w:b/>
      <w:bCs/>
      <w:iCs/>
      <w:sz w:val="26"/>
      <w:szCs w:val="28"/>
      <w:lang w:val="x-none" w:eastAsia="x-none"/>
    </w:rPr>
  </w:style>
  <w:style w:type="paragraph" w:styleId="Nadpis3">
    <w:name w:val="heading 3"/>
    <w:basedOn w:val="Normln"/>
    <w:next w:val="Normln"/>
    <w:link w:val="Nadpis3Char"/>
    <w:uiPriority w:val="9"/>
    <w:qFormat/>
    <w:rsid w:val="000D1B2B"/>
    <w:pPr>
      <w:keepNext/>
      <w:keepLines/>
      <w:numPr>
        <w:ilvl w:val="2"/>
        <w:numId w:val="1"/>
      </w:numPr>
      <w:overflowPunct/>
      <w:autoSpaceDE/>
      <w:autoSpaceDN/>
      <w:adjustRightInd/>
      <w:spacing w:before="240" w:after="240" w:line="276" w:lineRule="auto"/>
      <w:jc w:val="both"/>
      <w:textAlignment w:val="auto"/>
      <w:outlineLvl w:val="2"/>
    </w:pPr>
    <w:rPr>
      <w:rFonts w:ascii="Calibri" w:hAnsi="Calibri"/>
      <w:b/>
      <w:bCs/>
      <w:color w:val="365F91"/>
      <w:sz w:val="24"/>
      <w:lang w:val="x-none" w:eastAsia="x-none"/>
    </w:rPr>
  </w:style>
  <w:style w:type="paragraph" w:styleId="Nadpis4">
    <w:name w:val="heading 4"/>
    <w:basedOn w:val="Normln"/>
    <w:next w:val="Normln"/>
    <w:link w:val="Nadpis4Char"/>
    <w:uiPriority w:val="9"/>
    <w:qFormat/>
    <w:rsid w:val="000D1B2B"/>
    <w:pPr>
      <w:keepNext/>
      <w:keepLines/>
      <w:numPr>
        <w:ilvl w:val="3"/>
        <w:numId w:val="1"/>
      </w:numPr>
      <w:overflowPunct/>
      <w:autoSpaceDE/>
      <w:autoSpaceDN/>
      <w:adjustRightInd/>
      <w:spacing w:before="360" w:after="120" w:line="276" w:lineRule="auto"/>
      <w:jc w:val="both"/>
      <w:textAlignment w:val="auto"/>
      <w:outlineLvl w:val="3"/>
    </w:pPr>
    <w:rPr>
      <w:rFonts w:ascii="Calibri" w:hAnsi="Calibri"/>
      <w:b/>
      <w:bCs/>
      <w:i/>
      <w:iCs/>
      <w:sz w:val="24"/>
      <w:lang w:val="x-none" w:eastAsia="x-none"/>
    </w:rPr>
  </w:style>
  <w:style w:type="paragraph" w:styleId="Nadpis5">
    <w:name w:val="heading 5"/>
    <w:basedOn w:val="Normln"/>
    <w:next w:val="Normln"/>
    <w:link w:val="Nadpis5Char"/>
    <w:uiPriority w:val="9"/>
    <w:qFormat/>
    <w:rsid w:val="000D1B2B"/>
    <w:pPr>
      <w:keepNext/>
      <w:keepLines/>
      <w:numPr>
        <w:ilvl w:val="4"/>
        <w:numId w:val="1"/>
      </w:numPr>
      <w:overflowPunct/>
      <w:autoSpaceDE/>
      <w:autoSpaceDN/>
      <w:adjustRightInd/>
      <w:spacing w:before="200" w:after="120" w:line="276" w:lineRule="auto"/>
      <w:jc w:val="both"/>
      <w:textAlignment w:val="auto"/>
      <w:outlineLvl w:val="4"/>
    </w:pPr>
    <w:rPr>
      <w:rFonts w:ascii="Calibri" w:hAnsi="Calibri"/>
      <w:color w:val="365F91"/>
      <w:sz w:val="24"/>
      <w:lang w:val="x-none" w:eastAsia="x-none"/>
    </w:rPr>
  </w:style>
  <w:style w:type="paragraph" w:styleId="Nadpis6">
    <w:name w:val="heading 6"/>
    <w:basedOn w:val="Normln"/>
    <w:next w:val="Normln"/>
    <w:link w:val="Nadpis6Char"/>
    <w:uiPriority w:val="9"/>
    <w:qFormat/>
    <w:rsid w:val="000D1B2B"/>
    <w:pPr>
      <w:keepNext/>
      <w:keepLines/>
      <w:numPr>
        <w:ilvl w:val="5"/>
        <w:numId w:val="1"/>
      </w:numPr>
      <w:overflowPunct/>
      <w:autoSpaceDE/>
      <w:autoSpaceDN/>
      <w:adjustRightInd/>
      <w:spacing w:before="200" w:line="276" w:lineRule="auto"/>
      <w:jc w:val="both"/>
      <w:textAlignment w:val="auto"/>
      <w:outlineLvl w:val="5"/>
    </w:pPr>
    <w:rPr>
      <w:rFonts w:ascii="Cambria" w:hAnsi="Cambria"/>
      <w:i/>
      <w:iCs/>
      <w:color w:val="243F60"/>
      <w:sz w:val="24"/>
      <w:lang w:val="x-none" w:eastAsia="x-none"/>
    </w:rPr>
  </w:style>
  <w:style w:type="paragraph" w:styleId="Nadpis7">
    <w:name w:val="heading 7"/>
    <w:basedOn w:val="Normln"/>
    <w:next w:val="Normln"/>
    <w:link w:val="Nadpis7Char"/>
    <w:uiPriority w:val="9"/>
    <w:qFormat/>
    <w:rsid w:val="000D1B2B"/>
    <w:pPr>
      <w:keepNext/>
      <w:keepLines/>
      <w:numPr>
        <w:ilvl w:val="6"/>
        <w:numId w:val="1"/>
      </w:numPr>
      <w:overflowPunct/>
      <w:autoSpaceDE/>
      <w:autoSpaceDN/>
      <w:adjustRightInd/>
      <w:spacing w:before="200" w:line="276" w:lineRule="auto"/>
      <w:jc w:val="both"/>
      <w:textAlignment w:val="auto"/>
      <w:outlineLvl w:val="6"/>
    </w:pPr>
    <w:rPr>
      <w:rFonts w:ascii="Cambria" w:hAnsi="Cambria"/>
      <w:i/>
      <w:iCs/>
      <w:color w:val="404040"/>
      <w:sz w:val="24"/>
      <w:lang w:val="x-none" w:eastAsia="x-none"/>
    </w:rPr>
  </w:style>
  <w:style w:type="paragraph" w:styleId="Nadpis8">
    <w:name w:val="heading 8"/>
    <w:basedOn w:val="Normln"/>
    <w:next w:val="Normln"/>
    <w:link w:val="Nadpis8Char"/>
    <w:uiPriority w:val="9"/>
    <w:qFormat/>
    <w:rsid w:val="000D1B2B"/>
    <w:pPr>
      <w:keepNext/>
      <w:keepLines/>
      <w:numPr>
        <w:ilvl w:val="7"/>
        <w:numId w:val="1"/>
      </w:numPr>
      <w:overflowPunct/>
      <w:autoSpaceDE/>
      <w:autoSpaceDN/>
      <w:adjustRightInd/>
      <w:spacing w:before="200" w:line="276" w:lineRule="auto"/>
      <w:jc w:val="both"/>
      <w:textAlignment w:val="auto"/>
      <w:outlineLvl w:val="7"/>
    </w:pPr>
    <w:rPr>
      <w:rFonts w:ascii="Cambria" w:hAnsi="Cambria"/>
      <w:color w:val="404040"/>
      <w:lang w:val="x-none" w:eastAsia="x-none"/>
    </w:rPr>
  </w:style>
  <w:style w:type="paragraph" w:styleId="Nadpis9">
    <w:name w:val="heading 9"/>
    <w:basedOn w:val="Normln"/>
    <w:next w:val="Normln"/>
    <w:link w:val="Nadpis9Char"/>
    <w:uiPriority w:val="9"/>
    <w:qFormat/>
    <w:rsid w:val="000D1B2B"/>
    <w:pPr>
      <w:keepNext/>
      <w:keepLines/>
      <w:numPr>
        <w:ilvl w:val="8"/>
        <w:numId w:val="1"/>
      </w:numPr>
      <w:overflowPunct/>
      <w:autoSpaceDE/>
      <w:autoSpaceDN/>
      <w:adjustRightInd/>
      <w:spacing w:before="200" w:line="276" w:lineRule="auto"/>
      <w:jc w:val="both"/>
      <w:textAlignment w:val="auto"/>
      <w:outlineLvl w:val="8"/>
    </w:pPr>
    <w:rPr>
      <w:rFonts w:ascii="Cambria" w:hAnsi="Cambria"/>
      <w:i/>
      <w:iCs/>
      <w:color w:val="40404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D1B2B"/>
    <w:rPr>
      <w:rFonts w:ascii="Calibri" w:hAnsi="Calibri"/>
      <w:b/>
      <w:bCs/>
      <w:smallCaps/>
      <w:kern w:val="32"/>
      <w:sz w:val="28"/>
      <w:szCs w:val="32"/>
      <w:lang w:val="x-none" w:eastAsia="x-none"/>
    </w:rPr>
  </w:style>
  <w:style w:type="character" w:customStyle="1" w:styleId="Nadpis2Char">
    <w:name w:val="Nadpis 2 Char"/>
    <w:basedOn w:val="Standardnpsmoodstavce"/>
    <w:link w:val="Nadpis2"/>
    <w:rsid w:val="000D1B2B"/>
    <w:rPr>
      <w:rFonts w:ascii="Calibri" w:hAnsi="Calibri"/>
      <w:b/>
      <w:bCs/>
      <w:iCs/>
      <w:sz w:val="26"/>
      <w:szCs w:val="28"/>
      <w:lang w:val="x-none" w:eastAsia="x-none"/>
    </w:rPr>
  </w:style>
  <w:style w:type="character" w:customStyle="1" w:styleId="Nadpis3Char">
    <w:name w:val="Nadpis 3 Char"/>
    <w:basedOn w:val="Standardnpsmoodstavce"/>
    <w:link w:val="Nadpis3"/>
    <w:uiPriority w:val="9"/>
    <w:rsid w:val="000D1B2B"/>
    <w:rPr>
      <w:rFonts w:ascii="Calibri" w:hAnsi="Calibri"/>
      <w:b/>
      <w:bCs/>
      <w:color w:val="365F91"/>
      <w:sz w:val="24"/>
      <w:lang w:val="x-none" w:eastAsia="x-none"/>
    </w:rPr>
  </w:style>
  <w:style w:type="character" w:customStyle="1" w:styleId="Nadpis4Char">
    <w:name w:val="Nadpis 4 Char"/>
    <w:basedOn w:val="Standardnpsmoodstavce"/>
    <w:link w:val="Nadpis4"/>
    <w:uiPriority w:val="9"/>
    <w:rsid w:val="000D1B2B"/>
    <w:rPr>
      <w:rFonts w:ascii="Calibri" w:hAnsi="Calibri"/>
      <w:b/>
      <w:bCs/>
      <w:i/>
      <w:iCs/>
      <w:sz w:val="24"/>
      <w:lang w:val="x-none" w:eastAsia="x-none"/>
    </w:rPr>
  </w:style>
  <w:style w:type="character" w:customStyle="1" w:styleId="Nadpis5Char">
    <w:name w:val="Nadpis 5 Char"/>
    <w:basedOn w:val="Standardnpsmoodstavce"/>
    <w:link w:val="Nadpis5"/>
    <w:uiPriority w:val="9"/>
    <w:rsid w:val="000D1B2B"/>
    <w:rPr>
      <w:rFonts w:ascii="Calibri" w:hAnsi="Calibri"/>
      <w:color w:val="365F91"/>
      <w:sz w:val="24"/>
      <w:lang w:val="x-none" w:eastAsia="x-none"/>
    </w:rPr>
  </w:style>
  <w:style w:type="character" w:customStyle="1" w:styleId="Nadpis6Char">
    <w:name w:val="Nadpis 6 Char"/>
    <w:basedOn w:val="Standardnpsmoodstavce"/>
    <w:link w:val="Nadpis6"/>
    <w:uiPriority w:val="9"/>
    <w:rsid w:val="000D1B2B"/>
    <w:rPr>
      <w:rFonts w:ascii="Cambria" w:hAnsi="Cambria"/>
      <w:i/>
      <w:iCs/>
      <w:color w:val="243F60"/>
      <w:sz w:val="24"/>
      <w:lang w:val="x-none" w:eastAsia="x-none"/>
    </w:rPr>
  </w:style>
  <w:style w:type="character" w:customStyle="1" w:styleId="Nadpis7Char">
    <w:name w:val="Nadpis 7 Char"/>
    <w:basedOn w:val="Standardnpsmoodstavce"/>
    <w:link w:val="Nadpis7"/>
    <w:uiPriority w:val="9"/>
    <w:rsid w:val="000D1B2B"/>
    <w:rPr>
      <w:rFonts w:ascii="Cambria" w:hAnsi="Cambria"/>
      <w:i/>
      <w:iCs/>
      <w:color w:val="404040"/>
      <w:sz w:val="24"/>
      <w:lang w:val="x-none" w:eastAsia="x-none"/>
    </w:rPr>
  </w:style>
  <w:style w:type="character" w:customStyle="1" w:styleId="Nadpis8Char">
    <w:name w:val="Nadpis 8 Char"/>
    <w:basedOn w:val="Standardnpsmoodstavce"/>
    <w:link w:val="Nadpis8"/>
    <w:uiPriority w:val="9"/>
    <w:rsid w:val="000D1B2B"/>
    <w:rPr>
      <w:rFonts w:ascii="Cambria" w:hAnsi="Cambria"/>
      <w:color w:val="404040"/>
      <w:lang w:val="x-none" w:eastAsia="x-none"/>
    </w:rPr>
  </w:style>
  <w:style w:type="character" w:customStyle="1" w:styleId="Nadpis9Char">
    <w:name w:val="Nadpis 9 Char"/>
    <w:basedOn w:val="Standardnpsmoodstavce"/>
    <w:link w:val="Nadpis9"/>
    <w:uiPriority w:val="9"/>
    <w:rsid w:val="000D1B2B"/>
    <w:rPr>
      <w:rFonts w:ascii="Cambria" w:hAnsi="Cambria"/>
      <w:i/>
      <w:iCs/>
      <w:color w:val="404040"/>
      <w:lang w:val="x-none" w:eastAsia="x-none"/>
    </w:rPr>
  </w:style>
  <w:style w:type="paragraph" w:customStyle="1" w:styleId="Standardntext">
    <w:name w:val="Standardní text"/>
    <w:basedOn w:val="Normln"/>
    <w:link w:val="StandardntextChar"/>
    <w:qFormat/>
    <w:rsid w:val="000D1B2B"/>
    <w:pPr>
      <w:spacing w:after="120"/>
      <w:jc w:val="both"/>
    </w:pPr>
    <w:rPr>
      <w:sz w:val="24"/>
      <w:szCs w:val="24"/>
      <w:lang w:val="x-none" w:eastAsia="x-none"/>
    </w:rPr>
  </w:style>
  <w:style w:type="character" w:customStyle="1" w:styleId="StandardntextChar">
    <w:name w:val="Standardní text Char"/>
    <w:link w:val="Standardntext"/>
    <w:rsid w:val="000D1B2B"/>
    <w:rPr>
      <w:sz w:val="24"/>
      <w:szCs w:val="24"/>
      <w:lang w:val="x-none" w:eastAsia="x-none"/>
    </w:rPr>
  </w:style>
  <w:style w:type="paragraph" w:customStyle="1" w:styleId="ZZNormln">
    <w:name w:val="ZZ Normální"/>
    <w:basedOn w:val="Normln"/>
    <w:rsid w:val="000D1B2B"/>
    <w:pPr>
      <w:spacing w:after="120"/>
      <w:jc w:val="both"/>
    </w:pPr>
    <w:rPr>
      <w:rFonts w:ascii="Arial" w:hAnsi="Arial" w:cs="Arial"/>
      <w:sz w:val="24"/>
    </w:rPr>
  </w:style>
  <w:style w:type="paragraph" w:styleId="Zhlav">
    <w:name w:val="header"/>
    <w:basedOn w:val="Normln"/>
    <w:link w:val="ZhlavChar"/>
    <w:uiPriority w:val="99"/>
    <w:unhideWhenUsed/>
    <w:rsid w:val="000D1B2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D1B2B"/>
  </w:style>
  <w:style w:type="paragraph" w:styleId="Zpat">
    <w:name w:val="footer"/>
    <w:basedOn w:val="Normln"/>
    <w:link w:val="ZpatChar"/>
    <w:uiPriority w:val="99"/>
    <w:unhideWhenUsed/>
    <w:rsid w:val="000D1B2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D1B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aliases w:val="h1,H1,Nadpis 1-Nadpis smlouvy,Základní kapitola,V_Head1,Záhlaví 1,0Überschrift 1,1Überschrift 1,2Überschrift 1,3Überschrift 1,4Überschrift 1,5Überschrift 1,6Überschrift 1,7Überschrift 1,8Überschrift 1,9Überschrift 1,10Überschrift 1,Clanek1"/>
    <w:basedOn w:val="Normln"/>
    <w:next w:val="Normln"/>
    <w:link w:val="Nadpis1Char"/>
    <w:uiPriority w:val="9"/>
    <w:qFormat/>
    <w:rsid w:val="000D1B2B"/>
    <w:pPr>
      <w:keepNext/>
      <w:pageBreakBefore/>
      <w:numPr>
        <w:numId w:val="1"/>
      </w:numPr>
      <w:overflowPunct/>
      <w:autoSpaceDE/>
      <w:autoSpaceDN/>
      <w:adjustRightInd/>
      <w:spacing w:before="120" w:after="240" w:line="276" w:lineRule="auto"/>
      <w:ind w:left="432"/>
      <w:jc w:val="both"/>
      <w:textAlignment w:val="auto"/>
      <w:outlineLvl w:val="0"/>
    </w:pPr>
    <w:rPr>
      <w:rFonts w:ascii="Calibri" w:hAnsi="Calibri"/>
      <w:b/>
      <w:bCs/>
      <w:smallCaps/>
      <w:kern w:val="32"/>
      <w:sz w:val="28"/>
      <w:szCs w:val="32"/>
      <w:lang w:val="x-none" w:eastAsia="x-none"/>
    </w:rPr>
  </w:style>
  <w:style w:type="paragraph" w:styleId="Nadpis2">
    <w:name w:val="heading 2"/>
    <w:basedOn w:val="Normln"/>
    <w:next w:val="Normln"/>
    <w:link w:val="Nadpis2Char"/>
    <w:qFormat/>
    <w:rsid w:val="000D1B2B"/>
    <w:pPr>
      <w:keepNext/>
      <w:numPr>
        <w:ilvl w:val="1"/>
        <w:numId w:val="1"/>
      </w:numPr>
      <w:overflowPunct/>
      <w:autoSpaceDE/>
      <w:autoSpaceDN/>
      <w:adjustRightInd/>
      <w:spacing w:before="240" w:after="240" w:line="276" w:lineRule="auto"/>
      <w:jc w:val="both"/>
      <w:textAlignment w:val="auto"/>
      <w:outlineLvl w:val="1"/>
    </w:pPr>
    <w:rPr>
      <w:rFonts w:ascii="Calibri" w:hAnsi="Calibri"/>
      <w:b/>
      <w:bCs/>
      <w:iCs/>
      <w:sz w:val="26"/>
      <w:szCs w:val="28"/>
      <w:lang w:val="x-none" w:eastAsia="x-none"/>
    </w:rPr>
  </w:style>
  <w:style w:type="paragraph" w:styleId="Nadpis3">
    <w:name w:val="heading 3"/>
    <w:basedOn w:val="Normln"/>
    <w:next w:val="Normln"/>
    <w:link w:val="Nadpis3Char"/>
    <w:uiPriority w:val="9"/>
    <w:qFormat/>
    <w:rsid w:val="000D1B2B"/>
    <w:pPr>
      <w:keepNext/>
      <w:keepLines/>
      <w:numPr>
        <w:ilvl w:val="2"/>
        <w:numId w:val="1"/>
      </w:numPr>
      <w:overflowPunct/>
      <w:autoSpaceDE/>
      <w:autoSpaceDN/>
      <w:adjustRightInd/>
      <w:spacing w:before="240" w:after="240" w:line="276" w:lineRule="auto"/>
      <w:jc w:val="both"/>
      <w:textAlignment w:val="auto"/>
      <w:outlineLvl w:val="2"/>
    </w:pPr>
    <w:rPr>
      <w:rFonts w:ascii="Calibri" w:hAnsi="Calibri"/>
      <w:b/>
      <w:bCs/>
      <w:color w:val="365F91"/>
      <w:sz w:val="24"/>
      <w:lang w:val="x-none" w:eastAsia="x-none"/>
    </w:rPr>
  </w:style>
  <w:style w:type="paragraph" w:styleId="Nadpis4">
    <w:name w:val="heading 4"/>
    <w:basedOn w:val="Normln"/>
    <w:next w:val="Normln"/>
    <w:link w:val="Nadpis4Char"/>
    <w:uiPriority w:val="9"/>
    <w:qFormat/>
    <w:rsid w:val="000D1B2B"/>
    <w:pPr>
      <w:keepNext/>
      <w:keepLines/>
      <w:numPr>
        <w:ilvl w:val="3"/>
        <w:numId w:val="1"/>
      </w:numPr>
      <w:overflowPunct/>
      <w:autoSpaceDE/>
      <w:autoSpaceDN/>
      <w:adjustRightInd/>
      <w:spacing w:before="360" w:after="120" w:line="276" w:lineRule="auto"/>
      <w:jc w:val="both"/>
      <w:textAlignment w:val="auto"/>
      <w:outlineLvl w:val="3"/>
    </w:pPr>
    <w:rPr>
      <w:rFonts w:ascii="Calibri" w:hAnsi="Calibri"/>
      <w:b/>
      <w:bCs/>
      <w:i/>
      <w:iCs/>
      <w:sz w:val="24"/>
      <w:lang w:val="x-none" w:eastAsia="x-none"/>
    </w:rPr>
  </w:style>
  <w:style w:type="paragraph" w:styleId="Nadpis5">
    <w:name w:val="heading 5"/>
    <w:basedOn w:val="Normln"/>
    <w:next w:val="Normln"/>
    <w:link w:val="Nadpis5Char"/>
    <w:uiPriority w:val="9"/>
    <w:qFormat/>
    <w:rsid w:val="000D1B2B"/>
    <w:pPr>
      <w:keepNext/>
      <w:keepLines/>
      <w:numPr>
        <w:ilvl w:val="4"/>
        <w:numId w:val="1"/>
      </w:numPr>
      <w:overflowPunct/>
      <w:autoSpaceDE/>
      <w:autoSpaceDN/>
      <w:adjustRightInd/>
      <w:spacing w:before="200" w:after="120" w:line="276" w:lineRule="auto"/>
      <w:jc w:val="both"/>
      <w:textAlignment w:val="auto"/>
      <w:outlineLvl w:val="4"/>
    </w:pPr>
    <w:rPr>
      <w:rFonts w:ascii="Calibri" w:hAnsi="Calibri"/>
      <w:color w:val="365F91"/>
      <w:sz w:val="24"/>
      <w:lang w:val="x-none" w:eastAsia="x-none"/>
    </w:rPr>
  </w:style>
  <w:style w:type="paragraph" w:styleId="Nadpis6">
    <w:name w:val="heading 6"/>
    <w:basedOn w:val="Normln"/>
    <w:next w:val="Normln"/>
    <w:link w:val="Nadpis6Char"/>
    <w:uiPriority w:val="9"/>
    <w:qFormat/>
    <w:rsid w:val="000D1B2B"/>
    <w:pPr>
      <w:keepNext/>
      <w:keepLines/>
      <w:numPr>
        <w:ilvl w:val="5"/>
        <w:numId w:val="1"/>
      </w:numPr>
      <w:overflowPunct/>
      <w:autoSpaceDE/>
      <w:autoSpaceDN/>
      <w:adjustRightInd/>
      <w:spacing w:before="200" w:line="276" w:lineRule="auto"/>
      <w:jc w:val="both"/>
      <w:textAlignment w:val="auto"/>
      <w:outlineLvl w:val="5"/>
    </w:pPr>
    <w:rPr>
      <w:rFonts w:ascii="Cambria" w:hAnsi="Cambria"/>
      <w:i/>
      <w:iCs/>
      <w:color w:val="243F60"/>
      <w:sz w:val="24"/>
      <w:lang w:val="x-none" w:eastAsia="x-none"/>
    </w:rPr>
  </w:style>
  <w:style w:type="paragraph" w:styleId="Nadpis7">
    <w:name w:val="heading 7"/>
    <w:basedOn w:val="Normln"/>
    <w:next w:val="Normln"/>
    <w:link w:val="Nadpis7Char"/>
    <w:uiPriority w:val="9"/>
    <w:qFormat/>
    <w:rsid w:val="000D1B2B"/>
    <w:pPr>
      <w:keepNext/>
      <w:keepLines/>
      <w:numPr>
        <w:ilvl w:val="6"/>
        <w:numId w:val="1"/>
      </w:numPr>
      <w:overflowPunct/>
      <w:autoSpaceDE/>
      <w:autoSpaceDN/>
      <w:adjustRightInd/>
      <w:spacing w:before="200" w:line="276" w:lineRule="auto"/>
      <w:jc w:val="both"/>
      <w:textAlignment w:val="auto"/>
      <w:outlineLvl w:val="6"/>
    </w:pPr>
    <w:rPr>
      <w:rFonts w:ascii="Cambria" w:hAnsi="Cambria"/>
      <w:i/>
      <w:iCs/>
      <w:color w:val="404040"/>
      <w:sz w:val="24"/>
      <w:lang w:val="x-none" w:eastAsia="x-none"/>
    </w:rPr>
  </w:style>
  <w:style w:type="paragraph" w:styleId="Nadpis8">
    <w:name w:val="heading 8"/>
    <w:basedOn w:val="Normln"/>
    <w:next w:val="Normln"/>
    <w:link w:val="Nadpis8Char"/>
    <w:uiPriority w:val="9"/>
    <w:qFormat/>
    <w:rsid w:val="000D1B2B"/>
    <w:pPr>
      <w:keepNext/>
      <w:keepLines/>
      <w:numPr>
        <w:ilvl w:val="7"/>
        <w:numId w:val="1"/>
      </w:numPr>
      <w:overflowPunct/>
      <w:autoSpaceDE/>
      <w:autoSpaceDN/>
      <w:adjustRightInd/>
      <w:spacing w:before="200" w:line="276" w:lineRule="auto"/>
      <w:jc w:val="both"/>
      <w:textAlignment w:val="auto"/>
      <w:outlineLvl w:val="7"/>
    </w:pPr>
    <w:rPr>
      <w:rFonts w:ascii="Cambria" w:hAnsi="Cambria"/>
      <w:color w:val="404040"/>
      <w:lang w:val="x-none" w:eastAsia="x-none"/>
    </w:rPr>
  </w:style>
  <w:style w:type="paragraph" w:styleId="Nadpis9">
    <w:name w:val="heading 9"/>
    <w:basedOn w:val="Normln"/>
    <w:next w:val="Normln"/>
    <w:link w:val="Nadpis9Char"/>
    <w:uiPriority w:val="9"/>
    <w:qFormat/>
    <w:rsid w:val="000D1B2B"/>
    <w:pPr>
      <w:keepNext/>
      <w:keepLines/>
      <w:numPr>
        <w:ilvl w:val="8"/>
        <w:numId w:val="1"/>
      </w:numPr>
      <w:overflowPunct/>
      <w:autoSpaceDE/>
      <w:autoSpaceDN/>
      <w:adjustRightInd/>
      <w:spacing w:before="200" w:line="276" w:lineRule="auto"/>
      <w:jc w:val="both"/>
      <w:textAlignment w:val="auto"/>
      <w:outlineLvl w:val="8"/>
    </w:pPr>
    <w:rPr>
      <w:rFonts w:ascii="Cambria" w:hAnsi="Cambria"/>
      <w:i/>
      <w:iCs/>
      <w:color w:val="40404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D1B2B"/>
    <w:rPr>
      <w:rFonts w:ascii="Calibri" w:hAnsi="Calibri"/>
      <w:b/>
      <w:bCs/>
      <w:smallCaps/>
      <w:kern w:val="32"/>
      <w:sz w:val="28"/>
      <w:szCs w:val="32"/>
      <w:lang w:val="x-none" w:eastAsia="x-none"/>
    </w:rPr>
  </w:style>
  <w:style w:type="character" w:customStyle="1" w:styleId="Nadpis2Char">
    <w:name w:val="Nadpis 2 Char"/>
    <w:basedOn w:val="Standardnpsmoodstavce"/>
    <w:link w:val="Nadpis2"/>
    <w:rsid w:val="000D1B2B"/>
    <w:rPr>
      <w:rFonts w:ascii="Calibri" w:hAnsi="Calibri"/>
      <w:b/>
      <w:bCs/>
      <w:iCs/>
      <w:sz w:val="26"/>
      <w:szCs w:val="28"/>
      <w:lang w:val="x-none" w:eastAsia="x-none"/>
    </w:rPr>
  </w:style>
  <w:style w:type="character" w:customStyle="1" w:styleId="Nadpis3Char">
    <w:name w:val="Nadpis 3 Char"/>
    <w:basedOn w:val="Standardnpsmoodstavce"/>
    <w:link w:val="Nadpis3"/>
    <w:uiPriority w:val="9"/>
    <w:rsid w:val="000D1B2B"/>
    <w:rPr>
      <w:rFonts w:ascii="Calibri" w:hAnsi="Calibri"/>
      <w:b/>
      <w:bCs/>
      <w:color w:val="365F91"/>
      <w:sz w:val="24"/>
      <w:lang w:val="x-none" w:eastAsia="x-none"/>
    </w:rPr>
  </w:style>
  <w:style w:type="character" w:customStyle="1" w:styleId="Nadpis4Char">
    <w:name w:val="Nadpis 4 Char"/>
    <w:basedOn w:val="Standardnpsmoodstavce"/>
    <w:link w:val="Nadpis4"/>
    <w:uiPriority w:val="9"/>
    <w:rsid w:val="000D1B2B"/>
    <w:rPr>
      <w:rFonts w:ascii="Calibri" w:hAnsi="Calibri"/>
      <w:b/>
      <w:bCs/>
      <w:i/>
      <w:iCs/>
      <w:sz w:val="24"/>
      <w:lang w:val="x-none" w:eastAsia="x-none"/>
    </w:rPr>
  </w:style>
  <w:style w:type="character" w:customStyle="1" w:styleId="Nadpis5Char">
    <w:name w:val="Nadpis 5 Char"/>
    <w:basedOn w:val="Standardnpsmoodstavce"/>
    <w:link w:val="Nadpis5"/>
    <w:uiPriority w:val="9"/>
    <w:rsid w:val="000D1B2B"/>
    <w:rPr>
      <w:rFonts w:ascii="Calibri" w:hAnsi="Calibri"/>
      <w:color w:val="365F91"/>
      <w:sz w:val="24"/>
      <w:lang w:val="x-none" w:eastAsia="x-none"/>
    </w:rPr>
  </w:style>
  <w:style w:type="character" w:customStyle="1" w:styleId="Nadpis6Char">
    <w:name w:val="Nadpis 6 Char"/>
    <w:basedOn w:val="Standardnpsmoodstavce"/>
    <w:link w:val="Nadpis6"/>
    <w:uiPriority w:val="9"/>
    <w:rsid w:val="000D1B2B"/>
    <w:rPr>
      <w:rFonts w:ascii="Cambria" w:hAnsi="Cambria"/>
      <w:i/>
      <w:iCs/>
      <w:color w:val="243F60"/>
      <w:sz w:val="24"/>
      <w:lang w:val="x-none" w:eastAsia="x-none"/>
    </w:rPr>
  </w:style>
  <w:style w:type="character" w:customStyle="1" w:styleId="Nadpis7Char">
    <w:name w:val="Nadpis 7 Char"/>
    <w:basedOn w:val="Standardnpsmoodstavce"/>
    <w:link w:val="Nadpis7"/>
    <w:uiPriority w:val="9"/>
    <w:rsid w:val="000D1B2B"/>
    <w:rPr>
      <w:rFonts w:ascii="Cambria" w:hAnsi="Cambria"/>
      <w:i/>
      <w:iCs/>
      <w:color w:val="404040"/>
      <w:sz w:val="24"/>
      <w:lang w:val="x-none" w:eastAsia="x-none"/>
    </w:rPr>
  </w:style>
  <w:style w:type="character" w:customStyle="1" w:styleId="Nadpis8Char">
    <w:name w:val="Nadpis 8 Char"/>
    <w:basedOn w:val="Standardnpsmoodstavce"/>
    <w:link w:val="Nadpis8"/>
    <w:uiPriority w:val="9"/>
    <w:rsid w:val="000D1B2B"/>
    <w:rPr>
      <w:rFonts w:ascii="Cambria" w:hAnsi="Cambria"/>
      <w:color w:val="404040"/>
      <w:lang w:val="x-none" w:eastAsia="x-none"/>
    </w:rPr>
  </w:style>
  <w:style w:type="character" w:customStyle="1" w:styleId="Nadpis9Char">
    <w:name w:val="Nadpis 9 Char"/>
    <w:basedOn w:val="Standardnpsmoodstavce"/>
    <w:link w:val="Nadpis9"/>
    <w:uiPriority w:val="9"/>
    <w:rsid w:val="000D1B2B"/>
    <w:rPr>
      <w:rFonts w:ascii="Cambria" w:hAnsi="Cambria"/>
      <w:i/>
      <w:iCs/>
      <w:color w:val="404040"/>
      <w:lang w:val="x-none" w:eastAsia="x-none"/>
    </w:rPr>
  </w:style>
  <w:style w:type="paragraph" w:customStyle="1" w:styleId="Standardntext">
    <w:name w:val="Standardní text"/>
    <w:basedOn w:val="Normln"/>
    <w:link w:val="StandardntextChar"/>
    <w:qFormat/>
    <w:rsid w:val="000D1B2B"/>
    <w:pPr>
      <w:spacing w:after="120"/>
      <w:jc w:val="both"/>
    </w:pPr>
    <w:rPr>
      <w:sz w:val="24"/>
      <w:szCs w:val="24"/>
      <w:lang w:val="x-none" w:eastAsia="x-none"/>
    </w:rPr>
  </w:style>
  <w:style w:type="character" w:customStyle="1" w:styleId="StandardntextChar">
    <w:name w:val="Standardní text Char"/>
    <w:link w:val="Standardntext"/>
    <w:rsid w:val="000D1B2B"/>
    <w:rPr>
      <w:sz w:val="24"/>
      <w:szCs w:val="24"/>
      <w:lang w:val="x-none" w:eastAsia="x-none"/>
    </w:rPr>
  </w:style>
  <w:style w:type="paragraph" w:customStyle="1" w:styleId="ZZNormln">
    <w:name w:val="ZZ Normální"/>
    <w:basedOn w:val="Normln"/>
    <w:rsid w:val="000D1B2B"/>
    <w:pPr>
      <w:spacing w:after="120"/>
      <w:jc w:val="both"/>
    </w:pPr>
    <w:rPr>
      <w:rFonts w:ascii="Arial" w:hAnsi="Arial" w:cs="Arial"/>
      <w:sz w:val="24"/>
    </w:rPr>
  </w:style>
  <w:style w:type="paragraph" w:styleId="Zhlav">
    <w:name w:val="header"/>
    <w:basedOn w:val="Normln"/>
    <w:link w:val="ZhlavChar"/>
    <w:uiPriority w:val="99"/>
    <w:unhideWhenUsed/>
    <w:rsid w:val="000D1B2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D1B2B"/>
  </w:style>
  <w:style w:type="paragraph" w:styleId="Zpat">
    <w:name w:val="footer"/>
    <w:basedOn w:val="Normln"/>
    <w:link w:val="ZpatChar"/>
    <w:uiPriority w:val="99"/>
    <w:unhideWhenUsed/>
    <w:rsid w:val="000D1B2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D1B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7AC644B6.dotm</Template>
  <TotalTime>0</TotalTime>
  <Pages>9</Pages>
  <Words>4872</Words>
  <Characters>28746</Characters>
  <Application>Microsoft Office Word</Application>
  <DocSecurity>0</DocSecurity>
  <Lines>239</Lines>
  <Paragraphs>67</Paragraphs>
  <ScaleCrop>false</ScaleCrop>
  <Company>Ministerstvo průmyslu a obchodu</Company>
  <LinksUpToDate>false</LinksUpToDate>
  <CharactersWithSpaces>33551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Ptáčník</dc:creator>
  <cp:lastModifiedBy>Martin Ptáčník</cp:lastModifiedBy>
  <cp:revision>1</cp:revision>
  <dcterms:created xsi:type="dcterms:W3CDTF">2014-06-30T07:43:00Z</dcterms:created>
  <dcterms:modified xsi:type="dcterms:W3CDTF">2014-06-30T07:47:00Z</dcterms:modified>
</cp:coreProperties>
</file>