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93B" w:rsidRPr="000F0817" w:rsidRDefault="000B293B" w:rsidP="00FF3E7D">
      <w:pPr>
        <w:pStyle w:val="Nadpis1"/>
        <w:numPr>
          <w:ilvl w:val="0"/>
          <w:numId w:val="0"/>
        </w:numPr>
      </w:pPr>
      <w:bookmarkStart w:id="0" w:name="_GoBack"/>
      <w:bookmarkEnd w:id="0"/>
      <w:r w:rsidRPr="000F0817">
        <w:t xml:space="preserve">Příloha č. </w:t>
      </w:r>
      <w:r>
        <w:t>6</w:t>
      </w:r>
      <w:r w:rsidRPr="000F0817">
        <w:t>:</w:t>
      </w:r>
      <w:r>
        <w:t xml:space="preserve"> </w:t>
      </w:r>
      <w:r w:rsidRPr="000F0817">
        <w:t>Dohoda mezi Českou republikou a Evropskou komisí na „Podmínkách přijatelnosti vodohospodářských projektů pro Opera</w:t>
      </w:r>
      <w:r>
        <w:t>ční program Životní prostředí v </w:t>
      </w:r>
      <w:r w:rsidRPr="000F0817">
        <w:t>programovacím období 20</w:t>
      </w:r>
      <w:r>
        <w:t>14</w:t>
      </w:r>
      <w:r w:rsidRPr="000F0817">
        <w:t>–20</w:t>
      </w:r>
      <w:r>
        <w:t>20</w:t>
      </w:r>
      <w:r w:rsidRPr="000F0817">
        <w:t>“</w:t>
      </w: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 xml:space="preserve">Pro zachovaní kontinuity při implementaci projektů v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 xml:space="preserve">eském </w:t>
      </w:r>
      <w:r>
        <w:rPr>
          <w:rFonts w:ascii="Cambria" w:hAnsi="Cambria" w:cs="Times New Roman"/>
        </w:rPr>
        <w:t>vodárenství (pro oblast pitné a </w:t>
      </w:r>
      <w:r w:rsidRPr="000B293B">
        <w:rPr>
          <w:rFonts w:ascii="Cambria" w:hAnsi="Cambria" w:cs="Times New Roman"/>
        </w:rPr>
        <w:t>odpadní vody) ve vztahu k provozování vodohospodá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ské infrastruktury soukromými provozovateli se Komise a Česká republika dohodly na použití pravidel a principů, které byly obsaženy v „Podmínkách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ijatelnosti vodohospodá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ských projekt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>pro Opera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ní program Životní prost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edí v programovacím období 2007–2013“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edložených Komisi dne 06/08/2007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 xml:space="preserve">.j. 55893/ENV/07, 2203/300/07 (dále jen „Dohoda“), i pro období 2014-2020. 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Dohoda upravuje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ípady, kdy vlastníci vodohospodá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ské infrastruktury (obce, m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sta, pop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. jejich sdružení) smluvn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evedli nebo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evedou provozování in</w:t>
      </w:r>
      <w:r>
        <w:rPr>
          <w:rFonts w:ascii="Cambria" w:hAnsi="Cambria" w:cs="Times New Roman"/>
        </w:rPr>
        <w:t>frastruktury na provozovatele s </w:t>
      </w:r>
      <w:r w:rsidRPr="000B293B">
        <w:rPr>
          <w:rFonts w:ascii="Cambria" w:hAnsi="Cambria" w:cs="Times New Roman"/>
        </w:rPr>
        <w:t>ú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astí soukromého kapitálu. Dohoda je rozd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lena na 4 hlavní kapitoly:</w:t>
      </w:r>
    </w:p>
    <w:p w:rsidR="000B293B" w:rsidRPr="000B293B" w:rsidRDefault="000B293B" w:rsidP="000B293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Stávající provozní smlouvy;</w:t>
      </w:r>
    </w:p>
    <w:p w:rsidR="000B293B" w:rsidRPr="000B293B" w:rsidRDefault="000B293B" w:rsidP="000B293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Nové provozní smlouvy;</w:t>
      </w:r>
    </w:p>
    <w:p w:rsidR="000B293B" w:rsidRPr="000B293B" w:rsidRDefault="000B293B" w:rsidP="000B293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Kritéria pro posouzení nutnosti výb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 xml:space="preserve">rového 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ízení na provozování infrastruktury spolufinancované z prost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edk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>EU;</w:t>
      </w:r>
    </w:p>
    <w:p w:rsidR="000B293B" w:rsidRDefault="000B293B" w:rsidP="000B293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Kvalita vodohospodá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ských služeb, nástroje podporující efektivitu.</w:t>
      </w:r>
    </w:p>
    <w:p w:rsidR="000B293B" w:rsidRPr="000B293B" w:rsidRDefault="000B293B" w:rsidP="000B293B">
      <w:pPr>
        <w:pStyle w:val="Odstavecseseznamem"/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Komise upozor</w:t>
      </w:r>
      <w:r w:rsidRPr="000B293B">
        <w:rPr>
          <w:rFonts w:ascii="Cambria" w:hAnsi="Cambria" w:cs="TimesNewRoman"/>
        </w:rPr>
        <w:t>ň</w:t>
      </w:r>
      <w:r w:rsidRPr="000B293B">
        <w:rPr>
          <w:rFonts w:ascii="Cambria" w:hAnsi="Cambria" w:cs="Times New Roman"/>
        </w:rPr>
        <w:t xml:space="preserve">uje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eskou stranu na skute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nost, že níže uvedené komentá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</w:t>
      </w:r>
      <w:r>
        <w:rPr>
          <w:rFonts w:ascii="Cambria" w:hAnsi="Cambria" w:cs="Times New Roman"/>
        </w:rPr>
        <w:t xml:space="preserve"> se omezují na </w:t>
      </w:r>
      <w:r w:rsidRPr="000B293B">
        <w:rPr>
          <w:rFonts w:ascii="Cambria" w:hAnsi="Cambria" w:cs="Times New Roman"/>
        </w:rPr>
        <w:t xml:space="preserve">specifické body, které mají zvláštní význam pro vyjednávání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eských opera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ních program</w:t>
      </w:r>
      <w:r w:rsidRPr="000B293B">
        <w:rPr>
          <w:rFonts w:ascii="Cambria" w:hAnsi="Cambria" w:cs="TimesNewRoman"/>
        </w:rPr>
        <w:t xml:space="preserve">ů </w:t>
      </w:r>
      <w:r>
        <w:rPr>
          <w:rFonts w:ascii="Cambria" w:hAnsi="Cambria" w:cs="Times New Roman"/>
        </w:rPr>
        <w:t>na </w:t>
      </w:r>
      <w:r w:rsidRPr="000B293B">
        <w:rPr>
          <w:rFonts w:ascii="Cambria" w:hAnsi="Cambria" w:cs="Times New Roman"/>
        </w:rPr>
        <w:t>programovací období 2014–2020. Nep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edstavují d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vod pro výjimku z uplatn</w:t>
      </w:r>
      <w:r w:rsidRPr="000B293B">
        <w:rPr>
          <w:rFonts w:ascii="Cambria" w:hAnsi="Cambria" w:cs="TimesNewRoman"/>
        </w:rPr>
        <w:t>ě</w:t>
      </w:r>
      <w:r>
        <w:rPr>
          <w:rFonts w:ascii="Cambria" w:hAnsi="Cambria" w:cs="Times New Roman"/>
        </w:rPr>
        <w:t>ní souladu s </w:t>
      </w:r>
      <w:r w:rsidRPr="000B293B">
        <w:rPr>
          <w:rFonts w:ascii="Cambria" w:hAnsi="Cambria" w:cs="Times New Roman"/>
        </w:rPr>
        <w:t>komunitárním právem, v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etn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ve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ejných zakázek, hospodá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ské sout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že a pravidel ve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ejné podpory, nebo se záv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ry, které vyplynou z další diskuze nad j</w:t>
      </w:r>
      <w:r>
        <w:rPr>
          <w:rFonts w:ascii="Cambria" w:hAnsi="Cambria" w:cs="Times New Roman"/>
        </w:rPr>
        <w:t>inými záležitostmi obsaženými v </w:t>
      </w:r>
      <w:r w:rsidRPr="000B293B">
        <w:rPr>
          <w:rFonts w:ascii="Cambria" w:hAnsi="Cambria" w:cs="Times New Roman"/>
        </w:rPr>
        <w:t>Dohodě. Nejedná se o kone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ný souhlas Komise se všemi body Dohody.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eská strana uznává pot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ebu upravit výše zmín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né provozní smlouvy za ú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elem lepší vyváženosti mezi ve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ejným zájmem a zájmem spot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ebitel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>na jedné stran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a </w:t>
      </w:r>
      <w:r>
        <w:rPr>
          <w:rFonts w:ascii="Cambria" w:hAnsi="Cambria" w:cs="Times New Roman"/>
        </w:rPr>
        <w:t>privátními zájmy na </w:t>
      </w:r>
      <w:r w:rsidRPr="000B293B">
        <w:rPr>
          <w:rFonts w:ascii="Cambria" w:hAnsi="Cambria" w:cs="Times New Roman"/>
        </w:rPr>
        <w:t>stran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druhé, stejn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jako dlouhodobé udržitelnosti investic do vodárenské infrastruktury.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Jedin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za tohoto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edpokladu bude umožn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no financování z ERDF a FS v období 2014–2020.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Fungování Fondu soudržnosti a ostatních strukturálních fond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>je upraveno principy a pravidly Smlouvy o ES, obzvlášt</w:t>
      </w:r>
      <w:r w:rsidRPr="000B293B">
        <w:rPr>
          <w:rFonts w:ascii="Cambria" w:hAnsi="Cambria" w:cs="TimesNewRoman"/>
        </w:rPr>
        <w:t>ě č</w:t>
      </w:r>
      <w:r w:rsidRPr="000B293B">
        <w:rPr>
          <w:rFonts w:ascii="Cambria" w:hAnsi="Cambria" w:cs="Times New Roman"/>
        </w:rPr>
        <w:t>l. 274, podle kterého „Komise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id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lí rozpo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et, …, na vlastní zodpov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 xml:space="preserve">dnost …, s ohledem na principy 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ádného hospoda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ení s finan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ními prost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edky.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lenské státy spolu s Komisí zaru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í, že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id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 xml:space="preserve">lené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 xml:space="preserve">ástky budou použity v souladu s principy 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ádného hospoda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ení s finan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ními prost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edky.“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l. 27 na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ízení Rady (ES, Euratom)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 xml:space="preserve">. 1605/2002 ze dne 25.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ervna 2002, kterým se stanoví finan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ní na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ízení o souhrnném rozpo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tu Evropských spole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enství, definuje tento princip jako povinnost Komise spravovat fondy ES podle zásad hospodárnosti, výkonnosti a efektivnosti. Zásada výkonnosti má zajistit „nejlepší vztahy mezi použitými zdroji a dos</w:t>
      </w:r>
      <w:r>
        <w:rPr>
          <w:rFonts w:ascii="Cambria" w:hAnsi="Cambria" w:cs="Times New Roman"/>
        </w:rPr>
        <w:t>aženými výsledky“, a </w:t>
      </w:r>
      <w:r w:rsidRPr="000B293B">
        <w:rPr>
          <w:rFonts w:ascii="Cambria" w:hAnsi="Cambria" w:cs="Times New Roman"/>
        </w:rPr>
        <w:t>zásada efektivnosti „dosažení specifického souboru cíl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>a uskute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ní zamýšlených výsledk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“.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lastRenderedPageBreak/>
        <w:t>Nařízení Evropského parlamentu a Rady (EU) č. 1303/2013</w:t>
      </w:r>
      <w:r w:rsidRPr="000B293B">
        <w:rPr>
          <w:rStyle w:val="Znakapoznpodarou"/>
          <w:rFonts w:ascii="Cambria" w:hAnsi="Cambria" w:cs="Times New Roman"/>
        </w:rPr>
        <w:footnoteReference w:id="1"/>
      </w:r>
      <w:r w:rsidRPr="000B293B">
        <w:rPr>
          <w:rFonts w:ascii="Cambria" w:hAnsi="Cambria" w:cs="Times New Roman"/>
        </w:rPr>
        <w:t xml:space="preserve"> také odkazuje na tyto zásady, když uvádí, že je nutno zajistit „účinnost, spravedlnost a udržitelný efekt </w:t>
      </w:r>
      <w:r w:rsidRPr="000B293B">
        <w:rPr>
          <w:rFonts w:ascii="Cambria" w:hAnsi="Cambria" w:cs="TimesNewRoman"/>
        </w:rPr>
        <w:t>zásahů fondů ESI</w:t>
      </w:r>
      <w:r w:rsidRPr="000B293B">
        <w:rPr>
          <w:rFonts w:ascii="Cambria" w:hAnsi="Cambria" w:cs="Times New Roman"/>
        </w:rPr>
        <w:t>“.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Specifická na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ízení pro jednotlivé fondy stanoví, že ERDF (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l. 2 na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ízení Evropského parlamentu a Rady (ES)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. 1301/2013</w:t>
      </w:r>
      <w:r w:rsidRPr="000B293B">
        <w:rPr>
          <w:rStyle w:val="Znakapoznpodarou"/>
          <w:rFonts w:ascii="Cambria" w:hAnsi="Cambria" w:cs="Times New Roman"/>
        </w:rPr>
        <w:footnoteReference w:id="2"/>
      </w:r>
      <w:r w:rsidRPr="000B293B">
        <w:rPr>
          <w:rFonts w:ascii="Cambria" w:hAnsi="Cambria" w:cs="Times New Roman"/>
        </w:rPr>
        <w:t xml:space="preserve"> ) a Fond soudržnosti (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l. 1 na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ízení Rady (ES)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. 1300/2013</w:t>
      </w:r>
      <w:r w:rsidRPr="000B293B">
        <w:rPr>
          <w:rStyle w:val="Znakapoznpodarou"/>
          <w:rFonts w:ascii="Cambria" w:hAnsi="Cambria" w:cs="Times New Roman"/>
        </w:rPr>
        <w:footnoteReference w:id="3"/>
      </w:r>
      <w:r w:rsidRPr="000B293B">
        <w:rPr>
          <w:rFonts w:ascii="Cambria" w:hAnsi="Cambria" w:cs="Times New Roman"/>
        </w:rPr>
        <w:t>) byly založeny za ú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elem posílení hospodá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ské a sociální soudržnosti, což je d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vodem pro zajišt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ní hodnoty za peníze a sociálního a ekonomického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ínosu Komisí a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lenskými státy, a to ve shod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 xml:space="preserve">se zdroji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erpanými z t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chto Fond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.</w:t>
      </w:r>
    </w:p>
    <w:p w:rsidR="000B293B" w:rsidRPr="000F0817" w:rsidRDefault="000B293B" w:rsidP="000B293B">
      <w:pPr>
        <w:pStyle w:val="Nadpis1"/>
      </w:pPr>
      <w:r w:rsidRPr="000F0817">
        <w:t xml:space="preserve"> Nové provozní </w:t>
      </w:r>
      <w:r w:rsidRPr="000B293B">
        <w:t>smlouvy</w:t>
      </w:r>
      <w:r w:rsidRPr="000F0817">
        <w:t xml:space="preserve"> (</w:t>
      </w:r>
      <w:r w:rsidRPr="000F0817">
        <w:rPr>
          <w:rFonts w:cs="TimesNewRoman"/>
        </w:rPr>
        <w:t>č</w:t>
      </w:r>
      <w:r w:rsidRPr="000F0817">
        <w:t xml:space="preserve">ást B </w:t>
      </w:r>
      <w:r>
        <w:t>Dohody</w:t>
      </w:r>
      <w:r w:rsidRPr="000F0817">
        <w:t>)</w:t>
      </w: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F0817">
        <w:rPr>
          <w:rFonts w:cs="Times New Roman"/>
          <w:sz w:val="24"/>
          <w:szCs w:val="24"/>
        </w:rPr>
        <w:t>„</w:t>
      </w:r>
      <w:r w:rsidRPr="000B293B">
        <w:rPr>
          <w:rFonts w:ascii="Cambria" w:hAnsi="Cambria" w:cs="Times New Roman"/>
        </w:rPr>
        <w:t>Novými provozními smlouvami“ se v této Dohodě rozumí smlouvy, které budou uzav</w:t>
      </w:r>
      <w:r w:rsidRPr="000B293B">
        <w:rPr>
          <w:rFonts w:ascii="Cambria" w:hAnsi="Cambria" w:cs="TimesNewRoman"/>
        </w:rPr>
        <w:t>ř</w:t>
      </w:r>
      <w:r>
        <w:rPr>
          <w:rFonts w:ascii="Cambria" w:hAnsi="Cambria" w:cs="Times New Roman"/>
        </w:rPr>
        <w:t>eny po </w:t>
      </w:r>
      <w:r w:rsidRPr="000B293B">
        <w:rPr>
          <w:rFonts w:ascii="Cambria" w:hAnsi="Cambria" w:cs="Times New Roman"/>
        </w:rPr>
        <w:t>schválení Opera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ního programu Životního prost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edí pro programové období 2014–2020 (dále jen OP ŽP).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Pro nové provozní smlouvy, které budou uzav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eny v budoucnosti s provozovateli vodohospodá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ské infrastruktury, si je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eská strana v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doma pot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eby zajišt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ní souladu s veškerou relevantní legislativou EU, v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etn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obecných pravidel a princip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>Smlouvy o ES a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íslušných pravidel pro zadávání ve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ejných zakázek.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Komise upozor</w:t>
      </w:r>
      <w:r w:rsidRPr="000B293B">
        <w:rPr>
          <w:rFonts w:ascii="Cambria" w:hAnsi="Cambria" w:cs="TimesNewRoman"/>
        </w:rPr>
        <w:t>ň</w:t>
      </w:r>
      <w:r w:rsidRPr="000B293B">
        <w:rPr>
          <w:rFonts w:ascii="Cambria" w:hAnsi="Cambria" w:cs="Times New Roman"/>
        </w:rPr>
        <w:t>uje na skute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nost, že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ísp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vky z ERDF a FS na vodárenskou infrastrukturu v programovacím období 2014–2020 jsou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ijatelné za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edpokladu, že budou spln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ny následující podmínky pro nové provozní smlouvy vyplývající z Dohody:</w:t>
      </w:r>
    </w:p>
    <w:p w:rsidR="000B293B" w:rsidRPr="000F0817" w:rsidRDefault="000B293B" w:rsidP="000B293B">
      <w:pPr>
        <w:pStyle w:val="Nadpis2"/>
      </w:pPr>
      <w:r w:rsidRPr="000F0817">
        <w:t xml:space="preserve"> Délka trvání </w:t>
      </w:r>
      <w:r w:rsidRPr="000B293B">
        <w:t>smluv</w:t>
      </w: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Za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edpokladu, že se soukromý provozovatel nebude finan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</w:t>
      </w:r>
      <w:r w:rsidRPr="000B293B">
        <w:rPr>
          <w:rFonts w:ascii="Cambria" w:hAnsi="Cambria" w:cs="TimesNewRoman"/>
        </w:rPr>
        <w:t xml:space="preserve">ě </w:t>
      </w:r>
      <w:r>
        <w:rPr>
          <w:rFonts w:ascii="Cambria" w:hAnsi="Cambria" w:cs="Times New Roman"/>
        </w:rPr>
        <w:t>podílet na investicích do </w:t>
      </w:r>
      <w:r w:rsidRPr="000B293B">
        <w:rPr>
          <w:rFonts w:ascii="Cambria" w:hAnsi="Cambria" w:cs="Times New Roman"/>
        </w:rPr>
        <w:t>výstavby, opravy nebo rozší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ení vodárenské infrastruktury, spolufinancování z ERDF a FS bude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id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leno za podmínky, že délka trvání provozní smlouvy bude maximáln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10 let,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i</w:t>
      </w:r>
      <w:r w:rsidRPr="000B293B">
        <w:rPr>
          <w:rFonts w:ascii="Cambria" w:hAnsi="Cambria" w:cs="TimesNewRoman"/>
        </w:rPr>
        <w:t>č</w:t>
      </w:r>
      <w:r>
        <w:rPr>
          <w:rFonts w:ascii="Cambria" w:hAnsi="Cambria" w:cs="Times New Roman"/>
        </w:rPr>
        <w:t>emž i </w:t>
      </w:r>
      <w:r w:rsidRPr="000B293B">
        <w:rPr>
          <w:rFonts w:ascii="Cambria" w:hAnsi="Cambria" w:cs="Times New Roman"/>
        </w:rPr>
        <w:t xml:space="preserve">tato délka trvání musí být 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ádn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od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vodn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na.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Za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edpokladu, že finan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ní podíl soukromého provozovatele do výstavby, opravy nebo rozší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ení vodárenské infrastruktury je zna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ný nebo byla uložena povinnost nebo podn</w:t>
      </w:r>
      <w:r w:rsidRPr="000B293B">
        <w:rPr>
          <w:rFonts w:ascii="Cambria" w:hAnsi="Cambria" w:cs="TimesNewRoman"/>
        </w:rPr>
        <w:t>ě</w:t>
      </w:r>
      <w:r>
        <w:rPr>
          <w:rFonts w:ascii="Cambria" w:hAnsi="Cambria" w:cs="Times New Roman"/>
        </w:rPr>
        <w:t>t ke </w:t>
      </w:r>
      <w:r w:rsidRPr="000B293B">
        <w:rPr>
          <w:rFonts w:ascii="Cambria" w:hAnsi="Cambria" w:cs="Times New Roman"/>
        </w:rPr>
        <w:t>zlepšení výkonnosti vodárenské sít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, jejíž cenov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efektivní realizace si vyžádá zna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 xml:space="preserve">né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asové období, pak m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že být délka trvání provozní smlouvy prodloužena za spln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ní následujícího kritéria: smlouva bude respektovat princip proporcionality ve smyslu neomezení sout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že nad rámec toho, co je nutné pro zajišt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ní návratnosti vložené investice a generování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im</w:t>
      </w:r>
      <w:r w:rsidRPr="000B293B">
        <w:rPr>
          <w:rFonts w:ascii="Cambria" w:hAnsi="Cambria" w:cs="TimesNewRoman"/>
        </w:rPr>
        <w:t>ěř</w:t>
      </w:r>
      <w:r w:rsidRPr="000B293B">
        <w:rPr>
          <w:rFonts w:ascii="Cambria" w:hAnsi="Cambria" w:cs="Times New Roman"/>
        </w:rPr>
        <w:t>eného zisku.</w:t>
      </w:r>
    </w:p>
    <w:p w:rsidR="000B293B" w:rsidRPr="000F0817" w:rsidRDefault="000B293B" w:rsidP="000B293B">
      <w:pPr>
        <w:pStyle w:val="Nadpis2"/>
        <w:rPr>
          <w:rFonts w:cs="TimesNewRoman,Bold"/>
        </w:rPr>
      </w:pPr>
      <w:r w:rsidRPr="000F0817">
        <w:t>Nastavení tarif</w:t>
      </w:r>
      <w:r w:rsidRPr="000F0817">
        <w:rPr>
          <w:rFonts w:cs="TimesNewRoman,Bold"/>
        </w:rPr>
        <w:t>ů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U všech nových provozních smluv budou tarify (vodné a sto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né) základním hodnotícím kritériem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i výb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ru provozovatele.</w:t>
      </w:r>
    </w:p>
    <w:p w:rsidR="000B293B" w:rsidRPr="000F0817" w:rsidRDefault="000B293B" w:rsidP="000B293B">
      <w:pPr>
        <w:pStyle w:val="Nadpis2"/>
      </w:pPr>
      <w:r w:rsidRPr="000F0817">
        <w:lastRenderedPageBreak/>
        <w:t>Výkonová kritéria, monitoring a sankce</w:t>
      </w: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 xml:space="preserve">Provozní smlouvy musí obsahovat vhodná výkonová kritéria a ustanovení týkající se monitorování a sankcí, uvedená v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ásti D Dohody – Kvalita vodohospodá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ských služeb, nástroje podporující efektivitu.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 xml:space="preserve">Komise podporuje úmysl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eské strany používat modelovou provozní smlouvu a katalog relevantních výkonových parametr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>pro zajišt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ní uplatn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ní princip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>nejlepší mezinárodní praxe v nových provozních smlouvách.</w:t>
      </w:r>
    </w:p>
    <w:p w:rsidR="000B293B" w:rsidRPr="000F0817" w:rsidRDefault="000B293B" w:rsidP="000B293B">
      <w:pPr>
        <w:pStyle w:val="Nadpis2"/>
      </w:pPr>
      <w:r w:rsidRPr="000F0817">
        <w:t>Soulad s evropskou environmentální legislativou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Nové provozní smlouvy musí být v souladu s evropskou legislativou, zvlášt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se sm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rnicemi 98/83/ES (pitná voda) a 91/271/ES (m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stské odpadní vody).</w:t>
      </w:r>
    </w:p>
    <w:p w:rsidR="000B293B" w:rsidRPr="000F0817" w:rsidRDefault="000B293B" w:rsidP="000B293B">
      <w:pPr>
        <w:pStyle w:val="Nadpis1"/>
      </w:pPr>
      <w:r w:rsidRPr="000F0817">
        <w:t xml:space="preserve"> Stávající provozní smlouvy (</w:t>
      </w:r>
      <w:r w:rsidRPr="000F0817">
        <w:rPr>
          <w:rFonts w:cs="TimesNewRoman"/>
        </w:rPr>
        <w:t>č</w:t>
      </w:r>
      <w:r w:rsidRPr="000F0817">
        <w:t xml:space="preserve">ást A </w:t>
      </w:r>
      <w:r>
        <w:t>Dohody</w:t>
      </w:r>
      <w:r w:rsidRPr="000F0817">
        <w:t>)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2.1 </w:t>
      </w:r>
      <w:r w:rsidRPr="000B293B">
        <w:rPr>
          <w:rFonts w:ascii="Cambria" w:hAnsi="Cambria" w:cs="Times New Roman"/>
        </w:rPr>
        <w:t>„Stávajícími provozními smlouvami“ se myslí smlouvy uzav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ené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ed vstupem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eské republiky do Evropské unie a dále smlouvy uzav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ené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 schválením OP ŽP 2014–2020 pod podmínkou, že tyto smlouvy byly uzav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eny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i respektování pravidel daných právem Evropských spole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enství.</w:t>
      </w: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 xml:space="preserve">Komise konstatuje, že v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eské republice je 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kolik rozdílných model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>využívání vodárenské infrastruktury, které jsou založeny na rozdílných typech vztah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>mezi vlastníky a provozovateli.</w:t>
      </w:r>
    </w:p>
    <w:p w:rsidR="000919EB" w:rsidRPr="000B293B" w:rsidRDefault="000919E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Komise si uv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domuje, že 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které projekty, které potenciáln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mohou obdržet finan</w:t>
      </w:r>
      <w:r w:rsidRPr="000B293B">
        <w:rPr>
          <w:rFonts w:ascii="Cambria" w:hAnsi="Cambria" w:cs="TimesNewRoman"/>
        </w:rPr>
        <w:t>č</w:t>
      </w:r>
      <w:r w:rsidR="000919EB">
        <w:rPr>
          <w:rFonts w:ascii="Cambria" w:hAnsi="Cambria" w:cs="Times New Roman"/>
        </w:rPr>
        <w:t>ní podporu z </w:t>
      </w:r>
      <w:r w:rsidRPr="000B293B">
        <w:rPr>
          <w:rFonts w:ascii="Cambria" w:hAnsi="Cambria" w:cs="Times New Roman"/>
        </w:rPr>
        <w:t>FS nebo ERDF nejsou v sou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asnosti provozovány žádným provozovatelem, 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které si provozují municipality, v 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kterých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ípadech je provozní spole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nost pln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vlastn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na samotnými municipalitami a v dalších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ípadech je vlastník a provozovatel totožný (“smíšený model“).</w:t>
      </w:r>
    </w:p>
    <w:p w:rsidR="000919EB" w:rsidRPr="000B293B" w:rsidRDefault="000919E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Kone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, 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kolik projekt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>spadá do kategorie tzv. „</w:t>
      </w:r>
      <w:r w:rsidR="000919EB">
        <w:rPr>
          <w:rFonts w:ascii="Cambria" w:hAnsi="Cambria" w:cs="Times New Roman"/>
        </w:rPr>
        <w:t>oddílného modelu“ provozování s </w:t>
      </w:r>
      <w:r w:rsidRPr="000B293B">
        <w:rPr>
          <w:rFonts w:ascii="Cambria" w:hAnsi="Cambria" w:cs="Times New Roman"/>
        </w:rPr>
        <w:t>dominantním vlivem ve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ejného sektoru, kde mají v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 xml:space="preserve">tšinový vlastnický podíl municipality a kde (v souladu s ustanoveními </w:t>
      </w:r>
      <w:r w:rsidRPr="000B293B">
        <w:rPr>
          <w:rFonts w:ascii="Cambria" w:hAnsi="Cambria"/>
        </w:rPr>
        <w:t>zákona č. 90/2012 Sb., o obchodních korporacích</w:t>
      </w:r>
      <w:r w:rsidRPr="000B293B">
        <w:rPr>
          <w:rFonts w:ascii="Cambria" w:hAnsi="Cambria" w:cs="Times New Roman"/>
        </w:rPr>
        <w:t>) je možné obdržený zisk použít pouze pro obnovení nebo rozší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ení vodárenské infrastruktury a nikoliv pro vyplácení dividend.</w:t>
      </w:r>
    </w:p>
    <w:p w:rsidR="000919EB" w:rsidRPr="000B293B" w:rsidRDefault="000919E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 xml:space="preserve">2.2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ást 2 tohoto komentá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e popisuje situaci, kdy se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eská strana dožaduje financování ze zdroj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>alokace 2014–2020 ERDF a FS pro obnovu a rozší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ení vodárenské infrastruktury a tato infrastruktura bude po jejím dokon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ení provozována spole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nostmi (ve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ejnými, soukromými, nebo spole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nostmi se smíšeným kapitálem) na základ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dlouho</w:t>
      </w:r>
      <w:r w:rsidR="000919EB">
        <w:rPr>
          <w:rFonts w:ascii="Cambria" w:hAnsi="Cambria" w:cs="Times New Roman"/>
        </w:rPr>
        <w:t>dobých smluv, které vstoupily v </w:t>
      </w:r>
      <w:r w:rsidRPr="000B293B">
        <w:rPr>
          <w:rFonts w:ascii="Cambria" w:hAnsi="Cambria" w:cs="Times New Roman"/>
        </w:rPr>
        <w:t>platnost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 schválením OP ŽP 2014–2020. To je založeno na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edpokladu, že financovaná obnovená nebo rozší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ená infrastruktura nebude vytvá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et nové dodate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né nebo odd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litelné služby a pro které nebude požadováno otev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ené výb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 xml:space="preserve">rové 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ízení na nového provozovatele. V situaci, kdy si výstavba infrastruktury vyžaduje výb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 xml:space="preserve">rové 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ízení na nového provozovatele, se bude postupovat dle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ásti 1 komentá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e.</w:t>
      </w:r>
    </w:p>
    <w:p w:rsidR="000919EB" w:rsidRPr="000B293B" w:rsidRDefault="000919E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 xml:space="preserve">2.3 Komise se dohodla se zástupci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 xml:space="preserve">eské strany, že ve vztahu ke všem stávajícím provozním smlouvám spadajících do kategorie oddílný model provozování (viz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ást A.1. Dohody) nebude poskytována žádná finan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ní podpora Spole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enství na obnovu nebo rozší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ení vodárenské infrastruktury, která je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edm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tem t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chto smluvních vztah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 xml:space="preserve">, pokud smlouva: </w:t>
      </w:r>
    </w:p>
    <w:p w:rsidR="000919EB" w:rsidRPr="000B293B" w:rsidRDefault="000919E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Pr="000919EB" w:rsidRDefault="000919EB" w:rsidP="000919E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 xml:space="preserve">(i) </w:t>
      </w:r>
      <w:r w:rsidR="000B293B" w:rsidRPr="000919EB">
        <w:rPr>
          <w:rFonts w:ascii="Cambria" w:hAnsi="Cambria" w:cs="Times New Roman"/>
        </w:rPr>
        <w:t>nebude zahrnovat adekvátní ustanovení k výkonovým parametr</w:t>
      </w:r>
      <w:r w:rsidR="000B293B" w:rsidRPr="000919EB">
        <w:rPr>
          <w:rFonts w:ascii="Cambria" w:hAnsi="Cambria" w:cs="TimesNewRoman"/>
        </w:rPr>
        <w:t>ů</w:t>
      </w:r>
      <w:r w:rsidR="000B293B" w:rsidRPr="000919EB">
        <w:rPr>
          <w:rFonts w:ascii="Cambria" w:hAnsi="Cambria" w:cs="Times New Roman"/>
        </w:rPr>
        <w:t>m, monitoringu a sankcím, dle pravidel a princip</w:t>
      </w:r>
      <w:r w:rsidR="000B293B" w:rsidRPr="000919EB">
        <w:rPr>
          <w:rFonts w:ascii="Cambria" w:hAnsi="Cambria" w:cs="TimesNewRoman"/>
        </w:rPr>
        <w:t xml:space="preserve">ů </w:t>
      </w:r>
      <w:r w:rsidR="000B293B" w:rsidRPr="000919EB">
        <w:rPr>
          <w:rFonts w:ascii="Cambria" w:hAnsi="Cambria" w:cs="Times New Roman"/>
        </w:rPr>
        <w:t>práva ES a nejlepší mezinárodní praxe; a</w:t>
      </w:r>
    </w:p>
    <w:p w:rsidR="000919EB" w:rsidRPr="000919EB" w:rsidRDefault="000919EB" w:rsidP="000919EB">
      <w:pPr>
        <w:pStyle w:val="Odstavecseseznamem"/>
        <w:autoSpaceDE w:val="0"/>
        <w:autoSpaceDN w:val="0"/>
        <w:adjustRightInd w:val="0"/>
        <w:spacing w:after="0"/>
        <w:ind w:left="108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(ii) tarif nebude stanovován tak, aby byla podporována kvalita služeb poskytovaných spot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ebitel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m a sou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asn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došlo k zajišt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ní dlouhodobé udržitelnosti infrastruktury;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itom se zohlední smluvní závazky a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im</w:t>
      </w:r>
      <w:r w:rsidRPr="000B293B">
        <w:rPr>
          <w:rFonts w:ascii="Cambria" w:hAnsi="Cambria" w:cs="TimesNewRoman"/>
        </w:rPr>
        <w:t>ěř</w:t>
      </w:r>
      <w:r w:rsidRPr="000B293B">
        <w:rPr>
          <w:rFonts w:ascii="Cambria" w:hAnsi="Cambria" w:cs="Times New Roman"/>
        </w:rPr>
        <w:t xml:space="preserve">ený ekonomický zisk provozovatele (s ohledem na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ást A.1.1.b Dohody).</w:t>
      </w:r>
    </w:p>
    <w:p w:rsidR="000919EB" w:rsidRPr="000B293B" w:rsidRDefault="000919E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Takovéto úpravy ve stávajících provozních smlouvách musí být provedeny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ed tím, než je vydáno rozhodnutí dle Na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ízení (EU)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. 1303/2013, na jehož základ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bude poskytována podpora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íslušnému projektu na obnovu/rekonstrukci vodohospodá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ské infrastruktury.</w:t>
      </w:r>
    </w:p>
    <w:p w:rsidR="000919EB" w:rsidRPr="000B293B" w:rsidRDefault="000919E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Nicmén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by m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lo být poznamenáno, že podstatné zm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ny smluv mohou vyžadovat nové výb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 xml:space="preserve">rové 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ízení. Úpravy stávajících smluv bez nového výb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 xml:space="preserve">rového 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ízení lze akceptovat pouze v</w:t>
      </w:r>
      <w:r w:rsidR="000919EB">
        <w:rPr>
          <w:rFonts w:ascii="Cambria" w:hAnsi="Cambria" w:cs="Times New Roman"/>
        </w:rPr>
        <w:t> </w:t>
      </w:r>
      <w:r w:rsidRPr="000B293B">
        <w:rPr>
          <w:rFonts w:ascii="Cambria" w:hAnsi="Cambria" w:cs="Times New Roman"/>
        </w:rPr>
        <w:t>tom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ípad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, že nediskriminují ostatní potencionální poskytovatele služeb.</w:t>
      </w:r>
    </w:p>
    <w:p w:rsidR="000919EB" w:rsidRPr="000B293B" w:rsidRDefault="000919E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2.4. Jako dopln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 xml:space="preserve">ní ke dvou výše uvedeným podmínkám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 xml:space="preserve">l. 2.3. se Komise dále dohodla s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eskou stranou, že pro stávající provozní smlouvy spadajících do kategorie oddílný model provoz</w:t>
      </w:r>
      <w:r w:rsidR="000919EB">
        <w:rPr>
          <w:rFonts w:ascii="Cambria" w:hAnsi="Cambria" w:cs="Times New Roman"/>
        </w:rPr>
        <w:t>ování s </w:t>
      </w:r>
      <w:r w:rsidRPr="000B293B">
        <w:rPr>
          <w:rFonts w:ascii="Cambria" w:hAnsi="Cambria" w:cs="Times New Roman"/>
        </w:rPr>
        <w:t>dominantní ú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 xml:space="preserve">astí soukromého kapitálu (viz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ást A.1.1 Dohody), že:</w:t>
      </w:r>
    </w:p>
    <w:p w:rsidR="000919EB" w:rsidRPr="000B293B" w:rsidRDefault="000919E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Pr="000919EB" w:rsidRDefault="000919EB" w:rsidP="000919E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(i) </w:t>
      </w:r>
      <w:r w:rsidR="000B293B" w:rsidRPr="000919EB">
        <w:rPr>
          <w:rFonts w:ascii="Cambria" w:hAnsi="Cambria" w:cs="Times New Roman"/>
        </w:rPr>
        <w:t>projekty se stávající provozní smlouvou s datem platnosti do r. 2015 či projekty, které mají provozní smlouvu uzavřenou v souladu s pravidly přílohy 7 OP ŽP pro období 2007-2013, lze financovat z OP ŽP za p</w:t>
      </w:r>
      <w:r w:rsidR="000B293B" w:rsidRPr="000919EB">
        <w:rPr>
          <w:rFonts w:ascii="Cambria" w:hAnsi="Cambria" w:cs="TimesNewRoman"/>
        </w:rPr>
        <w:t>ř</w:t>
      </w:r>
      <w:r w:rsidR="000B293B" w:rsidRPr="000919EB">
        <w:rPr>
          <w:rFonts w:ascii="Cambria" w:hAnsi="Cambria" w:cs="Times New Roman"/>
        </w:rPr>
        <w:t>edpokladu, že po vypršení platnosti stávající smlouvy bude nový provozovatel vybrán na základ</w:t>
      </w:r>
      <w:r w:rsidR="000B293B" w:rsidRPr="000919EB">
        <w:rPr>
          <w:rFonts w:ascii="Cambria" w:hAnsi="Cambria" w:cs="TimesNewRoman"/>
        </w:rPr>
        <w:t xml:space="preserve">ě </w:t>
      </w:r>
      <w:r w:rsidR="000B293B" w:rsidRPr="000919EB">
        <w:rPr>
          <w:rFonts w:ascii="Cambria" w:hAnsi="Cambria" w:cs="Times New Roman"/>
        </w:rPr>
        <w:t xml:space="preserve">podmínek v </w:t>
      </w:r>
      <w:r w:rsidR="000B293B" w:rsidRPr="000919EB">
        <w:rPr>
          <w:rFonts w:ascii="Cambria" w:hAnsi="Cambria" w:cs="TimesNewRoman"/>
        </w:rPr>
        <w:t>Č</w:t>
      </w:r>
      <w:r w:rsidR="000B293B" w:rsidRPr="000919EB">
        <w:rPr>
          <w:rFonts w:ascii="Cambria" w:hAnsi="Cambria" w:cs="Times New Roman"/>
        </w:rPr>
        <w:t>ásti 1 tohoto komentá</w:t>
      </w:r>
      <w:r w:rsidR="000B293B" w:rsidRPr="000919EB">
        <w:rPr>
          <w:rFonts w:ascii="Cambria" w:hAnsi="Cambria" w:cs="TimesNewRoman"/>
        </w:rPr>
        <w:t>ř</w:t>
      </w:r>
      <w:r w:rsidR="000B293B" w:rsidRPr="000919EB">
        <w:rPr>
          <w:rFonts w:ascii="Cambria" w:hAnsi="Cambria" w:cs="Times New Roman"/>
        </w:rPr>
        <w:t>e. D</w:t>
      </w:r>
      <w:r w:rsidR="000B293B" w:rsidRPr="000919EB">
        <w:rPr>
          <w:rFonts w:ascii="Cambria" w:hAnsi="Cambria" w:cs="TimesNewRoman"/>
        </w:rPr>
        <w:t>ů</w:t>
      </w:r>
      <w:r w:rsidR="000B293B" w:rsidRPr="000919EB">
        <w:rPr>
          <w:rFonts w:ascii="Cambria" w:hAnsi="Cambria" w:cs="Times New Roman"/>
        </w:rPr>
        <w:t>kaz podporující implementaci tohoto závazku bude vyložen v Záv</w:t>
      </w:r>
      <w:r w:rsidR="000B293B" w:rsidRPr="000919EB">
        <w:rPr>
          <w:rFonts w:ascii="Cambria" w:hAnsi="Cambria" w:cs="TimesNewRoman"/>
        </w:rPr>
        <w:t>ě</w:t>
      </w:r>
      <w:r w:rsidR="000B293B" w:rsidRPr="000919EB">
        <w:rPr>
          <w:rFonts w:ascii="Cambria" w:hAnsi="Cambria" w:cs="Times New Roman"/>
        </w:rPr>
        <w:t>re</w:t>
      </w:r>
      <w:r w:rsidR="000B293B" w:rsidRPr="000919EB">
        <w:rPr>
          <w:rFonts w:ascii="Cambria" w:hAnsi="Cambria" w:cs="TimesNewRoman"/>
        </w:rPr>
        <w:t>č</w:t>
      </w:r>
      <w:r w:rsidR="000B293B" w:rsidRPr="000919EB">
        <w:rPr>
          <w:rFonts w:ascii="Cambria" w:hAnsi="Cambria" w:cs="Times New Roman"/>
        </w:rPr>
        <w:t>né zpráv</w:t>
      </w:r>
      <w:r w:rsidR="000B293B" w:rsidRPr="000919EB">
        <w:rPr>
          <w:rFonts w:ascii="Cambria" w:hAnsi="Cambria" w:cs="TimesNewRoman"/>
        </w:rPr>
        <w:t xml:space="preserve">ě </w:t>
      </w:r>
      <w:r w:rsidR="000B293B" w:rsidRPr="000919EB">
        <w:rPr>
          <w:rFonts w:ascii="Cambria" w:hAnsi="Cambria" w:cs="Times New Roman"/>
        </w:rPr>
        <w:t>zmi</w:t>
      </w:r>
      <w:r w:rsidR="000B293B" w:rsidRPr="000919EB">
        <w:rPr>
          <w:rFonts w:ascii="Cambria" w:hAnsi="Cambria" w:cs="TimesNewRoman"/>
        </w:rPr>
        <w:t>ň</w:t>
      </w:r>
      <w:r w:rsidR="000B293B" w:rsidRPr="000919EB">
        <w:rPr>
          <w:rFonts w:ascii="Cambria" w:hAnsi="Cambria" w:cs="Times New Roman"/>
        </w:rPr>
        <w:t xml:space="preserve">ované v </w:t>
      </w:r>
      <w:r w:rsidR="000B293B" w:rsidRPr="000919EB">
        <w:rPr>
          <w:rFonts w:ascii="Cambria" w:hAnsi="Cambria" w:cs="TimesNewRoman"/>
        </w:rPr>
        <w:t>č</w:t>
      </w:r>
      <w:r w:rsidR="000B293B" w:rsidRPr="000919EB">
        <w:rPr>
          <w:rFonts w:ascii="Cambria" w:hAnsi="Cambria" w:cs="Times New Roman"/>
        </w:rPr>
        <w:t>l. 50 na</w:t>
      </w:r>
      <w:r w:rsidR="000B293B" w:rsidRPr="000919EB">
        <w:rPr>
          <w:rFonts w:ascii="Cambria" w:hAnsi="Cambria" w:cs="TimesNewRoman"/>
        </w:rPr>
        <w:t>ř</w:t>
      </w:r>
      <w:r w:rsidR="000B293B" w:rsidRPr="000919EB">
        <w:rPr>
          <w:rFonts w:ascii="Cambria" w:hAnsi="Cambria" w:cs="Times New Roman"/>
        </w:rPr>
        <w:t xml:space="preserve">ízení (EU) </w:t>
      </w:r>
      <w:r w:rsidR="000B293B" w:rsidRPr="000919EB">
        <w:rPr>
          <w:rFonts w:ascii="Cambria" w:hAnsi="Cambria" w:cs="TimesNewRoman"/>
        </w:rPr>
        <w:t>č</w:t>
      </w:r>
      <w:r w:rsidR="000B293B" w:rsidRPr="000919EB">
        <w:rPr>
          <w:rFonts w:ascii="Cambria" w:hAnsi="Cambria" w:cs="Times New Roman"/>
        </w:rPr>
        <w:t>. 1303/2013;</w:t>
      </w:r>
    </w:p>
    <w:p w:rsidR="000919EB" w:rsidRPr="000919EB" w:rsidRDefault="000919EB" w:rsidP="000919EB">
      <w:pPr>
        <w:pStyle w:val="Odstavecseseznamem"/>
        <w:autoSpaceDE w:val="0"/>
        <w:autoSpaceDN w:val="0"/>
        <w:adjustRightInd w:val="0"/>
        <w:spacing w:after="0"/>
        <w:ind w:left="1080"/>
        <w:rPr>
          <w:rFonts w:ascii="Cambria" w:hAnsi="Cambria" w:cs="Times New Roman"/>
        </w:rPr>
      </w:pPr>
    </w:p>
    <w:p w:rsidR="000B293B" w:rsidRPr="000919EB" w:rsidRDefault="000919EB" w:rsidP="000919E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(ii) </w:t>
      </w:r>
      <w:r w:rsidR="000B293B" w:rsidRPr="000919EB">
        <w:rPr>
          <w:rFonts w:ascii="Cambria" w:hAnsi="Cambria" w:cs="Times New Roman"/>
        </w:rPr>
        <w:t>projekty se stávající provozní smlouvou, která vyprší po r. 2022, nelze financovat z OP ŽP (pokud její trvání nebude zkráceno);</w:t>
      </w:r>
    </w:p>
    <w:p w:rsidR="000919EB" w:rsidRPr="000919EB" w:rsidRDefault="000919EB" w:rsidP="000919E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 xml:space="preserve">(iii) projekty se stávající provozní smlouvou s datem platnosti mezi r. 2015 a 2022 lze financovat, pokud bude její trvání zkráceno do r. 2015, jak uvedeno v odst. 2.4. </w:t>
      </w:r>
      <w:r w:rsidR="000919EB">
        <w:rPr>
          <w:rFonts w:ascii="Cambria" w:hAnsi="Cambria" w:cs="Times New Roman"/>
        </w:rPr>
        <w:t xml:space="preserve">(i). </w:t>
      </w:r>
      <w:r w:rsidRPr="000B293B">
        <w:rPr>
          <w:rFonts w:ascii="Cambria" w:hAnsi="Cambria" w:cs="Times New Roman"/>
        </w:rPr>
        <w:t>Tam kde smlouva nebude zkrácena k roku 2015 m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že, ve výjime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ných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ípadech, rozpo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et EU financovat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íslušné projekty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i dodržení následujících podmínek ze strany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eských orgán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:</w:t>
      </w:r>
    </w:p>
    <w:p w:rsidR="000919EB" w:rsidRPr="000B293B" w:rsidRDefault="000919E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• u projekt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 xml:space="preserve">se stávající provozní smlouvou trvající do r. 2020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eská strana Evropské komisi deklaruje, že výdaje nep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esahují 60 % (šedesát procent) maximálních zp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sobilých výdaj</w:t>
      </w:r>
      <w:r w:rsidRPr="000B293B">
        <w:rPr>
          <w:rFonts w:ascii="Cambria" w:hAnsi="Cambria" w:cs="TimesNewRoman"/>
        </w:rPr>
        <w:t>ů</w:t>
      </w:r>
      <w:r w:rsidRPr="000B293B">
        <w:rPr>
          <w:rStyle w:val="Znakapoznpodarou"/>
          <w:rFonts w:ascii="Cambria" w:hAnsi="Cambria" w:cs="TimesNewRoman"/>
        </w:rPr>
        <w:footnoteReference w:id="4"/>
      </w:r>
      <w:r w:rsidRPr="000B293B">
        <w:rPr>
          <w:rFonts w:ascii="Cambria" w:hAnsi="Cambria" w:cs="Times New Roman"/>
        </w:rPr>
        <w:t xml:space="preserve">, a </w:t>
      </w:r>
    </w:p>
    <w:p w:rsidR="000919EB" w:rsidRPr="000B293B" w:rsidRDefault="000919E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• u projekt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 xml:space="preserve">se stávající provozní smlouvou, která vyprší v r. 2021 a 2022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eská strana Evropské komisi deklaruje, že výdaje nep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esahují 30 % maximálních zp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sobilých výdaj</w:t>
      </w:r>
      <w:r w:rsidRPr="000B293B">
        <w:rPr>
          <w:rFonts w:ascii="Cambria" w:hAnsi="Cambria" w:cs="TimesNewRoman"/>
        </w:rPr>
        <w:t>ů</w:t>
      </w:r>
      <w:r w:rsidRPr="000B293B">
        <w:rPr>
          <w:rStyle w:val="Znakapoznpodarou"/>
          <w:rFonts w:ascii="Cambria" w:hAnsi="Cambria" w:cs="TimesNewRoman"/>
        </w:rPr>
        <w:footnoteReference w:id="5"/>
      </w:r>
      <w:r w:rsidRPr="000B293B">
        <w:rPr>
          <w:rFonts w:ascii="Cambria" w:hAnsi="Cambria" w:cs="Times New Roman"/>
        </w:rPr>
        <w:t>.</w:t>
      </w:r>
    </w:p>
    <w:p w:rsidR="000919EB" w:rsidRPr="000B293B" w:rsidRDefault="000919E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0B293B">
        <w:rPr>
          <w:rFonts w:ascii="Cambria" w:hAnsi="Cambria" w:cs="Times New Roman"/>
        </w:rPr>
        <w:t>2.5 Mohou nastat situace, kdy se podmínky provozování (tj. privatizace, prodej aktiv provozní spole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nosti t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etím stranám, a</w:t>
      </w:r>
      <w:r w:rsidRPr="000B293B">
        <w:rPr>
          <w:rFonts w:ascii="Cambria" w:hAnsi="Cambria" w:cs="TimesNewRoman"/>
        </w:rPr>
        <w:t xml:space="preserve">ť </w:t>
      </w:r>
      <w:r w:rsidRPr="000B293B">
        <w:rPr>
          <w:rFonts w:ascii="Cambria" w:hAnsi="Cambria" w:cs="Times New Roman"/>
        </w:rPr>
        <w:t>už ve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ejným, soukromým, nebo spole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nostem se smíšeným kapitálem, atd.), na základ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t>kterých byla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iznána podpora z fond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, zm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ní v pr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b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hu implementace. V takových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ípadech musí být 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ídící orgán informován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ípad od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ípadu a</w:t>
      </w:r>
      <w:r w:rsidR="000919EB">
        <w:rPr>
          <w:rFonts w:ascii="Cambria" w:hAnsi="Cambria" w:cs="Times New Roman"/>
        </w:rPr>
        <w:t> </w:t>
      </w:r>
      <w:r w:rsidRPr="000B293B">
        <w:rPr>
          <w:rFonts w:ascii="Cambria" w:hAnsi="Cambria" w:cs="Times New Roman"/>
        </w:rPr>
        <w:t>posoudí, zda tyto zm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ny vytvo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 nové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íjmy odvozené ze zp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sobilých výdaj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>z investi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ních náklad</w:t>
      </w:r>
      <w:r w:rsidRPr="000B293B">
        <w:rPr>
          <w:rFonts w:ascii="Cambria" w:hAnsi="Cambria" w:cs="TimesNewRoman"/>
        </w:rPr>
        <w:t xml:space="preserve">ů </w:t>
      </w:r>
      <w:r w:rsidRPr="000B293B">
        <w:rPr>
          <w:rFonts w:ascii="Cambria" w:hAnsi="Cambria" w:cs="Times New Roman"/>
        </w:rPr>
        <w:t xml:space="preserve">do vodárenské infrastruktury dle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l. 61 na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 xml:space="preserve">ízení (EU) </w:t>
      </w:r>
      <w:r w:rsidRPr="000B293B">
        <w:rPr>
          <w:rFonts w:ascii="Cambria" w:hAnsi="Cambria" w:cs="TimesNewRoman"/>
        </w:rPr>
        <w:t>č</w:t>
      </w:r>
      <w:r w:rsidRPr="000B293B">
        <w:rPr>
          <w:rFonts w:ascii="Cambria" w:hAnsi="Cambria" w:cs="Times New Roman"/>
        </w:rPr>
        <w:t>. 1303/2013. V tom p</w:t>
      </w:r>
      <w:r w:rsidRPr="000B293B">
        <w:rPr>
          <w:rFonts w:ascii="Cambria" w:hAnsi="Cambria" w:cs="TimesNewRoman"/>
        </w:rPr>
        <w:t>ř</w:t>
      </w:r>
      <w:r w:rsidRPr="000B293B">
        <w:rPr>
          <w:rFonts w:ascii="Cambria" w:hAnsi="Cambria" w:cs="Times New Roman"/>
        </w:rPr>
        <w:t>ípad</w:t>
      </w:r>
      <w:r w:rsidRPr="000B293B">
        <w:rPr>
          <w:rFonts w:ascii="Cambria" w:hAnsi="Cambria" w:cs="TimesNewRoman"/>
        </w:rPr>
        <w:t xml:space="preserve">ě </w:t>
      </w:r>
      <w:r w:rsidRPr="000B293B">
        <w:rPr>
          <w:rFonts w:ascii="Cambria" w:hAnsi="Cambria" w:cs="Times New Roman"/>
        </w:rPr>
        <w:lastRenderedPageBreak/>
        <w:t>budou muset též zajistit, aby byly výše uvedené pokyny uplatn</w:t>
      </w:r>
      <w:r w:rsidRPr="000B293B">
        <w:rPr>
          <w:rFonts w:ascii="Cambria" w:hAnsi="Cambria" w:cs="TimesNewRoman"/>
        </w:rPr>
        <w:t>ě</w:t>
      </w:r>
      <w:r w:rsidRPr="000B293B">
        <w:rPr>
          <w:rFonts w:ascii="Cambria" w:hAnsi="Cambria" w:cs="Times New Roman"/>
        </w:rPr>
        <w:t>ny i pro nový zp</w:t>
      </w:r>
      <w:r w:rsidRPr="000B293B">
        <w:rPr>
          <w:rFonts w:ascii="Cambria" w:hAnsi="Cambria" w:cs="TimesNewRoman"/>
        </w:rPr>
        <w:t>ů</w:t>
      </w:r>
      <w:r w:rsidRPr="000B293B">
        <w:rPr>
          <w:rFonts w:ascii="Cambria" w:hAnsi="Cambria" w:cs="Times New Roman"/>
        </w:rPr>
        <w:t>sob provozování.</w:t>
      </w:r>
    </w:p>
    <w:p w:rsidR="00DA2A0F" w:rsidRPr="000B293B" w:rsidRDefault="00DA2A0F" w:rsidP="000B293B">
      <w:pPr>
        <w:rPr>
          <w:rFonts w:ascii="Cambria" w:hAnsi="Cambria"/>
        </w:rPr>
      </w:pPr>
    </w:p>
    <w:sectPr w:rsidR="00DA2A0F" w:rsidRPr="000B293B" w:rsidSect="005643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B63" w:rsidRDefault="00E84B63" w:rsidP="00E84B63">
      <w:pPr>
        <w:spacing w:after="0"/>
      </w:pPr>
      <w:r>
        <w:separator/>
      </w:r>
    </w:p>
  </w:endnote>
  <w:endnote w:type="continuationSeparator" w:id="0">
    <w:p w:rsidR="00E84B63" w:rsidRDefault="00E84B63" w:rsidP="00E84B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8131463"/>
      <w:docPartObj>
        <w:docPartGallery w:val="Page Numbers (Bottom of Page)"/>
        <w:docPartUnique/>
      </w:docPartObj>
    </w:sdtPr>
    <w:sdtEndPr/>
    <w:sdtContent>
      <w:p w:rsidR="000E272B" w:rsidRDefault="000E272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43C">
          <w:rPr>
            <w:noProof/>
          </w:rPr>
          <w:t>1</w:t>
        </w:r>
        <w:r>
          <w:fldChar w:fldCharType="end"/>
        </w:r>
      </w:p>
    </w:sdtContent>
  </w:sdt>
  <w:p w:rsidR="000E272B" w:rsidRDefault="000E27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B63" w:rsidRDefault="00E84B63" w:rsidP="00E84B63">
      <w:pPr>
        <w:spacing w:after="0"/>
      </w:pPr>
      <w:r>
        <w:separator/>
      </w:r>
    </w:p>
  </w:footnote>
  <w:footnote w:type="continuationSeparator" w:id="0">
    <w:p w:rsidR="00E84B63" w:rsidRDefault="00E84B63" w:rsidP="00E84B63">
      <w:pPr>
        <w:spacing w:after="0"/>
      </w:pPr>
      <w:r>
        <w:continuationSeparator/>
      </w:r>
    </w:p>
  </w:footnote>
  <w:footnote w:id="1">
    <w:p w:rsidR="000B293B" w:rsidRPr="000B293B" w:rsidRDefault="000B293B" w:rsidP="000B293B">
      <w:pPr>
        <w:pStyle w:val="Textpoznpodarou"/>
        <w:spacing w:after="0"/>
        <w:rPr>
          <w:rFonts w:ascii="Cambria" w:hAnsi="Cambria"/>
          <w:sz w:val="18"/>
          <w:szCs w:val="18"/>
          <w:lang w:val="sk-SK"/>
        </w:rPr>
      </w:pPr>
      <w:r w:rsidRPr="000B293B">
        <w:rPr>
          <w:rStyle w:val="Znakapoznpodarou"/>
          <w:rFonts w:ascii="Cambria" w:eastAsiaTheme="majorEastAsia" w:hAnsi="Cambria"/>
          <w:sz w:val="18"/>
          <w:szCs w:val="18"/>
        </w:rPr>
        <w:footnoteRef/>
      </w:r>
      <w:r w:rsidRPr="000B293B">
        <w:rPr>
          <w:rFonts w:ascii="Cambria" w:hAnsi="Cambria"/>
          <w:sz w:val="18"/>
          <w:szCs w:val="18"/>
        </w:rPr>
        <w:t xml:space="preserve"> Nařízení Evropského parlamentu a Rady (EU) č. 1303/2013 ze dne 17. prosince 2013 o společných ustanoveních o Evropském fondu pro regionální rozvoj, Evropském sociálním fondu, Fondu soudržnosti, Evropském zemědělském fondu pro rozvoj venkova a Evropském námořním a rybářském fondu, o obecných ustanoveních o Evropském fondu pro regionální rozvoj, Evropském sociálním fondu, Fondu soudržnosti a Evropském námořním a rybářském fondu a o zrušení nařízení Rady (ES) č. 1083/2006,</w:t>
      </w:r>
    </w:p>
  </w:footnote>
  <w:footnote w:id="2">
    <w:p w:rsidR="000B293B" w:rsidRPr="000B293B" w:rsidRDefault="000B293B" w:rsidP="000B293B">
      <w:pPr>
        <w:pStyle w:val="Textpoznpodarou"/>
        <w:spacing w:after="0"/>
        <w:rPr>
          <w:rFonts w:ascii="Cambria" w:hAnsi="Cambria"/>
          <w:sz w:val="18"/>
          <w:szCs w:val="18"/>
        </w:rPr>
      </w:pPr>
      <w:r w:rsidRPr="000B293B">
        <w:rPr>
          <w:rStyle w:val="Znakapoznpodarou"/>
          <w:rFonts w:ascii="Cambria" w:eastAsiaTheme="majorEastAsia" w:hAnsi="Cambria"/>
          <w:sz w:val="18"/>
          <w:szCs w:val="18"/>
        </w:rPr>
        <w:footnoteRef/>
      </w:r>
      <w:r w:rsidRPr="000B293B">
        <w:rPr>
          <w:rFonts w:ascii="Cambria" w:hAnsi="Cambria"/>
          <w:sz w:val="18"/>
          <w:szCs w:val="18"/>
        </w:rPr>
        <w:t xml:space="preserve"> Nařízení Evropského parlamentu a Rady (ES) č. 1301/2013 ze dne 5. července 2006 o Evropském fondu pro regionální rozvoj, o zvláštních ustanoveních týkajících se cíle Investice pro růst a zaměstnanost a o zrušení nařízení (ES) č. 1080/2006,</w:t>
      </w:r>
    </w:p>
  </w:footnote>
  <w:footnote w:id="3">
    <w:p w:rsidR="000B293B" w:rsidRPr="000B293B" w:rsidRDefault="000B293B" w:rsidP="000B293B">
      <w:pPr>
        <w:pStyle w:val="Textpoznpodarou"/>
        <w:spacing w:after="0"/>
        <w:rPr>
          <w:rFonts w:ascii="Cambria" w:hAnsi="Cambria"/>
          <w:sz w:val="18"/>
          <w:szCs w:val="18"/>
        </w:rPr>
      </w:pPr>
      <w:r w:rsidRPr="000B293B">
        <w:rPr>
          <w:rStyle w:val="Znakapoznpodarou"/>
          <w:rFonts w:ascii="Cambria" w:eastAsiaTheme="majorEastAsia" w:hAnsi="Cambria"/>
          <w:sz w:val="18"/>
          <w:szCs w:val="18"/>
        </w:rPr>
        <w:footnoteRef/>
      </w:r>
      <w:r w:rsidRPr="000B293B">
        <w:rPr>
          <w:rFonts w:ascii="Cambria" w:hAnsi="Cambria"/>
          <w:sz w:val="18"/>
          <w:szCs w:val="18"/>
        </w:rPr>
        <w:t xml:space="preserve"> Nařízení Rady (ES) č. 1300/2013 ze dne 17. prosince 2013 o Fondu soudržnosti a o zrušení nařízení (ES) č. 1084/2006,</w:t>
      </w:r>
    </w:p>
  </w:footnote>
  <w:footnote w:id="4">
    <w:p w:rsidR="000B293B" w:rsidRPr="000B293B" w:rsidRDefault="000B293B" w:rsidP="000B293B">
      <w:pPr>
        <w:autoSpaceDE w:val="0"/>
        <w:autoSpaceDN w:val="0"/>
        <w:adjustRightInd w:val="0"/>
        <w:spacing w:after="0"/>
        <w:rPr>
          <w:rFonts w:ascii="Cambria" w:hAnsi="Cambria"/>
          <w:sz w:val="18"/>
          <w:szCs w:val="18"/>
        </w:rPr>
      </w:pPr>
      <w:r w:rsidRPr="000B293B">
        <w:rPr>
          <w:rStyle w:val="Znakapoznpodarou"/>
          <w:rFonts w:ascii="Cambria" w:hAnsi="Cambria"/>
          <w:sz w:val="18"/>
          <w:szCs w:val="18"/>
        </w:rPr>
        <w:footnoteRef/>
      </w:r>
      <w:r w:rsidRPr="000B293B">
        <w:rPr>
          <w:rFonts w:ascii="Cambria" w:hAnsi="Cambria"/>
          <w:sz w:val="18"/>
          <w:szCs w:val="18"/>
        </w:rPr>
        <w:t xml:space="preserve"> V případě, že by došlo k uplatnění jiných principů pro určení maximální výše podpory, než principů uplatněných v programovém období 2007-2013 (výpočet finanční mezery), bude analogicky upravena maximální výše podpory pro tyto smlouvy.</w:t>
      </w:r>
    </w:p>
  </w:footnote>
  <w:footnote w:id="5">
    <w:p w:rsidR="000B293B" w:rsidRDefault="000B293B" w:rsidP="000B293B">
      <w:pPr>
        <w:pStyle w:val="Textpoznpodarou"/>
      </w:pPr>
      <w:r w:rsidRPr="000B293B">
        <w:rPr>
          <w:rStyle w:val="Znakapoznpodarou"/>
          <w:rFonts w:ascii="Cambria" w:eastAsiaTheme="majorEastAsia" w:hAnsi="Cambria"/>
          <w:sz w:val="18"/>
          <w:szCs w:val="18"/>
        </w:rPr>
        <w:footnoteRef/>
      </w:r>
      <w:r w:rsidRPr="000B293B">
        <w:rPr>
          <w:rFonts w:ascii="Cambria" w:hAnsi="Cambria"/>
          <w:sz w:val="18"/>
          <w:szCs w:val="18"/>
        </w:rPr>
        <w:t xml:space="preserve"> Viz poznámka pod čarou č. 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523E6"/>
    <w:multiLevelType w:val="hybridMultilevel"/>
    <w:tmpl w:val="9F3EA04A"/>
    <w:lvl w:ilvl="0" w:tplc="26865452">
      <w:start w:val="1"/>
      <w:numFmt w:val="lowerRoman"/>
      <w:lvlText w:val="(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E0315A9"/>
    <w:multiLevelType w:val="hybridMultilevel"/>
    <w:tmpl w:val="670E1406"/>
    <w:lvl w:ilvl="0" w:tplc="A9C45FE6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C3634"/>
    <w:multiLevelType w:val="hybridMultilevel"/>
    <w:tmpl w:val="3F0073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02125"/>
    <w:multiLevelType w:val="hybridMultilevel"/>
    <w:tmpl w:val="25B4BF42"/>
    <w:lvl w:ilvl="0" w:tplc="B80E65D4">
      <w:start w:val="1"/>
      <w:numFmt w:val="decimal"/>
      <w:pStyle w:val="Nadpis3"/>
      <w:lvlText w:val="1. 3. %1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F71451C"/>
    <w:multiLevelType w:val="multilevel"/>
    <w:tmpl w:val="CD803722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5D16263"/>
    <w:multiLevelType w:val="hybridMultilevel"/>
    <w:tmpl w:val="836E93AE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454018B"/>
    <w:multiLevelType w:val="hybridMultilevel"/>
    <w:tmpl w:val="A664D25C"/>
    <w:lvl w:ilvl="0" w:tplc="B096EB12">
      <w:start w:val="1"/>
      <w:numFmt w:val="decimal"/>
      <w:pStyle w:val="Nadpis2"/>
      <w:lvlText w:val="1. %1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0805785"/>
    <w:multiLevelType w:val="hybridMultilevel"/>
    <w:tmpl w:val="035C22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75193C"/>
    <w:multiLevelType w:val="hybridMultilevel"/>
    <w:tmpl w:val="D3EEE20A"/>
    <w:lvl w:ilvl="0" w:tplc="206C1DE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DC6E58"/>
    <w:multiLevelType w:val="hybridMultilevel"/>
    <w:tmpl w:val="484C05E2"/>
    <w:lvl w:ilvl="0" w:tplc="26865452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9"/>
  </w:num>
  <w:num w:numId="8">
    <w:abstractNumId w:val="2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4B63"/>
    <w:rsid w:val="00062C44"/>
    <w:rsid w:val="000919EB"/>
    <w:rsid w:val="000A3A09"/>
    <w:rsid w:val="000B293B"/>
    <w:rsid w:val="000E272B"/>
    <w:rsid w:val="001051DD"/>
    <w:rsid w:val="001C3F35"/>
    <w:rsid w:val="00215F9A"/>
    <w:rsid w:val="00286AB1"/>
    <w:rsid w:val="003255A2"/>
    <w:rsid w:val="003A51D0"/>
    <w:rsid w:val="003C50B8"/>
    <w:rsid w:val="004B19ED"/>
    <w:rsid w:val="00577A8E"/>
    <w:rsid w:val="00617522"/>
    <w:rsid w:val="006B643C"/>
    <w:rsid w:val="007C67FE"/>
    <w:rsid w:val="008F78CE"/>
    <w:rsid w:val="00A76146"/>
    <w:rsid w:val="00C8179C"/>
    <w:rsid w:val="00DA2A0F"/>
    <w:rsid w:val="00DA5187"/>
    <w:rsid w:val="00E84B63"/>
    <w:rsid w:val="00F51282"/>
    <w:rsid w:val="00F7424E"/>
    <w:rsid w:val="00F87467"/>
    <w:rsid w:val="00FB07EC"/>
    <w:rsid w:val="00FD558A"/>
    <w:rsid w:val="00FF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017DC-55AE-4970-99A5-13D8C199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4B63"/>
    <w:pPr>
      <w:spacing w:line="240" w:lineRule="auto"/>
      <w:jc w:val="both"/>
    </w:pPr>
    <w:rPr>
      <w:rFonts w:ascii="Palatino Linotype" w:hAnsi="Palatino Linotype"/>
    </w:rPr>
  </w:style>
  <w:style w:type="paragraph" w:styleId="Nadpis1">
    <w:name w:val="heading 1"/>
    <w:basedOn w:val="Normln"/>
    <w:next w:val="Normln"/>
    <w:link w:val="Nadpis1Char"/>
    <w:uiPriority w:val="9"/>
    <w:qFormat/>
    <w:rsid w:val="003255A2"/>
    <w:pPr>
      <w:keepNext/>
      <w:keepLines/>
      <w:numPr>
        <w:numId w:val="4"/>
      </w:numPr>
      <w:spacing w:before="480" w:after="100" w:afterAutospacing="1"/>
      <w:outlineLvl w:val="0"/>
    </w:pPr>
    <w:rPr>
      <w:rFonts w:asciiTheme="majorHAnsi" w:eastAsiaTheme="majorEastAsia" w:hAnsiTheme="majorHAnsi" w:cstheme="majorBidi"/>
      <w:b/>
      <w:bCs/>
      <w:color w:val="76923C" w:themeColor="accent3" w:themeShade="BF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55A2"/>
    <w:pPr>
      <w:keepNext/>
      <w:keepLines/>
      <w:numPr>
        <w:numId w:val="2"/>
      </w:numPr>
      <w:spacing w:before="200" w:after="100" w:afterAutospacing="1"/>
      <w:outlineLvl w:val="1"/>
    </w:pPr>
    <w:rPr>
      <w:rFonts w:asciiTheme="majorHAnsi" w:hAnsiTheme="majorHAnsi" w:cstheme="majorBidi"/>
      <w:b/>
      <w:bCs/>
      <w:color w:val="76923C" w:themeColor="accent3" w:themeShade="BF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55A2"/>
    <w:pPr>
      <w:keepNext/>
      <w:keepLines/>
      <w:numPr>
        <w:numId w:val="3"/>
      </w:numPr>
      <w:spacing w:before="200" w:after="100" w:afterAutospacing="1"/>
      <w:outlineLvl w:val="2"/>
    </w:pPr>
    <w:rPr>
      <w:rFonts w:asciiTheme="majorHAnsi" w:eastAsiaTheme="majorEastAsia" w:hAnsiTheme="majorHAnsi" w:cstheme="majorBidi"/>
      <w:b/>
      <w:bCs/>
      <w:color w:val="76923C" w:themeColor="accent3" w:themeShade="BF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255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6923C" w:themeColor="accent3" w:themeShade="BF"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55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55A2"/>
    <w:rPr>
      <w:rFonts w:asciiTheme="majorHAnsi" w:eastAsiaTheme="majorEastAsia" w:hAnsiTheme="majorHAnsi" w:cstheme="majorBidi"/>
      <w:b/>
      <w:bCs/>
      <w:color w:val="76923C" w:themeColor="accent3" w:themeShade="BF"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255A2"/>
    <w:rPr>
      <w:rFonts w:asciiTheme="majorHAnsi" w:hAnsiTheme="majorHAnsi" w:cstheme="majorBidi"/>
      <w:b/>
      <w:bCs/>
      <w:color w:val="76923C" w:themeColor="accent3" w:themeShade="BF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255A2"/>
    <w:rPr>
      <w:rFonts w:asciiTheme="majorHAnsi" w:eastAsiaTheme="majorEastAsia" w:hAnsiTheme="majorHAnsi" w:cstheme="majorBidi"/>
      <w:b/>
      <w:bCs/>
      <w:color w:val="76923C" w:themeColor="accent3" w:themeShade="BF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3255A2"/>
    <w:rPr>
      <w:rFonts w:asciiTheme="majorHAnsi" w:eastAsiaTheme="majorEastAsia" w:hAnsiTheme="majorHAnsi" w:cstheme="majorBidi"/>
      <w:b/>
      <w:bCs/>
      <w:i/>
      <w:iCs/>
      <w:color w:val="76923C" w:themeColor="accent3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55A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3255A2"/>
    <w:pPr>
      <w:spacing w:after="240"/>
      <w:ind w:left="357" w:hanging="357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3255A2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Titulek">
    <w:name w:val="caption"/>
    <w:basedOn w:val="Normln"/>
    <w:next w:val="Normln"/>
    <w:uiPriority w:val="99"/>
    <w:unhideWhenUsed/>
    <w:qFormat/>
    <w:rsid w:val="003255A2"/>
    <w:rPr>
      <w:b/>
      <w:bCs/>
      <w:color w:val="76923C" w:themeColor="accent3" w:themeShade="B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3255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255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3255A2"/>
    <w:pPr>
      <w:numPr>
        <w:ilvl w:val="1"/>
      </w:numPr>
    </w:pPr>
    <w:rPr>
      <w:rFonts w:eastAsia="Times New Roman" w:cs="Cambria"/>
      <w:i/>
      <w:iCs/>
      <w:color w:val="4F81BD"/>
      <w:spacing w:val="15"/>
    </w:rPr>
  </w:style>
  <w:style w:type="character" w:customStyle="1" w:styleId="PodtitulChar">
    <w:name w:val="Podtitul Char"/>
    <w:basedOn w:val="Standardnpsmoodstavce"/>
    <w:link w:val="Podtitul"/>
    <w:uiPriority w:val="99"/>
    <w:rsid w:val="003255A2"/>
    <w:rPr>
      <w:rFonts w:ascii="Cambria" w:eastAsia="Times New Roman" w:hAnsi="Cambria" w:cs="Cambria"/>
      <w:i/>
      <w:iCs/>
      <w:color w:val="4F81BD"/>
      <w:spacing w:val="15"/>
      <w:lang w:eastAsia="en-US"/>
    </w:rPr>
  </w:style>
  <w:style w:type="paragraph" w:styleId="Bezmezer">
    <w:name w:val="No Spacing"/>
    <w:link w:val="BezmezerChar"/>
    <w:uiPriority w:val="1"/>
    <w:qFormat/>
    <w:rsid w:val="003255A2"/>
    <w:pPr>
      <w:spacing w:after="0" w:line="240" w:lineRule="auto"/>
    </w:pPr>
    <w:rPr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3255A2"/>
    <w:rPr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3255A2"/>
    <w:pPr>
      <w:ind w:left="720"/>
      <w:contextualSpacing/>
    </w:p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locked/>
    <w:rsid w:val="003255A2"/>
    <w:rPr>
      <w:rFonts w:ascii="Cambria" w:hAnsi="Cambria"/>
    </w:rPr>
  </w:style>
  <w:style w:type="character" w:styleId="Odkazjemn">
    <w:name w:val="Subtle Reference"/>
    <w:basedOn w:val="Standardnpsmoodstavce"/>
    <w:uiPriority w:val="31"/>
    <w:qFormat/>
    <w:rsid w:val="003255A2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3255A2"/>
    <w:rPr>
      <w:b/>
      <w:bCs/>
      <w:smallCaps/>
      <w:color w:val="C0504D" w:themeColor="accent2"/>
      <w:spacing w:val="5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255A2"/>
    <w:pPr>
      <w:numPr>
        <w:numId w:val="0"/>
      </w:numPr>
      <w:outlineLvl w:val="9"/>
    </w:pPr>
    <w:rPr>
      <w:sz w:val="28"/>
      <w:lang w:val="en-US"/>
    </w:rPr>
  </w:style>
  <w:style w:type="paragraph" w:customStyle="1" w:styleId="Poznmkapodarou">
    <w:name w:val="Poznámka pod čarou"/>
    <w:basedOn w:val="Normln"/>
    <w:qFormat/>
    <w:rsid w:val="003255A2"/>
    <w:rPr>
      <w:sz w:val="20"/>
    </w:rPr>
  </w:style>
  <w:style w:type="paragraph" w:customStyle="1" w:styleId="Odstavecseseznamem1">
    <w:name w:val="Odstavec se seznamem1"/>
    <w:basedOn w:val="Normln"/>
    <w:qFormat/>
    <w:rsid w:val="003255A2"/>
    <w:pPr>
      <w:ind w:left="720"/>
      <w:contextualSpacing/>
    </w:pPr>
    <w:rPr>
      <w:rFonts w:eastAsia="Times New Roman" w:cs="Times New Roman"/>
    </w:rPr>
  </w:style>
  <w:style w:type="paragraph" w:customStyle="1" w:styleId="TextMetodika">
    <w:name w:val="Text Metodika"/>
    <w:basedOn w:val="Normln"/>
    <w:link w:val="TextMetodikaChar"/>
    <w:qFormat/>
    <w:rsid w:val="003255A2"/>
    <w:pPr>
      <w:spacing w:before="120" w:after="120" w:line="312" w:lineRule="auto"/>
    </w:pPr>
    <w:rPr>
      <w:rFonts w:ascii="Arial" w:eastAsia="Times New Roman" w:hAnsi="Arial" w:cs="Arial"/>
      <w:sz w:val="20"/>
      <w:szCs w:val="20"/>
    </w:rPr>
  </w:style>
  <w:style w:type="character" w:customStyle="1" w:styleId="TextMetodikaChar">
    <w:name w:val="Text Metodika Char"/>
    <w:basedOn w:val="Standardnpsmoodstavce"/>
    <w:link w:val="TextMetodika"/>
    <w:rsid w:val="003255A2"/>
    <w:rPr>
      <w:rFonts w:ascii="Arial" w:eastAsia="Times New Roman" w:hAnsi="Arial" w:cs="Arial"/>
      <w:sz w:val="20"/>
      <w:szCs w:val="20"/>
    </w:rPr>
  </w:style>
  <w:style w:type="paragraph" w:customStyle="1" w:styleId="DAVA">
    <w:name w:val="DAVA"/>
    <w:basedOn w:val="Normln"/>
    <w:link w:val="DAVAChar"/>
    <w:qFormat/>
    <w:rsid w:val="003255A2"/>
    <w:pPr>
      <w:spacing w:before="120"/>
    </w:pPr>
    <w:rPr>
      <w:rFonts w:ascii="Calibri" w:eastAsia="Calibri" w:hAnsi="Calibri" w:cs="Calibri"/>
      <w:sz w:val="24"/>
      <w:szCs w:val="24"/>
    </w:rPr>
  </w:style>
  <w:style w:type="character" w:customStyle="1" w:styleId="DAVAChar">
    <w:name w:val="DAVA Char"/>
    <w:basedOn w:val="Standardnpsmoodstavce"/>
    <w:link w:val="DAVA"/>
    <w:locked/>
    <w:rsid w:val="003255A2"/>
    <w:rPr>
      <w:rFonts w:ascii="Calibri" w:eastAsia="Calibri" w:hAnsi="Calibri" w:cs="Calibri"/>
      <w:sz w:val="24"/>
      <w:szCs w:val="24"/>
      <w:lang w:eastAsia="en-US"/>
    </w:rPr>
  </w:style>
  <w:style w:type="paragraph" w:customStyle="1" w:styleId="Odstavecseseznamem3">
    <w:name w:val="Odstavec se seznamem3"/>
    <w:basedOn w:val="Normln"/>
    <w:link w:val="ListParagraphChar"/>
    <w:uiPriority w:val="99"/>
    <w:qFormat/>
    <w:rsid w:val="003255A2"/>
    <w:pPr>
      <w:ind w:left="720"/>
      <w:jc w:val="left"/>
    </w:pPr>
    <w:rPr>
      <w:rFonts w:ascii="Calibri" w:eastAsia="Calibri" w:hAnsi="Calibri" w:cs="Calibri"/>
    </w:rPr>
  </w:style>
  <w:style w:type="character" w:customStyle="1" w:styleId="ListParagraphChar">
    <w:name w:val="List Paragraph Char"/>
    <w:basedOn w:val="Standardnpsmoodstavce"/>
    <w:link w:val="Odstavecseseznamem3"/>
    <w:uiPriority w:val="99"/>
    <w:locked/>
    <w:rsid w:val="003255A2"/>
    <w:rPr>
      <w:rFonts w:ascii="Calibri" w:eastAsia="Calibri" w:hAnsi="Calibri" w:cs="Calibri"/>
      <w:lang w:eastAsia="en-US"/>
    </w:rPr>
  </w:style>
  <w:style w:type="paragraph" w:customStyle="1" w:styleId="Odstavecseseznamem4">
    <w:name w:val="Odstavec se seznamem4"/>
    <w:basedOn w:val="Normln"/>
    <w:uiPriority w:val="99"/>
    <w:qFormat/>
    <w:rsid w:val="003255A2"/>
    <w:pPr>
      <w:ind w:left="720"/>
      <w:jc w:val="left"/>
    </w:pPr>
    <w:rPr>
      <w:rFonts w:ascii="Calibri" w:eastAsia="Calibri" w:hAnsi="Calibri" w:cs="Calibri"/>
    </w:rPr>
  </w:style>
  <w:style w:type="paragraph" w:customStyle="1" w:styleId="Standardntext">
    <w:name w:val="Standardní text"/>
    <w:basedOn w:val="Normln"/>
    <w:link w:val="StandardntextChar"/>
    <w:qFormat/>
    <w:rsid w:val="003255A2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StandardntextChar">
    <w:name w:val="Standardní text Char"/>
    <w:link w:val="Standardntext"/>
    <w:rsid w:val="003255A2"/>
    <w:rPr>
      <w:rFonts w:ascii="Times New Roman" w:eastAsia="Times New Roman" w:hAnsi="Times New Roman" w:cs="Calibri"/>
      <w:sz w:val="24"/>
      <w:szCs w:val="24"/>
    </w:rPr>
  </w:style>
  <w:style w:type="paragraph" w:customStyle="1" w:styleId="Modrnadpis">
    <w:name w:val="Modrý nadpis"/>
    <w:basedOn w:val="Nadpis4"/>
    <w:link w:val="ModrnadpisChar"/>
    <w:qFormat/>
    <w:rsid w:val="003255A2"/>
    <w:pPr>
      <w:spacing w:before="240" w:after="120"/>
      <w:ind w:left="862" w:hanging="862"/>
    </w:pPr>
    <w:rPr>
      <w:rFonts w:ascii="Times New Roman" w:eastAsia="Times New Roman" w:hAnsi="Times New Roman" w:cs="Times New Roman"/>
      <w:i w:val="0"/>
      <w:color w:val="548DD4"/>
      <w:szCs w:val="20"/>
    </w:rPr>
  </w:style>
  <w:style w:type="character" w:customStyle="1" w:styleId="ModrnadpisChar">
    <w:name w:val="Modrý nadpis Char"/>
    <w:link w:val="Modrnadpis"/>
    <w:rsid w:val="003255A2"/>
    <w:rPr>
      <w:rFonts w:ascii="Times New Roman" w:eastAsia="Times New Roman" w:hAnsi="Times New Roman" w:cs="Times New Roman"/>
      <w:b/>
      <w:bCs/>
      <w:iCs/>
      <w:color w:val="548DD4"/>
      <w:sz w:val="24"/>
      <w:szCs w:val="20"/>
    </w:rPr>
  </w:style>
  <w:style w:type="paragraph" w:customStyle="1" w:styleId="Odstavec">
    <w:name w:val="Odstavec"/>
    <w:basedOn w:val="Normln"/>
    <w:qFormat/>
    <w:rsid w:val="003255A2"/>
    <w:pPr>
      <w:spacing w:after="60"/>
    </w:pPr>
    <w:rPr>
      <w:rFonts w:asciiTheme="minorHAnsi" w:hAnsiTheme="minorHAnsi" w:cs="Times New Roman"/>
      <w:szCs w:val="24"/>
    </w:rPr>
  </w:style>
  <w:style w:type="paragraph" w:customStyle="1" w:styleId="text">
    <w:name w:val="text"/>
    <w:basedOn w:val="Normln"/>
    <w:qFormat/>
    <w:rsid w:val="003255A2"/>
    <w:pPr>
      <w:spacing w:before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ulka">
    <w:name w:val="Tabulka"/>
    <w:basedOn w:val="Normln"/>
    <w:link w:val="TabulkaChar"/>
    <w:qFormat/>
    <w:rsid w:val="003255A2"/>
    <w:pPr>
      <w:autoSpaceDE w:val="0"/>
      <w:autoSpaceDN w:val="0"/>
      <w:adjustRightInd w:val="0"/>
      <w:spacing w:before="60" w:after="60"/>
      <w:jc w:val="center"/>
    </w:pPr>
    <w:rPr>
      <w:rFonts w:ascii="Calibri" w:eastAsia="Times New Roman" w:hAnsi="Calibri" w:cs="Calibri"/>
    </w:rPr>
  </w:style>
  <w:style w:type="character" w:customStyle="1" w:styleId="TabulkaChar">
    <w:name w:val="Tabulka Char"/>
    <w:link w:val="Tabulka"/>
    <w:rsid w:val="003255A2"/>
    <w:rPr>
      <w:rFonts w:ascii="Calibri" w:eastAsia="Times New Roman" w:hAnsi="Calibri" w:cs="Calibri"/>
    </w:rPr>
  </w:style>
  <w:style w:type="character" w:styleId="Znakapoznpodarou">
    <w:name w:val="footnote reference"/>
    <w:basedOn w:val="Standardnpsmoodstavce"/>
    <w:uiPriority w:val="99"/>
    <w:semiHidden/>
    <w:unhideWhenUsed/>
    <w:rsid w:val="00E84B63"/>
    <w:rPr>
      <w:vertAlign w:val="superscript"/>
    </w:rPr>
  </w:style>
  <w:style w:type="paragraph" w:customStyle="1" w:styleId="Default">
    <w:name w:val="Default"/>
    <w:rsid w:val="00E84B6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E272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E272B"/>
    <w:rPr>
      <w:rFonts w:ascii="Palatino Linotype" w:hAnsi="Palatino Linotype"/>
    </w:rPr>
  </w:style>
  <w:style w:type="paragraph" w:styleId="Zpat">
    <w:name w:val="footer"/>
    <w:basedOn w:val="Normln"/>
    <w:link w:val="ZpatChar"/>
    <w:uiPriority w:val="99"/>
    <w:unhideWhenUsed/>
    <w:rsid w:val="000E272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E272B"/>
    <w:rPr>
      <w:rFonts w:ascii="Palatino Linotype" w:hAnsi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CFF50-5549-4BA6-A81C-A82A8DA92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1656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MZPCR</Company>
  <LinksUpToDate>false</LinksUpToDate>
  <CharactersWithSpaces>11410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Bláhová</dc:creator>
  <cp:keywords/>
  <dc:description/>
  <cp:lastModifiedBy>user</cp:lastModifiedBy>
  <cp:revision>27</cp:revision>
  <cp:lastPrinted>2014-06-17T12:45:00Z</cp:lastPrinted>
  <dcterms:created xsi:type="dcterms:W3CDTF">2014-06-17T12:41:00Z</dcterms:created>
  <dcterms:modified xsi:type="dcterms:W3CDTF">2014-12-09T11:30:00Z</dcterms:modified>
</cp:coreProperties>
</file>