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ADF0" w14:textId="696F829F" w:rsidR="00444B9F" w:rsidRPr="003B2E29" w:rsidRDefault="00444B9F" w:rsidP="00FC4CD4">
      <w:pPr>
        <w:spacing w:after="600"/>
        <w:jc w:val="right"/>
        <w:rPr>
          <w:rFonts w:ascii="Arial" w:eastAsia="Times New Roman" w:hAnsi="Arial" w:cs="Arial"/>
        </w:rPr>
      </w:pPr>
      <w:bookmarkStart w:id="0" w:name="_Toc426131458"/>
      <w:r w:rsidRPr="003B2E29">
        <w:rPr>
          <w:rFonts w:ascii="Arial" w:hAnsi="Arial" w:cs="Arial"/>
        </w:rPr>
        <w:t>III.</w:t>
      </w:r>
    </w:p>
    <w:p w14:paraId="2186C620" w14:textId="77777777" w:rsidR="009720AB" w:rsidRPr="003B2E29" w:rsidRDefault="009720AB" w:rsidP="00FC4CD4">
      <w:pPr>
        <w:pStyle w:val="Odstavecseseznamem1"/>
        <w:widowControl w:val="0"/>
        <w:autoSpaceDE w:val="0"/>
        <w:autoSpaceDN w:val="0"/>
        <w:adjustRightInd w:val="0"/>
        <w:spacing w:after="240"/>
        <w:ind w:left="0"/>
        <w:jc w:val="both"/>
        <w:outlineLvl w:val="1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>Příloha č. 2</w:t>
      </w:r>
    </w:p>
    <w:p w14:paraId="4A6B8FB8" w14:textId="77777777" w:rsidR="009720AB" w:rsidRPr="003B2E29" w:rsidRDefault="009720AB" w:rsidP="00FC4CD4">
      <w:pPr>
        <w:pStyle w:val="Odstavecseseznamem1"/>
        <w:widowControl w:val="0"/>
        <w:autoSpaceDE w:val="0"/>
        <w:autoSpaceDN w:val="0"/>
        <w:adjustRightInd w:val="0"/>
        <w:spacing w:after="240"/>
        <w:ind w:left="0"/>
        <w:jc w:val="both"/>
        <w:outlineLvl w:val="1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>Věcný záměr hlavních legislativních úprav nezbytných pro uskutečnění přechodu zemského digitálního televizního vysílání ze standardu DVB-T na standard DVB-T2</w:t>
      </w:r>
      <w:bookmarkEnd w:id="0"/>
      <w:r w:rsidRPr="003B2E29">
        <w:rPr>
          <w:rFonts w:ascii="Arial" w:hAnsi="Arial" w:cs="Arial"/>
          <w:b/>
        </w:rPr>
        <w:t xml:space="preserve"> </w:t>
      </w:r>
    </w:p>
    <w:p w14:paraId="1B75545F" w14:textId="7EA30550" w:rsidR="009720AB" w:rsidRPr="003B2E29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Dne 3. června 2015 přijala vláda usnesení č. 421, kterým schválila Strategii správy rádiového spektra („</w:t>
      </w:r>
      <w:r w:rsidRPr="003B2E29">
        <w:rPr>
          <w:rFonts w:ascii="Arial" w:hAnsi="Arial" w:cs="Arial"/>
          <w:b/>
        </w:rPr>
        <w:t>Strategie správy spektra</w:t>
      </w:r>
      <w:r w:rsidRPr="003B2E29">
        <w:rPr>
          <w:rFonts w:ascii="Arial" w:hAnsi="Arial" w:cs="Arial"/>
        </w:rPr>
        <w:t>“). Tímto usnesením vláda dále mimo jiné uložila ministru průmyslu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obchodu:</w:t>
      </w:r>
    </w:p>
    <w:p w14:paraId="1B776AED" w14:textId="50455CFD" w:rsidR="009720AB" w:rsidRPr="003B2E29" w:rsidRDefault="009720AB" w:rsidP="00FC4CD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Zpracovat ve spolupráci s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ministrem kultury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předsedy Rady ČTÚ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Rady pro rozhlasové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televizní vysílání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vládě do 31. prosince 2015 předložit návrh dalšího rozvoje zemského televizního vysílání („</w:t>
      </w:r>
      <w:r w:rsidRPr="003B2E29">
        <w:rPr>
          <w:rFonts w:ascii="Arial" w:hAnsi="Arial" w:cs="Arial"/>
          <w:b/>
        </w:rPr>
        <w:t>DTT</w:t>
      </w:r>
      <w:r w:rsidRPr="003B2E29">
        <w:rPr>
          <w:rFonts w:ascii="Arial" w:hAnsi="Arial" w:cs="Arial"/>
        </w:rPr>
        <w:t>“), včetně postupu přechodu DTT na vyšší technologický standard DVB-T2 („</w:t>
      </w:r>
      <w:r w:rsidRPr="003B2E29">
        <w:rPr>
          <w:rFonts w:ascii="Arial" w:hAnsi="Arial" w:cs="Arial"/>
          <w:b/>
        </w:rPr>
        <w:t>Přechod na DVB-T2</w:t>
      </w:r>
      <w:r w:rsidRPr="003B2E29">
        <w:rPr>
          <w:rFonts w:ascii="Arial" w:hAnsi="Arial" w:cs="Arial"/>
        </w:rPr>
        <w:t>“), se zohledněním problematiky dalšího využívání kmitočtů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pásmu 700 MHz („</w:t>
      </w:r>
      <w:r w:rsidRPr="003B2E29">
        <w:rPr>
          <w:rFonts w:ascii="Arial" w:hAnsi="Arial" w:cs="Arial"/>
          <w:b/>
        </w:rPr>
        <w:t>Strategie</w:t>
      </w:r>
      <w:r w:rsidRPr="003B2E29">
        <w:rPr>
          <w:rFonts w:ascii="Arial" w:hAnsi="Arial" w:cs="Arial"/>
        </w:rPr>
        <w:t>“).</w:t>
      </w:r>
      <w:r w:rsidR="00AD5849">
        <w:rPr>
          <w:rFonts w:ascii="Arial" w:hAnsi="Arial" w:cs="Arial"/>
        </w:rPr>
        <w:t xml:space="preserve"> </w:t>
      </w:r>
    </w:p>
    <w:p w14:paraId="35FB46E2" w14:textId="149BBAC5" w:rsidR="005330FC" w:rsidRPr="003B2E29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 w:rsidRPr="003B2E29">
        <w:rPr>
          <w:rFonts w:ascii="Arial" w:hAnsi="Arial" w:cs="Arial"/>
        </w:rPr>
        <w:t>Zajištění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 xml:space="preserve">implementace procesu Přechodu na DVB-T2 si vyžádá </w:t>
      </w:r>
      <w:r w:rsidR="00A45379" w:rsidRPr="003B2E29">
        <w:rPr>
          <w:rFonts w:ascii="Arial" w:hAnsi="Arial" w:cs="Arial"/>
          <w:bCs/>
        </w:rPr>
        <w:t xml:space="preserve">aktualizaci </w:t>
      </w:r>
      <w:r w:rsidRPr="003B2E29">
        <w:rPr>
          <w:rFonts w:ascii="Arial" w:hAnsi="Arial" w:cs="Arial"/>
          <w:bCs/>
        </w:rPr>
        <w:t>p</w:t>
      </w:r>
      <w:r w:rsidR="005330FC" w:rsidRPr="003B2E29">
        <w:rPr>
          <w:rFonts w:ascii="Arial" w:hAnsi="Arial" w:cs="Arial"/>
          <w:bCs/>
        </w:rPr>
        <w:t>latného</w:t>
      </w:r>
      <w:r w:rsidRPr="003B2E29">
        <w:rPr>
          <w:rFonts w:ascii="Arial" w:hAnsi="Arial" w:cs="Arial"/>
        </w:rPr>
        <w:t xml:space="preserve"> </w:t>
      </w:r>
      <w:r w:rsidR="003B2E29">
        <w:rPr>
          <w:rFonts w:ascii="Arial" w:hAnsi="Arial" w:cs="Arial"/>
        </w:rPr>
        <w:t>právního</w:t>
      </w:r>
      <w:r w:rsidRPr="003B2E29">
        <w:rPr>
          <w:rFonts w:ascii="Arial" w:hAnsi="Arial" w:cs="Arial"/>
        </w:rPr>
        <w:t xml:space="preserve"> rámce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s tím související novelizaci dotčených právních předpisů</w:t>
      </w:r>
      <w:r w:rsidR="004B579A" w:rsidRPr="004B579A">
        <w:rPr>
          <w:rFonts w:ascii="Arial" w:hAnsi="Arial" w:cs="Arial"/>
        </w:rPr>
        <w:t>, která proběhne ve dvou fázích.</w:t>
      </w:r>
      <w:r w:rsidRPr="003B2E29">
        <w:rPr>
          <w:rFonts w:ascii="Arial" w:hAnsi="Arial" w:cs="Arial"/>
        </w:rPr>
        <w:t xml:space="preserve"> </w:t>
      </w:r>
    </w:p>
    <w:p w14:paraId="7156961C" w14:textId="77777777" w:rsidR="00863D75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 w:rsidRPr="003B2E29">
        <w:rPr>
          <w:rFonts w:ascii="Arial" w:hAnsi="Arial" w:cs="Arial"/>
        </w:rPr>
        <w:t>Z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hlediska zajištění</w:t>
      </w:r>
      <w:r w:rsidR="003B2E29">
        <w:rPr>
          <w:rFonts w:ascii="Arial" w:hAnsi="Arial" w:cs="Arial"/>
        </w:rPr>
        <w:t xml:space="preserve"> </w:t>
      </w:r>
      <w:r w:rsidRPr="003B2E29">
        <w:rPr>
          <w:rFonts w:ascii="Arial" w:hAnsi="Arial" w:cs="Arial"/>
        </w:rPr>
        <w:t xml:space="preserve">právní jistoty pro subjekty, které se budou procesu Přechodu na DVB-T2 účastnit či které budou tímto procesem zasaženy, </w:t>
      </w:r>
      <w:r w:rsidRPr="003B2E29">
        <w:rPr>
          <w:rFonts w:ascii="Arial" w:hAnsi="Arial" w:cs="Arial"/>
          <w:bCs/>
        </w:rPr>
        <w:t>doporučuje</w:t>
      </w:r>
      <w:r w:rsidR="00524FFC" w:rsidRPr="003B2E29">
        <w:rPr>
          <w:rFonts w:ascii="Arial" w:hAnsi="Arial" w:cs="Arial"/>
          <w:bCs/>
        </w:rPr>
        <w:t xml:space="preserve"> Strategie rozvoje DTT</w:t>
      </w:r>
      <w:r w:rsidRPr="003B2E29">
        <w:rPr>
          <w:rFonts w:ascii="Arial" w:hAnsi="Arial" w:cs="Arial"/>
        </w:rPr>
        <w:t xml:space="preserve"> zakotvit základní právní rámec Přechodu na DVB-T2 do digitální novely</w:t>
      </w:r>
      <w:r w:rsidR="00BF1761" w:rsidRPr="003B2E29">
        <w:rPr>
          <w:rFonts w:ascii="Arial" w:hAnsi="Arial" w:cs="Arial"/>
        </w:rPr>
        <w:t xml:space="preserve"> dotčených zákonů</w:t>
      </w:r>
      <w:r w:rsidRPr="003B2E29">
        <w:rPr>
          <w:rFonts w:ascii="Arial" w:hAnsi="Arial" w:cs="Arial"/>
        </w:rPr>
        <w:t xml:space="preserve"> („</w:t>
      </w:r>
      <w:r w:rsidRPr="003B2E29">
        <w:rPr>
          <w:rFonts w:ascii="Arial" w:hAnsi="Arial" w:cs="Arial"/>
          <w:b/>
        </w:rPr>
        <w:t>Diginovela</w:t>
      </w:r>
      <w:r w:rsidRPr="003B2E29">
        <w:rPr>
          <w:rFonts w:ascii="Arial" w:hAnsi="Arial" w:cs="Arial"/>
        </w:rPr>
        <w:t>“), kter</w:t>
      </w:r>
      <w:r w:rsidR="00863D75">
        <w:rPr>
          <w:rFonts w:ascii="Arial" w:hAnsi="Arial" w:cs="Arial"/>
        </w:rPr>
        <w:t>á</w:t>
      </w:r>
      <w:r w:rsidRPr="003B2E29">
        <w:rPr>
          <w:rFonts w:ascii="Arial" w:hAnsi="Arial" w:cs="Arial"/>
        </w:rPr>
        <w:t xml:space="preserve"> vymezí základní podmínky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principy procesu Přechodu na DVB-T2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udělí potřebná zákonná zmocnění pro vydání či úpravu nezbytných podzákonných předpisů</w:t>
      </w:r>
      <w:r w:rsidR="00BF1761" w:rsidRPr="003B2E29">
        <w:rPr>
          <w:rFonts w:ascii="Arial" w:hAnsi="Arial" w:cs="Arial"/>
        </w:rPr>
        <w:t xml:space="preserve">, tj. </w:t>
      </w:r>
      <w:r w:rsidRPr="003B2E29">
        <w:rPr>
          <w:rFonts w:ascii="Arial" w:hAnsi="Arial" w:cs="Arial"/>
        </w:rPr>
        <w:t>provede novelizaci příslušných souvisejících zákonů</w:t>
      </w:r>
      <w:r w:rsidR="00524FFC" w:rsidRPr="003B2E29">
        <w:rPr>
          <w:rFonts w:ascii="Arial" w:hAnsi="Arial" w:cs="Arial"/>
          <w:bCs/>
        </w:rPr>
        <w:t xml:space="preserve">. </w:t>
      </w:r>
    </w:p>
    <w:p w14:paraId="05841277" w14:textId="669E1770" w:rsidR="00863D75" w:rsidRPr="00863D75" w:rsidRDefault="00863D75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 w:rsidRPr="00863D75">
        <w:rPr>
          <w:rFonts w:ascii="Arial" w:hAnsi="Arial" w:cs="Arial"/>
          <w:bCs/>
        </w:rPr>
        <w:t>V první fázi (viz Návrh usnesení vlády) budou tedy předloženy návrhy změn, zajišťující právní rámec nutných opatření Přechodu (jedná se zejména o novelu zákona č. 127/2005 Sb., o elektronických komunikacích a o změně některých souvisejících zákonů (zákon o elektronických komunikacích), ve znění pozdějších předpisů).</w:t>
      </w:r>
    </w:p>
    <w:p w14:paraId="13710D4C" w14:textId="276ECBB3" w:rsidR="00863D75" w:rsidRDefault="00863D75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 w:rsidRPr="00863D75">
        <w:rPr>
          <w:rFonts w:ascii="Arial" w:hAnsi="Arial" w:cs="Arial"/>
          <w:bCs/>
        </w:rPr>
        <w:t>Ve druhé fázi (zejména v návaznosti na výsledek mezinárodní koordinace vysílacích sítí) budou předloženy změny příslušné právní úpravy, týkající se rozvoje DTT po realizaci procesu Přechodu</w:t>
      </w:r>
      <w:r w:rsidR="00EF675B">
        <w:rPr>
          <w:rStyle w:val="Znakapoznpodarou"/>
          <w:rFonts w:ascii="Arial" w:hAnsi="Arial"/>
          <w:bCs/>
        </w:rPr>
        <w:footnoteReference w:id="2"/>
      </w:r>
      <w:r w:rsidRPr="00863D75">
        <w:rPr>
          <w:rFonts w:ascii="Arial" w:hAnsi="Arial" w:cs="Arial"/>
          <w:bCs/>
        </w:rPr>
        <w:t>. Obecně půjde zejména o Zákon o elektronických komunikacích a zákon č.</w:t>
      </w:r>
      <w:r>
        <w:rPr>
          <w:rFonts w:ascii="Arial" w:hAnsi="Arial" w:cs="Arial"/>
          <w:bCs/>
        </w:rPr>
        <w:t> </w:t>
      </w:r>
      <w:r w:rsidRPr="00863D75">
        <w:rPr>
          <w:rFonts w:ascii="Arial" w:hAnsi="Arial" w:cs="Arial"/>
          <w:bCs/>
        </w:rPr>
        <w:t>483/1991 Sb. o České televizi, ve znění pozdějších předpisů („Zákon o České televizi“).</w:t>
      </w:r>
    </w:p>
    <w:p w14:paraId="789AB71C" w14:textId="77777777" w:rsidR="009720AB" w:rsidRPr="003B2E29" w:rsidRDefault="009720AB" w:rsidP="00FC4CD4">
      <w:pPr>
        <w:pStyle w:val="Odstavecseseznamem1"/>
        <w:numPr>
          <w:ilvl w:val="6"/>
          <w:numId w:val="2"/>
        </w:numPr>
        <w:spacing w:after="240"/>
        <w:ind w:left="720" w:hanging="720"/>
        <w:jc w:val="both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 xml:space="preserve">Hlavní cíle legislativních úprav </w:t>
      </w:r>
    </w:p>
    <w:p w14:paraId="626F93D2" w14:textId="3B4BC644" w:rsidR="009720AB" w:rsidRPr="003B2E29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Hlavní</w:t>
      </w:r>
      <w:r w:rsidRPr="003B2E29">
        <w:rPr>
          <w:rFonts w:ascii="Arial" w:hAnsi="Arial" w:cs="Arial"/>
          <w:bCs/>
        </w:rPr>
        <w:t xml:space="preserve"> </w:t>
      </w:r>
      <w:r w:rsidR="00A45379" w:rsidRPr="003B2E29">
        <w:rPr>
          <w:rFonts w:ascii="Arial" w:hAnsi="Arial" w:cs="Arial"/>
          <w:bCs/>
        </w:rPr>
        <w:t>věcné</w:t>
      </w:r>
      <w:r w:rsidRPr="003B2E29">
        <w:rPr>
          <w:rFonts w:ascii="Arial" w:hAnsi="Arial" w:cs="Arial"/>
        </w:rPr>
        <w:t xml:space="preserve"> cíle, které je nutno prostřednictvím legislativního rámce vytvořeného pro účely realizace Přechodu na DVB-T2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v návaznosti na Strategii správy spektra a</w:t>
      </w:r>
      <w:r w:rsidR="0018674B" w:rsidRPr="003B2E29">
        <w:rPr>
          <w:rFonts w:ascii="Arial" w:hAnsi="Arial" w:cs="Arial"/>
          <w:bCs/>
        </w:rPr>
        <w:t> </w:t>
      </w:r>
      <w:r w:rsidRPr="003B2E29">
        <w:rPr>
          <w:rFonts w:ascii="Arial" w:hAnsi="Arial" w:cs="Arial"/>
        </w:rPr>
        <w:t>Strategii zajistit, zahrnují zejména následující:</w:t>
      </w:r>
    </w:p>
    <w:p w14:paraId="6D86D9CB" w14:textId="6AE62A1C" w:rsidR="009720AB" w:rsidRPr="003B2E29" w:rsidRDefault="009720AB" w:rsidP="00FC4CD4">
      <w:pPr>
        <w:numPr>
          <w:ilvl w:val="0"/>
          <w:numId w:val="34"/>
        </w:numPr>
        <w:tabs>
          <w:tab w:val="clear" w:pos="720"/>
        </w:tabs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Zajištění dlouhodobé garance využití kmitočtového pásma 470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694 MHz („</w:t>
      </w:r>
      <w:r w:rsidRPr="003B2E29">
        <w:rPr>
          <w:rFonts w:ascii="Arial" w:hAnsi="Arial" w:cs="Arial"/>
          <w:b/>
        </w:rPr>
        <w:t>Pásmo 500/600 MHz</w:t>
      </w:r>
      <w:r w:rsidRPr="003B2E29">
        <w:rPr>
          <w:rFonts w:ascii="Arial" w:hAnsi="Arial" w:cs="Arial"/>
        </w:rPr>
        <w:t>“) pro výhradní účely šíření DTT</w:t>
      </w:r>
      <w:r w:rsidR="00F50A7C" w:rsidRPr="003B2E29">
        <w:rPr>
          <w:rFonts w:ascii="Arial" w:hAnsi="Arial" w:cs="Arial"/>
        </w:rPr>
        <w:t>. V souladu se závěry WRC 2015</w:t>
      </w:r>
      <w:r w:rsidRPr="003B2E29">
        <w:rPr>
          <w:rFonts w:ascii="Arial" w:hAnsi="Arial" w:cs="Arial"/>
        </w:rPr>
        <w:t xml:space="preserve"> </w:t>
      </w:r>
      <w:r w:rsidR="00F50A7C" w:rsidRPr="003B2E29">
        <w:rPr>
          <w:rFonts w:ascii="Arial" w:hAnsi="Arial" w:cs="Arial"/>
        </w:rPr>
        <w:t xml:space="preserve">by mělo </w:t>
      </w:r>
      <w:r w:rsidR="00F50A7C" w:rsidRPr="003B2E29">
        <w:rPr>
          <w:rFonts w:ascii="Arial" w:hAnsi="Arial" w:cs="Arial"/>
        </w:rPr>
        <w:lastRenderedPageBreak/>
        <w:t xml:space="preserve">být pásmo garantováno </w:t>
      </w:r>
      <w:r w:rsidR="00817CF3" w:rsidRPr="003B2E29">
        <w:rPr>
          <w:rFonts w:ascii="Arial" w:hAnsi="Arial" w:cs="Arial"/>
        </w:rPr>
        <w:t xml:space="preserve">a plně využito pro DTT </w:t>
      </w:r>
      <w:r w:rsidR="00F50A7C" w:rsidRPr="003B2E29">
        <w:rPr>
          <w:rFonts w:ascii="Arial" w:hAnsi="Arial" w:cs="Arial"/>
        </w:rPr>
        <w:t>ve veřejném</w:t>
      </w:r>
      <w:r w:rsidR="005D29F3" w:rsidRPr="003B2E29">
        <w:rPr>
          <w:rFonts w:ascii="Arial" w:hAnsi="Arial" w:cs="Arial"/>
        </w:rPr>
        <w:t xml:space="preserve"> zájmu</w:t>
      </w:r>
      <w:r w:rsidR="00F50A7C" w:rsidRPr="003B2E29">
        <w:rPr>
          <w:rFonts w:ascii="Arial" w:hAnsi="Arial" w:cs="Arial"/>
        </w:rPr>
        <w:t xml:space="preserve"> </w:t>
      </w:r>
      <w:r w:rsidR="00607F11" w:rsidRPr="003B2E29">
        <w:rPr>
          <w:rFonts w:ascii="Arial" w:hAnsi="Arial" w:cs="Arial"/>
        </w:rPr>
        <w:t xml:space="preserve">nejméně do </w:t>
      </w:r>
      <w:r w:rsidR="00F50A7C" w:rsidRPr="003B2E29">
        <w:rPr>
          <w:rFonts w:ascii="Arial" w:hAnsi="Arial" w:cs="Arial"/>
        </w:rPr>
        <w:t xml:space="preserve">roku </w:t>
      </w:r>
      <w:r w:rsidR="00607F11" w:rsidRPr="003B2E29">
        <w:rPr>
          <w:rFonts w:ascii="Arial" w:hAnsi="Arial" w:cs="Arial"/>
        </w:rPr>
        <w:t>203</w:t>
      </w:r>
      <w:r w:rsidR="005D6104" w:rsidRPr="003B2E29">
        <w:rPr>
          <w:rFonts w:ascii="Arial" w:hAnsi="Arial" w:cs="Arial"/>
        </w:rPr>
        <w:t xml:space="preserve">0, k tomu budou </w:t>
      </w:r>
      <w:r w:rsidR="00E45CCB" w:rsidRPr="003B2E29">
        <w:rPr>
          <w:rFonts w:ascii="Arial" w:hAnsi="Arial" w:cs="Arial"/>
        </w:rPr>
        <w:t xml:space="preserve">(mimo novely Národní kmitočtové tabulky a příslušné přílohy plánu využití rádiového spektra) </w:t>
      </w:r>
      <w:r w:rsidR="005D6104" w:rsidRPr="003B2E29">
        <w:rPr>
          <w:rFonts w:ascii="Arial" w:hAnsi="Arial" w:cs="Arial"/>
        </w:rPr>
        <w:t xml:space="preserve">v tomto pásmu </w:t>
      </w:r>
      <w:r w:rsidR="00564947" w:rsidRPr="003B2E29">
        <w:rPr>
          <w:rFonts w:ascii="Arial" w:hAnsi="Arial" w:cs="Arial"/>
        </w:rPr>
        <w:t>po dokončení Přechodu na DVB</w:t>
      </w:r>
      <w:r w:rsidR="00614938" w:rsidRPr="003B2E29">
        <w:rPr>
          <w:rFonts w:ascii="Arial" w:hAnsi="Arial" w:cs="Arial"/>
        </w:rPr>
        <w:t>-</w:t>
      </w:r>
      <w:r w:rsidR="00564947" w:rsidRPr="003B2E29">
        <w:rPr>
          <w:rFonts w:ascii="Arial" w:hAnsi="Arial" w:cs="Arial"/>
        </w:rPr>
        <w:t xml:space="preserve">T2 </w:t>
      </w:r>
      <w:r w:rsidR="00E45CCB" w:rsidRPr="003B2E29">
        <w:rPr>
          <w:rFonts w:ascii="Arial" w:hAnsi="Arial" w:cs="Arial"/>
        </w:rPr>
        <w:t xml:space="preserve">sestaveny </w:t>
      </w:r>
      <w:r w:rsidR="00614938" w:rsidRPr="003B2E29">
        <w:rPr>
          <w:rFonts w:ascii="Arial" w:hAnsi="Arial" w:cs="Arial"/>
        </w:rPr>
        <w:t xml:space="preserve">a </w:t>
      </w:r>
      <w:r w:rsidR="005D6104" w:rsidRPr="003B2E29">
        <w:rPr>
          <w:rFonts w:ascii="Arial" w:hAnsi="Arial" w:cs="Arial"/>
        </w:rPr>
        <w:t xml:space="preserve">realizovány nejméně 2 nové </w:t>
      </w:r>
      <w:r w:rsidR="005330FC" w:rsidRPr="003B2E29">
        <w:rPr>
          <w:rFonts w:ascii="Arial" w:hAnsi="Arial" w:cs="Arial"/>
        </w:rPr>
        <w:t xml:space="preserve">celoplošné </w:t>
      </w:r>
      <w:r w:rsidR="005D6104" w:rsidRPr="003B2E29">
        <w:rPr>
          <w:rFonts w:ascii="Arial" w:hAnsi="Arial" w:cs="Arial"/>
        </w:rPr>
        <w:t xml:space="preserve">sítě DTT, </w:t>
      </w:r>
      <w:r w:rsidR="00564947" w:rsidRPr="003B2E29">
        <w:rPr>
          <w:rFonts w:ascii="Arial" w:hAnsi="Arial" w:cs="Arial"/>
        </w:rPr>
        <w:t>umožňující</w:t>
      </w:r>
      <w:r w:rsidR="005D6104" w:rsidRPr="003B2E29">
        <w:rPr>
          <w:rFonts w:ascii="Arial" w:hAnsi="Arial" w:cs="Arial"/>
        </w:rPr>
        <w:t xml:space="preserve"> rozvoj </w:t>
      </w:r>
      <w:r w:rsidR="00564947" w:rsidRPr="003B2E29">
        <w:rPr>
          <w:rFonts w:ascii="Arial" w:hAnsi="Arial" w:cs="Arial"/>
        </w:rPr>
        <w:t xml:space="preserve">této </w:t>
      </w:r>
      <w:r w:rsidR="005D6104" w:rsidRPr="003B2E29">
        <w:rPr>
          <w:rFonts w:ascii="Arial" w:hAnsi="Arial" w:cs="Arial"/>
        </w:rPr>
        <w:t>platformy v souladu s veřejným zájmem</w:t>
      </w:r>
      <w:r w:rsidR="00BA5BC2" w:rsidRPr="003B2E29">
        <w:rPr>
          <w:rFonts w:ascii="Arial" w:hAnsi="Arial" w:cs="Arial"/>
        </w:rPr>
        <w:t xml:space="preserve"> a zajišťující efektivní využití celého disponibilního spektra v pásmu 470</w:t>
      </w:r>
      <w:r w:rsidR="003B2E29">
        <w:rPr>
          <w:rFonts w:ascii="Arial" w:hAnsi="Arial" w:cs="Arial"/>
        </w:rPr>
        <w:t xml:space="preserve"> – </w:t>
      </w:r>
      <w:r w:rsidR="00BA5BC2" w:rsidRPr="003B2E29">
        <w:rPr>
          <w:rFonts w:ascii="Arial" w:hAnsi="Arial" w:cs="Arial"/>
        </w:rPr>
        <w:t>694 MHz pro DTT</w:t>
      </w:r>
      <w:r w:rsidR="005D6104" w:rsidRPr="003B2E29">
        <w:rPr>
          <w:rFonts w:ascii="Arial" w:hAnsi="Arial" w:cs="Arial"/>
        </w:rPr>
        <w:t>.</w:t>
      </w:r>
    </w:p>
    <w:p w14:paraId="695E4046" w14:textId="1260819D" w:rsidR="009720AB" w:rsidRPr="003B2E29" w:rsidRDefault="009720AB" w:rsidP="00B64008">
      <w:pPr>
        <w:numPr>
          <w:ilvl w:val="0"/>
          <w:numId w:val="34"/>
        </w:numPr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 xml:space="preserve">Sestavení </w:t>
      </w:r>
      <w:r w:rsidR="00B64008" w:rsidRPr="00B64008">
        <w:rPr>
          <w:rFonts w:ascii="Arial" w:hAnsi="Arial" w:cs="Arial"/>
        </w:rPr>
        <w:t>dvou celoplošných přechodových sítí a přechodové sítě pro regionální vysílání, tj. tranzitních (dočasných) sítí elektronických komunikací pro účely</w:t>
      </w:r>
      <w:r w:rsidRPr="003B2E29">
        <w:rPr>
          <w:rFonts w:ascii="Arial" w:hAnsi="Arial" w:cs="Arial"/>
        </w:rPr>
        <w:t xml:space="preserve"> </w:t>
      </w:r>
      <w:r w:rsidR="005330FC" w:rsidRPr="003B2E29">
        <w:rPr>
          <w:rFonts w:ascii="Arial" w:hAnsi="Arial" w:cs="Arial"/>
        </w:rPr>
        <w:t xml:space="preserve">simultánního </w:t>
      </w:r>
      <w:r w:rsidRPr="003B2E29">
        <w:rPr>
          <w:rFonts w:ascii="Arial" w:hAnsi="Arial" w:cs="Arial"/>
        </w:rPr>
        <w:t>šíření DTT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novém spektrálně efektivnějším standardu DVB-T2/HEV</w:t>
      </w:r>
      <w:r w:rsidR="0018674B" w:rsidRPr="003B2E29">
        <w:rPr>
          <w:rFonts w:ascii="Arial" w:hAnsi="Arial" w:cs="Arial"/>
        </w:rPr>
        <w:t xml:space="preserve">C na bázi SFN (Single Frequency </w:t>
      </w:r>
      <w:r w:rsidRPr="003B2E29">
        <w:rPr>
          <w:rFonts w:ascii="Arial" w:hAnsi="Arial" w:cs="Arial"/>
        </w:rPr>
        <w:t>Network) („</w:t>
      </w:r>
      <w:r w:rsidRPr="003B2E29">
        <w:rPr>
          <w:rFonts w:ascii="Arial" w:hAnsi="Arial" w:cs="Arial"/>
          <w:b/>
        </w:rPr>
        <w:t>Přechodové sítě</w:t>
      </w:r>
      <w:r w:rsidRPr="003B2E29">
        <w:rPr>
          <w:rFonts w:ascii="Arial" w:hAnsi="Arial" w:cs="Arial"/>
        </w:rPr>
        <w:t>“) na základě stávajících vysílacích stanovišť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přidělení příslušných rádiových kmitočtů </w:t>
      </w:r>
      <w:r w:rsidR="00FD5FEE" w:rsidRPr="003B2E29">
        <w:rPr>
          <w:rFonts w:ascii="Arial" w:hAnsi="Arial" w:cs="Arial"/>
        </w:rPr>
        <w:t xml:space="preserve">(individuální oprávnění) </w:t>
      </w:r>
      <w:r w:rsidRPr="003B2E29">
        <w:rPr>
          <w:rFonts w:ascii="Arial" w:hAnsi="Arial" w:cs="Arial"/>
        </w:rPr>
        <w:t>pro účely výstavby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provozování těchto Přechodových sítí</w:t>
      </w:r>
      <w:r w:rsidR="005330FC" w:rsidRPr="003B2E29">
        <w:rPr>
          <w:rFonts w:ascii="Arial" w:hAnsi="Arial" w:cs="Arial"/>
        </w:rPr>
        <w:t>. Cí</w:t>
      </w:r>
      <w:r w:rsidRPr="003B2E29">
        <w:rPr>
          <w:rFonts w:ascii="Arial" w:hAnsi="Arial" w:cs="Arial"/>
        </w:rPr>
        <w:t xml:space="preserve">lem </w:t>
      </w:r>
      <w:r w:rsidR="005330FC" w:rsidRPr="003B2E29">
        <w:rPr>
          <w:rFonts w:ascii="Arial" w:hAnsi="Arial" w:cs="Arial"/>
        </w:rPr>
        <w:t>je</w:t>
      </w:r>
      <w:r w:rsidRPr="003B2E29">
        <w:rPr>
          <w:rFonts w:ascii="Arial" w:hAnsi="Arial" w:cs="Arial"/>
        </w:rPr>
        <w:t xml:space="preserve"> umožnit souběžné šíření DTT ve standardu</w:t>
      </w:r>
      <w:r w:rsidR="00B64008">
        <w:rPr>
          <w:rFonts w:ascii="Arial" w:hAnsi="Arial" w:cs="Arial"/>
        </w:rPr>
        <w:t xml:space="preserve"> </w:t>
      </w:r>
      <w:r w:rsidRPr="003B2E29">
        <w:rPr>
          <w:rFonts w:ascii="Arial" w:hAnsi="Arial" w:cs="Arial"/>
        </w:rPr>
        <w:t>DVB-T/MPEG-2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DVB-T2/HEVC („</w:t>
      </w:r>
      <w:r w:rsidRPr="003B2E29">
        <w:rPr>
          <w:rFonts w:ascii="Arial" w:hAnsi="Arial" w:cs="Arial"/>
          <w:b/>
        </w:rPr>
        <w:t>Souběžné vysílání</w:t>
      </w:r>
      <w:r w:rsidRPr="003B2E29">
        <w:rPr>
          <w:rFonts w:ascii="Arial" w:hAnsi="Arial" w:cs="Arial"/>
        </w:rPr>
        <w:t xml:space="preserve">“) od poloviny roku 2016. </w:t>
      </w:r>
      <w:r w:rsidR="00821FA1" w:rsidRPr="003B2E29">
        <w:rPr>
          <w:rFonts w:ascii="Arial" w:hAnsi="Arial" w:cs="Arial"/>
        </w:rPr>
        <w:t>V</w:t>
      </w:r>
      <w:r w:rsidR="0018674B" w:rsidRPr="003B2E29">
        <w:rPr>
          <w:rFonts w:ascii="Arial" w:hAnsi="Arial" w:cs="Arial"/>
        </w:rPr>
        <w:t> </w:t>
      </w:r>
      <w:r w:rsidR="00821FA1" w:rsidRPr="003B2E29">
        <w:rPr>
          <w:rFonts w:ascii="Arial" w:hAnsi="Arial" w:cs="Arial"/>
        </w:rPr>
        <w:t xml:space="preserve">případě možnosti </w:t>
      </w:r>
      <w:r w:rsidR="00614938" w:rsidRPr="003B2E29">
        <w:rPr>
          <w:rFonts w:ascii="Arial" w:hAnsi="Arial" w:cs="Arial"/>
        </w:rPr>
        <w:t xml:space="preserve">bude </w:t>
      </w:r>
      <w:r w:rsidR="00821FA1" w:rsidRPr="003B2E29">
        <w:rPr>
          <w:rFonts w:ascii="Arial" w:hAnsi="Arial" w:cs="Arial"/>
        </w:rPr>
        <w:t>sestav</w:t>
      </w:r>
      <w:r w:rsidR="00614938" w:rsidRPr="003B2E29">
        <w:rPr>
          <w:rFonts w:ascii="Arial" w:hAnsi="Arial" w:cs="Arial"/>
        </w:rPr>
        <w:t>ena</w:t>
      </w:r>
      <w:r w:rsidR="00821FA1" w:rsidRPr="003B2E29">
        <w:rPr>
          <w:rFonts w:ascii="Arial" w:hAnsi="Arial" w:cs="Arial"/>
        </w:rPr>
        <w:t xml:space="preserve"> i</w:t>
      </w:r>
      <w:r w:rsidR="0018674B" w:rsidRPr="003B2E29">
        <w:rPr>
          <w:rFonts w:ascii="Arial" w:hAnsi="Arial" w:cs="Arial"/>
        </w:rPr>
        <w:t> </w:t>
      </w:r>
      <w:r w:rsidR="00821FA1" w:rsidRPr="003B2E29">
        <w:rPr>
          <w:rFonts w:ascii="Arial" w:hAnsi="Arial" w:cs="Arial"/>
        </w:rPr>
        <w:t>Přechodov</w:t>
      </w:r>
      <w:r w:rsidR="003B2E29">
        <w:rPr>
          <w:rFonts w:ascii="Arial" w:hAnsi="Arial" w:cs="Arial"/>
        </w:rPr>
        <w:t>á</w:t>
      </w:r>
      <w:r w:rsidR="00821FA1" w:rsidRPr="003B2E29">
        <w:rPr>
          <w:rFonts w:ascii="Arial" w:hAnsi="Arial" w:cs="Arial"/>
        </w:rPr>
        <w:t xml:space="preserve"> síť pro regionální vysílání. </w:t>
      </w:r>
      <w:r w:rsidRPr="003B2E29">
        <w:rPr>
          <w:rFonts w:ascii="Arial" w:hAnsi="Arial" w:cs="Arial"/>
        </w:rPr>
        <w:t xml:space="preserve">Souběžné vysílání </w:t>
      </w:r>
      <w:r w:rsidR="005E428F" w:rsidRPr="003B2E29">
        <w:rPr>
          <w:rFonts w:ascii="Arial" w:hAnsi="Arial" w:cs="Arial"/>
        </w:rPr>
        <w:t xml:space="preserve">komerčních TV stanic </w:t>
      </w:r>
      <w:r w:rsidRPr="003B2E29">
        <w:rPr>
          <w:rFonts w:ascii="Arial" w:hAnsi="Arial" w:cs="Arial"/>
        </w:rPr>
        <w:t xml:space="preserve">by mělo být zajištěno pro celoplošné programy </w:t>
      </w:r>
      <w:r w:rsidR="005E428F" w:rsidRPr="003B2E29">
        <w:rPr>
          <w:rFonts w:ascii="Arial" w:hAnsi="Arial" w:cs="Arial"/>
        </w:rPr>
        <w:t>stávajících sítí 2</w:t>
      </w:r>
      <w:r w:rsidR="00614938" w:rsidRPr="003B2E29">
        <w:rPr>
          <w:rFonts w:ascii="Arial" w:hAnsi="Arial" w:cs="Arial"/>
        </w:rPr>
        <w:t xml:space="preserve">, </w:t>
      </w:r>
      <w:r w:rsidR="005E428F" w:rsidRPr="003B2E29">
        <w:rPr>
          <w:rFonts w:ascii="Arial" w:hAnsi="Arial" w:cs="Arial"/>
        </w:rPr>
        <w:t xml:space="preserve">3 </w:t>
      </w:r>
      <w:r w:rsidR="00614938" w:rsidRPr="003B2E29">
        <w:rPr>
          <w:rFonts w:ascii="Arial" w:hAnsi="Arial" w:cs="Arial"/>
        </w:rPr>
        <w:t xml:space="preserve">a 4 </w:t>
      </w:r>
      <w:r w:rsidRPr="003B2E29">
        <w:rPr>
          <w:rFonts w:ascii="Arial" w:hAnsi="Arial" w:cs="Arial"/>
        </w:rPr>
        <w:t>tak, aby byla zajištěna možnost příjmu vysílání šířeného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rámci </w:t>
      </w:r>
      <w:r w:rsidR="00821FA1" w:rsidRPr="003B2E29">
        <w:rPr>
          <w:rFonts w:ascii="Arial" w:hAnsi="Arial" w:cs="Arial"/>
        </w:rPr>
        <w:t xml:space="preserve">celoplošných </w:t>
      </w:r>
      <w:r w:rsidRPr="003B2E29">
        <w:rPr>
          <w:rFonts w:ascii="Arial" w:hAnsi="Arial" w:cs="Arial"/>
        </w:rPr>
        <w:t xml:space="preserve">Přechodových sítí při minimalizaci nezbytných úprav na straně veřejnosti. Toho lze dosáhnout prostřednictvím </w:t>
      </w:r>
      <w:r w:rsidR="007533F1" w:rsidRPr="003B2E29">
        <w:rPr>
          <w:rFonts w:ascii="Arial" w:hAnsi="Arial" w:cs="Arial"/>
        </w:rPr>
        <w:t>vydání individuálních oprávnění operátorům za účel</w:t>
      </w:r>
      <w:r w:rsidR="00C32059" w:rsidRPr="003B2E29">
        <w:rPr>
          <w:rFonts w:ascii="Arial" w:hAnsi="Arial" w:cs="Arial"/>
        </w:rPr>
        <w:t>e</w:t>
      </w:r>
      <w:r w:rsidR="007533F1" w:rsidRPr="003B2E29">
        <w:rPr>
          <w:rFonts w:ascii="Arial" w:hAnsi="Arial" w:cs="Arial"/>
        </w:rPr>
        <w:t xml:space="preserve">m zajištění </w:t>
      </w:r>
      <w:r w:rsidRPr="003B2E29">
        <w:rPr>
          <w:rFonts w:ascii="Arial" w:hAnsi="Arial" w:cs="Arial"/>
        </w:rPr>
        <w:t xml:space="preserve">vysílání ze stanovišť vysílačů </w:t>
      </w:r>
      <w:r w:rsidR="00564947" w:rsidRPr="003B2E29">
        <w:rPr>
          <w:rFonts w:ascii="Arial" w:hAnsi="Arial" w:cs="Arial"/>
        </w:rPr>
        <w:t>sítí 1</w:t>
      </w:r>
      <w:r w:rsidR="003B2E29">
        <w:rPr>
          <w:rFonts w:ascii="Arial" w:hAnsi="Arial" w:cs="Arial"/>
        </w:rPr>
        <w:t xml:space="preserve"> – </w:t>
      </w:r>
      <w:r w:rsidR="003E6598" w:rsidRPr="003B2E29">
        <w:rPr>
          <w:rFonts w:ascii="Arial" w:hAnsi="Arial" w:cs="Arial"/>
        </w:rPr>
        <w:t>3</w:t>
      </w:r>
      <w:r w:rsidR="00564947" w:rsidRPr="003B2E29">
        <w:rPr>
          <w:rFonts w:ascii="Arial" w:hAnsi="Arial" w:cs="Arial"/>
        </w:rPr>
        <w:t xml:space="preserve"> </w:t>
      </w:r>
      <w:r w:rsidR="003E6598" w:rsidRPr="003B2E29">
        <w:rPr>
          <w:rFonts w:ascii="Arial" w:hAnsi="Arial" w:cs="Arial"/>
        </w:rPr>
        <w:t>(v</w:t>
      </w:r>
      <w:r w:rsidR="003C03F8">
        <w:rPr>
          <w:rFonts w:ascii="Arial" w:hAnsi="Arial" w:cs="Arial"/>
        </w:rPr>
        <w:t> </w:t>
      </w:r>
      <w:r w:rsidR="003E6598" w:rsidRPr="003B2E29">
        <w:rPr>
          <w:rFonts w:ascii="Arial" w:hAnsi="Arial" w:cs="Arial"/>
        </w:rPr>
        <w:t xml:space="preserve">případě regionální Přechodové sítě ze stanovišť sítě 4) </w:t>
      </w:r>
      <w:r w:rsidRPr="003B2E29">
        <w:rPr>
          <w:rFonts w:ascii="Arial" w:hAnsi="Arial" w:cs="Arial"/>
        </w:rPr>
        <w:t>s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technickými parametry, které zajistí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maximální míře stejný rozsah pokrytí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nejmenší </w:t>
      </w:r>
      <w:r w:rsidR="00C32059" w:rsidRPr="003B2E29">
        <w:rPr>
          <w:rFonts w:ascii="Arial" w:hAnsi="Arial" w:cs="Arial"/>
        </w:rPr>
        <w:t xml:space="preserve">negativní </w:t>
      </w:r>
      <w:r w:rsidRPr="003B2E29">
        <w:rPr>
          <w:rFonts w:ascii="Arial" w:hAnsi="Arial" w:cs="Arial"/>
        </w:rPr>
        <w:t>dopady na televizní diváky.</w:t>
      </w:r>
      <w:r w:rsidR="00DC5237" w:rsidRPr="003B2E29">
        <w:rPr>
          <w:rFonts w:ascii="Arial" w:hAnsi="Arial" w:cs="Arial"/>
        </w:rPr>
        <w:t xml:space="preserve"> V</w:t>
      </w:r>
      <w:r w:rsidR="0018674B" w:rsidRPr="003B2E29">
        <w:rPr>
          <w:rFonts w:ascii="Arial" w:hAnsi="Arial" w:cs="Arial"/>
        </w:rPr>
        <w:t> </w:t>
      </w:r>
      <w:r w:rsidR="00DC5237" w:rsidRPr="003B2E29">
        <w:rPr>
          <w:rFonts w:ascii="Arial" w:hAnsi="Arial" w:cs="Arial"/>
        </w:rPr>
        <w:t>případě možností mezinárodní koordinace kmitočtů bude vhodné sestavit i</w:t>
      </w:r>
      <w:r w:rsidR="0018674B" w:rsidRPr="003B2E29">
        <w:rPr>
          <w:rFonts w:ascii="Arial" w:hAnsi="Arial" w:cs="Arial"/>
        </w:rPr>
        <w:t> </w:t>
      </w:r>
      <w:r w:rsidR="00DC5237" w:rsidRPr="003B2E29">
        <w:rPr>
          <w:rFonts w:ascii="Arial" w:hAnsi="Arial" w:cs="Arial"/>
        </w:rPr>
        <w:t>Přechodovou síť pro regionální televize</w:t>
      </w:r>
      <w:r w:rsidR="00564947" w:rsidRPr="003B2E29">
        <w:rPr>
          <w:rFonts w:ascii="Arial" w:hAnsi="Arial" w:cs="Arial"/>
        </w:rPr>
        <w:t xml:space="preserve"> ze stanovišť sítě 4</w:t>
      </w:r>
      <w:r w:rsidR="00DC5237" w:rsidRPr="003B2E29">
        <w:rPr>
          <w:rFonts w:ascii="Arial" w:hAnsi="Arial" w:cs="Arial"/>
        </w:rPr>
        <w:t>.</w:t>
      </w:r>
      <w:r w:rsidR="00D40D0F" w:rsidRPr="003B2E29">
        <w:rPr>
          <w:rFonts w:ascii="Arial" w:hAnsi="Arial" w:cs="Arial"/>
        </w:rPr>
        <w:t xml:space="preserve"> </w:t>
      </w:r>
    </w:p>
    <w:p w14:paraId="5FD49D43" w14:textId="3071A74A" w:rsidR="009720AB" w:rsidRPr="003B2E29" w:rsidRDefault="009720AB" w:rsidP="00FC4CD4">
      <w:pPr>
        <w:numPr>
          <w:ilvl w:val="0"/>
          <w:numId w:val="34"/>
        </w:numPr>
        <w:tabs>
          <w:tab w:val="clear" w:pos="720"/>
        </w:tabs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 xml:space="preserve">Sestavení </w:t>
      </w:r>
      <w:r w:rsidR="003251CA" w:rsidRPr="003B2E29">
        <w:rPr>
          <w:rFonts w:ascii="Arial" w:hAnsi="Arial" w:cs="Arial"/>
        </w:rPr>
        <w:t>T</w:t>
      </w:r>
      <w:r w:rsidRPr="003B2E29">
        <w:rPr>
          <w:rFonts w:ascii="Arial" w:hAnsi="Arial" w:cs="Arial"/>
        </w:rPr>
        <w:t>echnického plánu Přechodu na DVB-T2 („</w:t>
      </w:r>
      <w:r w:rsidRPr="003B2E29">
        <w:rPr>
          <w:rFonts w:ascii="Arial" w:hAnsi="Arial" w:cs="Arial"/>
          <w:b/>
        </w:rPr>
        <w:t>TPP</w:t>
      </w:r>
      <w:r w:rsidRPr="003B2E29">
        <w:rPr>
          <w:rFonts w:ascii="Arial" w:hAnsi="Arial" w:cs="Arial"/>
        </w:rPr>
        <w:t xml:space="preserve">“), který stanoví </w:t>
      </w:r>
      <w:r w:rsidR="00344FBC" w:rsidRPr="003B2E29">
        <w:rPr>
          <w:rFonts w:ascii="Arial" w:hAnsi="Arial" w:cs="Arial"/>
        </w:rPr>
        <w:t xml:space="preserve">některá </w:t>
      </w:r>
      <w:r w:rsidRPr="003B2E29">
        <w:rPr>
          <w:rFonts w:ascii="Arial" w:hAnsi="Arial" w:cs="Arial"/>
        </w:rPr>
        <w:t xml:space="preserve">pravidla pro </w:t>
      </w:r>
      <w:r w:rsidR="00344FBC" w:rsidRPr="003B2E29">
        <w:rPr>
          <w:rFonts w:ascii="Arial" w:hAnsi="Arial" w:cs="Arial"/>
        </w:rPr>
        <w:t>finalizaci</w:t>
      </w:r>
      <w:r w:rsidRPr="003B2E29">
        <w:rPr>
          <w:rFonts w:ascii="Arial" w:hAnsi="Arial" w:cs="Arial"/>
        </w:rPr>
        <w:t xml:space="preserve"> Přechodu na DVB-T2</w:t>
      </w:r>
      <w:r w:rsidR="00564947" w:rsidRPr="003B2E29">
        <w:rPr>
          <w:rFonts w:ascii="Arial" w:hAnsi="Arial" w:cs="Arial"/>
        </w:rPr>
        <w:t xml:space="preserve"> v období 2020</w:t>
      </w:r>
      <w:r w:rsidR="003B2E29">
        <w:rPr>
          <w:rFonts w:ascii="Arial" w:hAnsi="Arial" w:cs="Arial"/>
        </w:rPr>
        <w:t xml:space="preserve"> – </w:t>
      </w:r>
      <w:r w:rsidR="00564947" w:rsidRPr="003B2E29">
        <w:rPr>
          <w:rFonts w:ascii="Arial" w:hAnsi="Arial" w:cs="Arial"/>
        </w:rPr>
        <w:t>2021/2022</w:t>
      </w:r>
      <w:r w:rsidRPr="003B2E29">
        <w:rPr>
          <w:rFonts w:ascii="Arial" w:hAnsi="Arial" w:cs="Arial"/>
        </w:rPr>
        <w:t>, zejména lhůty, podmínky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způsob postupu při procesu </w:t>
      </w:r>
      <w:r w:rsidR="00607F11" w:rsidRPr="003B2E29">
        <w:rPr>
          <w:rFonts w:ascii="Arial" w:hAnsi="Arial" w:cs="Arial"/>
        </w:rPr>
        <w:t xml:space="preserve">transformace </w:t>
      </w:r>
      <w:r w:rsidRPr="003B2E29">
        <w:rPr>
          <w:rFonts w:ascii="Arial" w:hAnsi="Arial" w:cs="Arial"/>
        </w:rPr>
        <w:t>sítí elektronických komunikací určených pro šíření DTT ve standardu DVB-T2/HEVC („</w:t>
      </w:r>
      <w:r w:rsidRPr="003B2E29">
        <w:rPr>
          <w:rFonts w:ascii="Arial" w:hAnsi="Arial" w:cs="Arial"/>
          <w:b/>
        </w:rPr>
        <w:t>Sítě DVB-T2</w:t>
      </w:r>
      <w:r w:rsidRPr="003B2E29">
        <w:rPr>
          <w:rFonts w:ascii="Arial" w:hAnsi="Arial" w:cs="Arial"/>
        </w:rPr>
        <w:t>“), včetně určení finálních rádiových kanálů tvořících tyto sítě,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dále lhůty, podmínky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způsob vypínání DTT ve standardu DVB-T/MPEG-2. Sítě </w:t>
      </w:r>
      <w:r w:rsidR="0018674B" w:rsidRPr="003B2E29">
        <w:rPr>
          <w:rFonts w:ascii="Arial" w:hAnsi="Arial" w:cs="Arial"/>
        </w:rPr>
        <w:br/>
      </w:r>
      <w:r w:rsidRPr="003B2E29">
        <w:rPr>
          <w:rFonts w:ascii="Arial" w:hAnsi="Arial" w:cs="Arial"/>
        </w:rPr>
        <w:t>DVB-T2 budou sestaveny s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cílem dosáhnout co nejvyšší spektrální efektivity využití příslušných rádiových kmitočtů na základě minimalizace regionálního členění jen jako sítě celoplošné na bázi stávajících vysílacích stanovišť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s takovými technickými parametry, které zajistí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maximální míře stejný rozsah pokrytí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nejmenší dopady na televizní diváky.</w:t>
      </w:r>
    </w:p>
    <w:p w14:paraId="32E95A4E" w14:textId="166950AE" w:rsidR="009720AB" w:rsidRPr="003B2E29" w:rsidRDefault="009720AB" w:rsidP="00FC4CD4">
      <w:pPr>
        <w:numPr>
          <w:ilvl w:val="0"/>
          <w:numId w:val="34"/>
        </w:numPr>
        <w:tabs>
          <w:tab w:val="clear" w:pos="720"/>
        </w:tabs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Provedení změny (tzv. refarmingu) stávajících přídělů rádiových kmitočtů („</w:t>
      </w:r>
      <w:r w:rsidRPr="003B2E29">
        <w:rPr>
          <w:rFonts w:ascii="Arial" w:hAnsi="Arial" w:cs="Arial"/>
          <w:b/>
        </w:rPr>
        <w:t>Refarming</w:t>
      </w:r>
      <w:r w:rsidRPr="003B2E29">
        <w:rPr>
          <w:rFonts w:ascii="Arial" w:hAnsi="Arial" w:cs="Arial"/>
        </w:rPr>
        <w:t>“), na základě kterých dochází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současné době k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šíření DTT ve formátu DVB-T/MPEG-2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provozování k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tomu určených celoplošných sítí elektronických komunikací („</w:t>
      </w:r>
      <w:r w:rsidRPr="003B2E29">
        <w:rPr>
          <w:rFonts w:ascii="Arial" w:hAnsi="Arial" w:cs="Arial"/>
          <w:b/>
        </w:rPr>
        <w:t>Sítě DVB-T</w:t>
      </w:r>
      <w:r w:rsidRPr="003B2E29">
        <w:rPr>
          <w:rFonts w:ascii="Arial" w:hAnsi="Arial" w:cs="Arial"/>
        </w:rPr>
        <w:t>“). Na základě Refarmingu bude proveden přechod (přepnutí) Sítí DVB-T na Sítě DVB-T2 dle TPP,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důsledku čehož bude možno přistoupit k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úplnému ukončení šíření DTT ve standardu DVB-T/MPEG-2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České republice („</w:t>
      </w:r>
      <w:r w:rsidRPr="003B2E29">
        <w:rPr>
          <w:rFonts w:ascii="Arial" w:hAnsi="Arial" w:cs="Arial"/>
          <w:b/>
        </w:rPr>
        <w:t>Úplné vypnutí DVB-T</w:t>
      </w:r>
      <w:r w:rsidRPr="003B2E29">
        <w:rPr>
          <w:rFonts w:ascii="Arial" w:hAnsi="Arial" w:cs="Arial"/>
        </w:rPr>
        <w:t>“)</w:t>
      </w:r>
      <w:r w:rsidR="007533F1" w:rsidRPr="003B2E29">
        <w:rPr>
          <w:rFonts w:ascii="Arial" w:hAnsi="Arial" w:cs="Arial"/>
        </w:rPr>
        <w:t xml:space="preserve"> v</w:t>
      </w:r>
      <w:r w:rsidR="0018674B" w:rsidRPr="003B2E29">
        <w:rPr>
          <w:rFonts w:ascii="Arial" w:hAnsi="Arial" w:cs="Arial"/>
        </w:rPr>
        <w:t> </w:t>
      </w:r>
      <w:r w:rsidR="007533F1" w:rsidRPr="003B2E29">
        <w:rPr>
          <w:rFonts w:ascii="Arial" w:hAnsi="Arial" w:cs="Arial"/>
        </w:rPr>
        <w:t>rámci celoplošných sítí</w:t>
      </w:r>
      <w:r w:rsidRPr="003B2E29">
        <w:rPr>
          <w:rFonts w:ascii="Arial" w:hAnsi="Arial" w:cs="Arial"/>
        </w:rPr>
        <w:t>.</w:t>
      </w:r>
      <w:r w:rsidR="00AD5849">
        <w:rPr>
          <w:rFonts w:ascii="Arial" w:hAnsi="Arial" w:cs="Arial"/>
        </w:rPr>
        <w:t xml:space="preserve"> </w:t>
      </w:r>
      <w:r w:rsidR="005330FC" w:rsidRPr="003B2E29">
        <w:rPr>
          <w:rFonts w:ascii="Arial" w:hAnsi="Arial" w:cs="Arial"/>
        </w:rPr>
        <w:t xml:space="preserve">K tomu je nutné zajistit </w:t>
      </w:r>
      <w:r w:rsidR="00B228E4" w:rsidRPr="003B2E29">
        <w:rPr>
          <w:rFonts w:ascii="Arial" w:hAnsi="Arial" w:cs="Arial"/>
        </w:rPr>
        <w:t xml:space="preserve">do 2018 </w:t>
      </w:r>
      <w:r w:rsidR="005330FC" w:rsidRPr="003B2E29">
        <w:rPr>
          <w:rFonts w:ascii="Arial" w:hAnsi="Arial" w:cs="Arial"/>
        </w:rPr>
        <w:t>příslušnou změnu přídělů</w:t>
      </w:r>
      <w:r w:rsidRPr="003B2E29">
        <w:rPr>
          <w:rFonts w:ascii="Arial" w:hAnsi="Arial" w:cs="Arial"/>
        </w:rPr>
        <w:t xml:space="preserve"> držitelům přídělů rádiových kmitočtů, na základě kterých jsou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současné době provozovány Sítě DVB-T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jejichž doba platnosti vyprší až po datu, ke kterému bude nutno provést Refarming,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kteří budou dotčeni uvolněním rádiových kmitočtů z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Pásma 700 MHz pro výhradní využití ve prospěch jiných služeb</w:t>
      </w:r>
      <w:r w:rsidR="007533F1" w:rsidRPr="003B2E29">
        <w:rPr>
          <w:rFonts w:ascii="Arial" w:hAnsi="Arial" w:cs="Arial"/>
        </w:rPr>
        <w:t xml:space="preserve"> v</w:t>
      </w:r>
      <w:r w:rsidR="0018674B" w:rsidRPr="003B2E29">
        <w:rPr>
          <w:rFonts w:ascii="Arial" w:hAnsi="Arial" w:cs="Arial"/>
        </w:rPr>
        <w:t> </w:t>
      </w:r>
      <w:r w:rsidR="007533F1" w:rsidRPr="003B2E29">
        <w:rPr>
          <w:rFonts w:ascii="Arial" w:hAnsi="Arial" w:cs="Arial"/>
        </w:rPr>
        <w:t xml:space="preserve">souladu </w:t>
      </w:r>
      <w:r w:rsidR="007533F1" w:rsidRPr="003B2E29">
        <w:rPr>
          <w:rFonts w:ascii="Arial" w:hAnsi="Arial" w:cs="Arial"/>
        </w:rPr>
        <w:lastRenderedPageBreak/>
        <w:t>s</w:t>
      </w:r>
      <w:r w:rsidR="0018674B" w:rsidRPr="003B2E29">
        <w:rPr>
          <w:rFonts w:ascii="Arial" w:hAnsi="Arial" w:cs="Arial"/>
        </w:rPr>
        <w:t> </w:t>
      </w:r>
      <w:r w:rsidR="007533F1" w:rsidRPr="003B2E29">
        <w:rPr>
          <w:rFonts w:ascii="Arial" w:hAnsi="Arial" w:cs="Arial"/>
        </w:rPr>
        <w:t>ustanoveními ZEK.</w:t>
      </w:r>
      <w:r w:rsidRPr="003B2E29">
        <w:rPr>
          <w:rFonts w:ascii="Arial" w:hAnsi="Arial" w:cs="Arial"/>
        </w:rPr>
        <w:t xml:space="preserve"> </w:t>
      </w:r>
      <w:r w:rsidR="00C57DDF" w:rsidRPr="003B2E29">
        <w:rPr>
          <w:rFonts w:ascii="Arial" w:hAnsi="Arial" w:cs="Arial"/>
        </w:rPr>
        <w:t>Doba platnosti nových přídělů na základě refarmingu bude jednotně stanovena nejméně do roku 2030.</w:t>
      </w:r>
      <w:r w:rsidRPr="003B2E29">
        <w:rPr>
          <w:rFonts w:ascii="Arial" w:hAnsi="Arial" w:cs="Arial"/>
        </w:rPr>
        <w:t xml:space="preserve"> </w:t>
      </w:r>
    </w:p>
    <w:p w14:paraId="3D3A283F" w14:textId="4EF1513C" w:rsidR="009720AB" w:rsidRPr="003B2E29" w:rsidRDefault="009720AB" w:rsidP="00FC4CD4">
      <w:pPr>
        <w:numPr>
          <w:ilvl w:val="0"/>
          <w:numId w:val="34"/>
        </w:numPr>
        <w:tabs>
          <w:tab w:val="clear" w:pos="720"/>
        </w:tabs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 xml:space="preserve">Zajištění </w:t>
      </w:r>
      <w:r w:rsidR="00564947" w:rsidRPr="003B2E29">
        <w:rPr>
          <w:rFonts w:ascii="Arial" w:hAnsi="Arial" w:cs="Arial"/>
        </w:rPr>
        <w:t xml:space="preserve">postupu </w:t>
      </w:r>
      <w:r w:rsidRPr="003B2E29">
        <w:rPr>
          <w:rFonts w:ascii="Arial" w:hAnsi="Arial" w:cs="Arial"/>
        </w:rPr>
        <w:t>úhrady nákladů, které přímo souvisejí s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uskutečněním Přechodu na DVB-T2</w:t>
      </w:r>
      <w:r w:rsidR="00DC0482">
        <w:rPr>
          <w:rFonts w:ascii="Arial" w:hAnsi="Arial" w:cs="Arial"/>
        </w:rPr>
        <w:t>, a to</w:t>
      </w:r>
      <w:r w:rsidRPr="003B2E29">
        <w:rPr>
          <w:rFonts w:ascii="Arial" w:hAnsi="Arial" w:cs="Arial"/>
        </w:rPr>
        <w:t xml:space="preserve"> subjektům dotčený</w:t>
      </w:r>
      <w:r w:rsidR="00B64008">
        <w:rPr>
          <w:rFonts w:ascii="Arial" w:hAnsi="Arial" w:cs="Arial"/>
        </w:rPr>
        <w:t>m</w:t>
      </w:r>
      <w:r w:rsidRPr="003B2E29">
        <w:rPr>
          <w:rFonts w:ascii="Arial" w:hAnsi="Arial" w:cs="Arial"/>
        </w:rPr>
        <w:t xml:space="preserve"> tímto procesem</w:t>
      </w:r>
      <w:r w:rsidR="00E7325B" w:rsidRPr="003B2E29">
        <w:rPr>
          <w:rFonts w:ascii="Arial" w:hAnsi="Arial" w:cs="Arial"/>
        </w:rPr>
        <w:t xml:space="preserve"> v souladu s evropským rozhodnutím</w:t>
      </w:r>
      <w:r w:rsidRPr="003B2E29">
        <w:rPr>
          <w:rFonts w:ascii="Arial" w:hAnsi="Arial" w:cs="Arial"/>
        </w:rPr>
        <w:t>,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zajištění </w:t>
      </w:r>
      <w:r w:rsidR="00564947" w:rsidRPr="003B2E29">
        <w:rPr>
          <w:rFonts w:ascii="Arial" w:hAnsi="Arial" w:cs="Arial"/>
        </w:rPr>
        <w:t xml:space="preserve">zdrojů </w:t>
      </w:r>
      <w:r w:rsidRPr="003B2E29">
        <w:rPr>
          <w:rFonts w:ascii="Arial" w:hAnsi="Arial" w:cs="Arial"/>
        </w:rPr>
        <w:t>financování procesu Přechodu na DVB-T2.</w:t>
      </w:r>
      <w:r w:rsidR="00066EA0" w:rsidRPr="003B2E29">
        <w:rPr>
          <w:rFonts w:ascii="Arial" w:hAnsi="Arial" w:cs="Arial"/>
        </w:rPr>
        <w:t xml:space="preserve"> </w:t>
      </w:r>
    </w:p>
    <w:p w14:paraId="4EF689D7" w14:textId="565BAC71" w:rsidR="009720AB" w:rsidRPr="003B2E29" w:rsidRDefault="00E7325B" w:rsidP="00DC048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Zajištění budoucího rozvoje platformy DTT na základě přidělení dvou nových přídělů (skupinových přidělení) umožňujících po ukončení Přechodu na DVB-T2 realizaci dvou</w:t>
      </w:r>
      <w:r w:rsidR="00AD5D99" w:rsidRPr="003B2E29">
        <w:rPr>
          <w:rFonts w:ascii="Arial" w:hAnsi="Arial" w:cs="Arial"/>
        </w:rPr>
        <w:t xml:space="preserve"> nových </w:t>
      </w:r>
      <w:r w:rsidRPr="003B2E29">
        <w:rPr>
          <w:rFonts w:ascii="Arial" w:hAnsi="Arial" w:cs="Arial"/>
        </w:rPr>
        <w:t>celoplošných sítí</w:t>
      </w:r>
      <w:r w:rsidR="005D6104" w:rsidRPr="003B2E29">
        <w:rPr>
          <w:rFonts w:ascii="Arial" w:hAnsi="Arial" w:cs="Arial"/>
        </w:rPr>
        <w:t xml:space="preserve"> v pásmu </w:t>
      </w:r>
      <w:r w:rsidR="005330FC" w:rsidRPr="003B2E29">
        <w:rPr>
          <w:rFonts w:ascii="Arial" w:hAnsi="Arial" w:cs="Arial"/>
        </w:rPr>
        <w:t>470</w:t>
      </w:r>
      <w:r w:rsidR="003B2E29">
        <w:rPr>
          <w:rFonts w:ascii="Arial" w:hAnsi="Arial" w:cs="Arial"/>
        </w:rPr>
        <w:t xml:space="preserve"> – </w:t>
      </w:r>
      <w:r w:rsidR="005330FC" w:rsidRPr="003B2E29">
        <w:rPr>
          <w:rFonts w:ascii="Arial" w:hAnsi="Arial" w:cs="Arial"/>
        </w:rPr>
        <w:t>694 MH</w:t>
      </w:r>
      <w:r w:rsidR="005D6104" w:rsidRPr="003B2E29">
        <w:rPr>
          <w:rFonts w:ascii="Arial" w:hAnsi="Arial" w:cs="Arial"/>
        </w:rPr>
        <w:t>z</w:t>
      </w:r>
      <w:r w:rsidR="00614938" w:rsidRPr="003B2E29">
        <w:rPr>
          <w:rFonts w:ascii="Arial" w:hAnsi="Arial" w:cs="Arial"/>
        </w:rPr>
        <w:t xml:space="preserve"> s využitím stávajících stanovišť existujících sítí</w:t>
      </w:r>
      <w:r w:rsidRPr="003B2E29">
        <w:rPr>
          <w:rFonts w:ascii="Arial" w:hAnsi="Arial" w:cs="Arial"/>
        </w:rPr>
        <w:t>.</w:t>
      </w:r>
      <w:r w:rsidR="00AD5849">
        <w:rPr>
          <w:rFonts w:ascii="Arial" w:hAnsi="Arial" w:cs="Arial"/>
        </w:rPr>
        <w:t xml:space="preserve"> </w:t>
      </w:r>
      <w:r w:rsidR="00DC0482" w:rsidRPr="00DC0482">
        <w:rPr>
          <w:rFonts w:ascii="Arial" w:hAnsi="Arial" w:cs="Arial"/>
        </w:rPr>
        <w:t>Jasnější situace bude zřejmě až v druhé polovině nebo ke konci roku 2017, kdy musí být hotovy všechny mezinárodní koordinace sítí DVB-T2.</w:t>
      </w:r>
    </w:p>
    <w:p w14:paraId="7B26BE6B" w14:textId="308FB189" w:rsidR="009720AB" w:rsidRPr="003B2E29" w:rsidRDefault="009720AB" w:rsidP="00FC4CD4">
      <w:pPr>
        <w:numPr>
          <w:ilvl w:val="0"/>
          <w:numId w:val="34"/>
        </w:numPr>
        <w:tabs>
          <w:tab w:val="clear" w:pos="720"/>
        </w:tabs>
        <w:spacing w:after="240"/>
        <w:ind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Zajištění ochrany kvality šíření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příjmu DTT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Sítích DVB-T2 proti rušení z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Pásma 700</w:t>
      </w:r>
      <w:r w:rsidR="00DC0482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MHz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dalších pásem používaných pro IMT.</w:t>
      </w:r>
    </w:p>
    <w:p w14:paraId="1863FE4B" w14:textId="29DEEDA9" w:rsidR="009720AB" w:rsidRPr="003B2E29" w:rsidRDefault="009720AB" w:rsidP="00FC4CD4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Tyto cíle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související legislativní úkoly jsou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souhrnné obecné podobě součástí usnesení vlády k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přijetí Strategie.</w:t>
      </w:r>
    </w:p>
    <w:p w14:paraId="1A66371B" w14:textId="77777777" w:rsidR="009720AB" w:rsidRPr="003B2E29" w:rsidRDefault="009720AB" w:rsidP="00FC4CD4">
      <w:pPr>
        <w:pStyle w:val="Normln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</w:p>
    <w:p w14:paraId="4F1F3A9E" w14:textId="77777777" w:rsidR="009720AB" w:rsidRPr="003B2E29" w:rsidRDefault="009720AB" w:rsidP="00FC4CD4">
      <w:pPr>
        <w:pStyle w:val="Odstavecseseznamem1"/>
        <w:keepNext/>
        <w:numPr>
          <w:ilvl w:val="6"/>
          <w:numId w:val="2"/>
        </w:numPr>
        <w:spacing w:after="240"/>
        <w:ind w:left="720" w:hanging="720"/>
        <w:jc w:val="both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>Základní zákonný rámec Přechodu na DVB-T2 – tzv. Diginovela</w:t>
      </w:r>
    </w:p>
    <w:p w14:paraId="7C18A227" w14:textId="6A7DDF26" w:rsidR="009720AB" w:rsidRPr="003B2E29" w:rsidRDefault="009720AB" w:rsidP="00FC4CD4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Základní právní rámec pro uskutečnění procesu Přechodu na DVB-T2 b</w:t>
      </w:r>
      <w:r w:rsidR="00564947" w:rsidRPr="003B2E29">
        <w:rPr>
          <w:rFonts w:ascii="Arial" w:hAnsi="Arial" w:cs="Arial"/>
          <w:sz w:val="22"/>
          <w:szCs w:val="22"/>
        </w:rPr>
        <w:t>ude</w:t>
      </w:r>
      <w:r w:rsidRPr="003B2E29">
        <w:rPr>
          <w:rFonts w:ascii="Arial" w:hAnsi="Arial" w:cs="Arial"/>
          <w:sz w:val="22"/>
          <w:szCs w:val="22"/>
        </w:rPr>
        <w:t xml:space="preserve"> obsažen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Diginovele, která bude mít formu zákonného předpisu. Diginovela by měla pokrýt následující legislativní okruhy:</w:t>
      </w:r>
    </w:p>
    <w:p w14:paraId="58119B71" w14:textId="458E5881" w:rsidR="009720AB" w:rsidRPr="003B2E29" w:rsidRDefault="009720AB" w:rsidP="00FC4CD4">
      <w:pPr>
        <w:pStyle w:val="Normlnweb"/>
        <w:numPr>
          <w:ilvl w:val="0"/>
          <w:numId w:val="35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Poskytnutí zákonného zmocnění vládě k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vydání TPP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obdobně, jak bylo takové zákonné zmocnění vymezeno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čl. II zák. č. 304/2007 Sb.</w:t>
      </w:r>
    </w:p>
    <w:p w14:paraId="2C2309CB" w14:textId="18D4D427" w:rsidR="009720AB" w:rsidRPr="003B2E29" w:rsidRDefault="009720AB" w:rsidP="00DC0482">
      <w:pPr>
        <w:pStyle w:val="Normlnweb"/>
        <w:numPr>
          <w:ilvl w:val="0"/>
          <w:numId w:val="35"/>
        </w:numPr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Stanovení data Úplného vypnutí DVB-T</w:t>
      </w:r>
      <w:r w:rsidR="007533F1" w:rsidRPr="003B2E29">
        <w:rPr>
          <w:rFonts w:ascii="Arial" w:hAnsi="Arial" w:cs="Arial"/>
          <w:sz w:val="22"/>
          <w:szCs w:val="22"/>
        </w:rPr>
        <w:t xml:space="preserve">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7533F1" w:rsidRPr="003B2E29">
        <w:rPr>
          <w:rFonts w:ascii="Arial" w:hAnsi="Arial" w:cs="Arial"/>
          <w:sz w:val="22"/>
          <w:szCs w:val="22"/>
        </w:rPr>
        <w:t>celoplošných sítích DTT</w:t>
      </w:r>
      <w:r w:rsidR="00564947" w:rsidRPr="003B2E29">
        <w:rPr>
          <w:rFonts w:ascii="Arial" w:hAnsi="Arial" w:cs="Arial"/>
          <w:sz w:val="22"/>
          <w:szCs w:val="22"/>
        </w:rPr>
        <w:t xml:space="preserve"> v souladu s ustanoveními Návrhu evropského rozhodnutí o uvolnění pásma 700 MHz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nejpozději ke dni 31. </w:t>
      </w:r>
      <w:r w:rsidR="005A5207" w:rsidRPr="003B2E29">
        <w:rPr>
          <w:rFonts w:ascii="Arial" w:hAnsi="Arial" w:cs="Arial"/>
          <w:sz w:val="22"/>
          <w:szCs w:val="22"/>
        </w:rPr>
        <w:t>března</w:t>
      </w:r>
      <w:r w:rsidRPr="003B2E29">
        <w:rPr>
          <w:rFonts w:ascii="Arial" w:hAnsi="Arial" w:cs="Arial"/>
          <w:sz w:val="22"/>
          <w:szCs w:val="22"/>
        </w:rPr>
        <w:t xml:space="preserve"> 202</w:t>
      </w:r>
      <w:r w:rsidR="005A5207" w:rsidRPr="003B2E29">
        <w:rPr>
          <w:rFonts w:ascii="Arial" w:hAnsi="Arial" w:cs="Arial"/>
          <w:sz w:val="22"/>
          <w:szCs w:val="22"/>
        </w:rPr>
        <w:t>1</w:t>
      </w:r>
      <w:r w:rsidRPr="003B2E29">
        <w:rPr>
          <w:rFonts w:ascii="Arial" w:hAnsi="Arial" w:cs="Arial"/>
          <w:sz w:val="22"/>
          <w:szCs w:val="22"/>
        </w:rPr>
        <w:t>, nestanoví-li vláda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TPP termín dřívější.</w:t>
      </w:r>
      <w:r w:rsidR="00DC5237" w:rsidRPr="003B2E29">
        <w:rPr>
          <w:rFonts w:ascii="Arial" w:hAnsi="Arial" w:cs="Arial"/>
          <w:sz w:val="22"/>
          <w:szCs w:val="22"/>
        </w:rPr>
        <w:t xml:space="preserve"> </w:t>
      </w:r>
      <w:r w:rsidRPr="003B2E29">
        <w:rPr>
          <w:rFonts w:ascii="Arial" w:hAnsi="Arial" w:cs="Arial"/>
          <w:sz w:val="22"/>
          <w:szCs w:val="22"/>
        </w:rPr>
        <w:t xml:space="preserve">Zakotvení základních podmínek </w:t>
      </w:r>
      <w:r w:rsidR="00D36314" w:rsidRPr="003B2E29">
        <w:rPr>
          <w:rFonts w:ascii="Arial" w:hAnsi="Arial" w:cs="Arial"/>
          <w:sz w:val="22"/>
          <w:szCs w:val="22"/>
        </w:rPr>
        <w:t xml:space="preserve">v TPP </w:t>
      </w:r>
      <w:r w:rsidRPr="003B2E29">
        <w:rPr>
          <w:rFonts w:ascii="Arial" w:hAnsi="Arial" w:cs="Arial"/>
          <w:sz w:val="22"/>
          <w:szCs w:val="22"/>
        </w:rPr>
        <w:t>pro Úplné vypnutí DVB-T</w:t>
      </w:r>
      <w:r w:rsidR="007533F1" w:rsidRPr="003B2E29">
        <w:rPr>
          <w:rFonts w:ascii="Arial" w:hAnsi="Arial" w:cs="Arial"/>
          <w:sz w:val="22"/>
          <w:szCs w:val="22"/>
        </w:rPr>
        <w:t xml:space="preserve">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7533F1" w:rsidRPr="003B2E29">
        <w:rPr>
          <w:rFonts w:ascii="Arial" w:hAnsi="Arial" w:cs="Arial"/>
          <w:sz w:val="22"/>
          <w:szCs w:val="22"/>
        </w:rPr>
        <w:t>celoplošných sítích DTT</w:t>
      </w:r>
      <w:r w:rsidR="00564947" w:rsidRPr="003B2E29">
        <w:rPr>
          <w:rFonts w:ascii="Arial" w:hAnsi="Arial" w:cs="Arial"/>
          <w:sz w:val="22"/>
          <w:szCs w:val="22"/>
        </w:rPr>
        <w:t>. Základními podmínkami</w:t>
      </w:r>
      <w:r w:rsidRPr="003B2E29">
        <w:rPr>
          <w:rFonts w:ascii="Arial" w:hAnsi="Arial" w:cs="Arial"/>
          <w:sz w:val="22"/>
          <w:szCs w:val="22"/>
        </w:rPr>
        <w:t xml:space="preserve"> jsou dosažení pokrytí území České republiky signálem DTT ve standardu DVB-T2 jednotlivými Sítěmi DVB-T2 minimálně na úrovni stávajícího pokrytí území České republiky signálem DTT ve standardu DVB-T jednotlivými Sítěmi DVB-T, uskutečnění dostatečné informační kampaně ohledně Úplného vypnutí DVB-T nejméně po dobu </w:t>
      </w:r>
      <w:r w:rsidR="00344FBC" w:rsidRPr="003B2E29">
        <w:rPr>
          <w:rFonts w:ascii="Arial" w:hAnsi="Arial" w:cs="Arial"/>
          <w:sz w:val="22"/>
          <w:szCs w:val="22"/>
        </w:rPr>
        <w:t>1</w:t>
      </w:r>
      <w:r w:rsidR="00E7325B" w:rsidRPr="003B2E29">
        <w:rPr>
          <w:rFonts w:ascii="Arial" w:hAnsi="Arial" w:cs="Arial"/>
          <w:sz w:val="22"/>
          <w:szCs w:val="22"/>
        </w:rPr>
        <w:t>8</w:t>
      </w:r>
      <w:r w:rsidR="00344FBC" w:rsidRPr="003B2E29">
        <w:rPr>
          <w:rFonts w:ascii="Arial" w:hAnsi="Arial" w:cs="Arial"/>
          <w:sz w:val="22"/>
          <w:szCs w:val="22"/>
        </w:rPr>
        <w:t xml:space="preserve"> </w:t>
      </w:r>
      <w:r w:rsidRPr="003B2E29">
        <w:rPr>
          <w:rFonts w:ascii="Arial" w:hAnsi="Arial" w:cs="Arial"/>
          <w:sz w:val="22"/>
          <w:szCs w:val="22"/>
        </w:rPr>
        <w:t>měsíců před datem Úplného vypnutí DVB-T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dostatečná vybavenost obchodní sítě zařízeními pro příjem DTT ve standardu DVB-T2/HEVC</w:t>
      </w:r>
      <w:r w:rsidR="007533F1" w:rsidRPr="003B2E29">
        <w:rPr>
          <w:rFonts w:ascii="Arial" w:hAnsi="Arial" w:cs="Arial"/>
          <w:sz w:val="22"/>
          <w:szCs w:val="22"/>
        </w:rPr>
        <w:t xml:space="preserve"> po dobu nejméně 3 let od zahájení souběhu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7533F1" w:rsidRPr="003B2E29">
        <w:rPr>
          <w:rFonts w:ascii="Arial" w:hAnsi="Arial" w:cs="Arial"/>
          <w:sz w:val="22"/>
          <w:szCs w:val="22"/>
        </w:rPr>
        <w:t xml:space="preserve">využitím celoplošných </w:t>
      </w:r>
      <w:r w:rsidR="00DC0482" w:rsidRPr="00DC0482">
        <w:rPr>
          <w:rFonts w:ascii="Arial" w:hAnsi="Arial" w:cs="Arial"/>
          <w:sz w:val="22"/>
          <w:szCs w:val="22"/>
        </w:rPr>
        <w:t>Přechodových sítí DVB-T2 s pokrytím alespoň 80</w:t>
      </w:r>
      <w:r w:rsidR="00DC0482">
        <w:rPr>
          <w:rFonts w:ascii="Arial" w:hAnsi="Arial" w:cs="Arial"/>
          <w:sz w:val="22"/>
          <w:szCs w:val="22"/>
        </w:rPr>
        <w:t> </w:t>
      </w:r>
      <w:r w:rsidR="00DC0482" w:rsidRPr="00DC0482">
        <w:rPr>
          <w:rFonts w:ascii="Arial" w:hAnsi="Arial" w:cs="Arial"/>
          <w:sz w:val="22"/>
          <w:szCs w:val="22"/>
        </w:rPr>
        <w:t xml:space="preserve">% obyvatel České republiky. </w:t>
      </w:r>
      <w:r w:rsidRPr="003B2E29">
        <w:rPr>
          <w:rFonts w:ascii="Arial" w:hAnsi="Arial" w:cs="Arial"/>
          <w:sz w:val="22"/>
          <w:szCs w:val="22"/>
        </w:rPr>
        <w:t xml:space="preserve"> </w:t>
      </w:r>
    </w:p>
    <w:p w14:paraId="573B7B4C" w14:textId="2763968A" w:rsidR="009720AB" w:rsidRPr="003B2E29" w:rsidRDefault="009720AB" w:rsidP="00FC4CD4">
      <w:pPr>
        <w:pStyle w:val="Normlnweb"/>
        <w:numPr>
          <w:ilvl w:val="0"/>
          <w:numId w:val="35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Zakotvení základních principů procesu Přechodu na DVB-T2, kterými jsou rovný, transparentní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nediskriminační přístup ke všem stávajícím držitelům přídělů rádiových kmitočtů pro provozování Sítí DVB-T.</w:t>
      </w:r>
    </w:p>
    <w:p w14:paraId="1FF6088C" w14:textId="7C989052" w:rsidR="009720AB" w:rsidRPr="003B2E29" w:rsidRDefault="009720AB" w:rsidP="00FC4CD4">
      <w:pPr>
        <w:pStyle w:val="Normlnweb"/>
        <w:numPr>
          <w:ilvl w:val="0"/>
          <w:numId w:val="35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Poskytnutí dlouhodobé garance využití kmitočtového Pásma 500/600 MHz pro výhradní účely šíření DTT</w:t>
      </w:r>
      <w:r w:rsidR="007533F1" w:rsidRPr="003B2E29">
        <w:rPr>
          <w:rFonts w:ascii="Arial" w:hAnsi="Arial" w:cs="Arial"/>
          <w:sz w:val="22"/>
          <w:szCs w:val="22"/>
        </w:rPr>
        <w:t xml:space="preserve">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7533F1" w:rsidRPr="003B2E29">
        <w:rPr>
          <w:rFonts w:ascii="Arial" w:hAnsi="Arial" w:cs="Arial"/>
          <w:sz w:val="22"/>
          <w:szCs w:val="22"/>
        </w:rPr>
        <w:t>souladu se závěry WRC 2015</w:t>
      </w:r>
      <w:r w:rsidR="006C19A5" w:rsidRPr="003B2E29">
        <w:rPr>
          <w:rFonts w:ascii="Arial" w:hAnsi="Arial" w:cs="Arial"/>
          <w:sz w:val="22"/>
          <w:szCs w:val="22"/>
        </w:rPr>
        <w:t xml:space="preserve"> nejméně do roku 2030</w:t>
      </w:r>
      <w:r w:rsidR="00B05A9E" w:rsidRPr="003B2E29">
        <w:rPr>
          <w:rFonts w:ascii="Arial" w:hAnsi="Arial" w:cs="Arial"/>
          <w:sz w:val="22"/>
          <w:szCs w:val="22"/>
        </w:rPr>
        <w:t xml:space="preserve"> mj.</w:t>
      </w:r>
      <w:r w:rsidR="003C03F8">
        <w:rPr>
          <w:rFonts w:ascii="Arial" w:hAnsi="Arial" w:cs="Arial"/>
          <w:sz w:val="22"/>
          <w:szCs w:val="22"/>
        </w:rPr>
        <w:t> </w:t>
      </w:r>
      <w:r w:rsidR="00B05A9E" w:rsidRPr="003B2E29">
        <w:rPr>
          <w:rFonts w:ascii="Arial" w:hAnsi="Arial" w:cs="Arial"/>
          <w:sz w:val="22"/>
          <w:szCs w:val="22"/>
        </w:rPr>
        <w:t>i</w:t>
      </w:r>
      <w:r w:rsidR="003C03F8">
        <w:rPr>
          <w:rFonts w:ascii="Arial" w:hAnsi="Arial" w:cs="Arial"/>
          <w:sz w:val="22"/>
          <w:szCs w:val="22"/>
        </w:rPr>
        <w:t> </w:t>
      </w:r>
      <w:r w:rsidR="00B05A9E" w:rsidRPr="003B2E29">
        <w:rPr>
          <w:rFonts w:ascii="Arial" w:hAnsi="Arial" w:cs="Arial"/>
          <w:sz w:val="22"/>
          <w:szCs w:val="22"/>
        </w:rPr>
        <w:t xml:space="preserve">prostřednictvím sestavení, přidělení a realizace 2 nových celoplošných sítí DTT, </w:t>
      </w:r>
      <w:r w:rsidR="00B05A9E" w:rsidRPr="003B2E29">
        <w:rPr>
          <w:rFonts w:ascii="Arial" w:hAnsi="Arial" w:cs="Arial"/>
          <w:sz w:val="22"/>
          <w:szCs w:val="22"/>
        </w:rPr>
        <w:lastRenderedPageBreak/>
        <w:t>které budou přiděleny stávajícím držitelům celoplošných přídělů pro sítě DTT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ve veřejném zájmu.</w:t>
      </w:r>
    </w:p>
    <w:p w14:paraId="3CB2B8F4" w14:textId="77777777" w:rsidR="009720AB" w:rsidRPr="003B2E29" w:rsidRDefault="009720AB" w:rsidP="00FC4CD4">
      <w:pPr>
        <w:pStyle w:val="Normlnweb"/>
        <w:numPr>
          <w:ilvl w:val="0"/>
          <w:numId w:val="35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Změna ZEK, která umožní:</w:t>
      </w:r>
    </w:p>
    <w:p w14:paraId="2F6E372B" w14:textId="1796F660" w:rsidR="009720AB" w:rsidRPr="003B2E29" w:rsidRDefault="00E7325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Potvrdit u</w:t>
      </w:r>
      <w:r w:rsidR="009720AB" w:rsidRPr="003B2E29">
        <w:rPr>
          <w:rFonts w:ascii="Arial" w:hAnsi="Arial" w:cs="Arial"/>
          <w:sz w:val="22"/>
          <w:szCs w:val="22"/>
        </w:rPr>
        <w:t xml:space="preserve">dělení </w:t>
      </w:r>
      <w:r w:rsidR="00524FFC" w:rsidRPr="003B2E29">
        <w:rPr>
          <w:rFonts w:ascii="Arial" w:hAnsi="Arial" w:cs="Arial"/>
          <w:sz w:val="22"/>
          <w:szCs w:val="22"/>
        </w:rPr>
        <w:t>individuální oprávnění</w:t>
      </w:r>
      <w:r w:rsidR="009720AB" w:rsidRPr="003B2E29">
        <w:rPr>
          <w:rFonts w:ascii="Arial" w:hAnsi="Arial" w:cs="Arial"/>
          <w:sz w:val="22"/>
          <w:szCs w:val="22"/>
        </w:rPr>
        <w:t xml:space="preserve"> rádiových kmitočtů nezbytných pro sestavení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9720AB" w:rsidRPr="003B2E29">
        <w:rPr>
          <w:rFonts w:ascii="Arial" w:hAnsi="Arial" w:cs="Arial"/>
          <w:sz w:val="22"/>
          <w:szCs w:val="22"/>
        </w:rPr>
        <w:t xml:space="preserve">provoz nejméně dvou </w:t>
      </w:r>
      <w:r w:rsidR="00FD5FEE" w:rsidRPr="003B2E29">
        <w:rPr>
          <w:rFonts w:ascii="Arial" w:hAnsi="Arial" w:cs="Arial"/>
          <w:sz w:val="22"/>
          <w:szCs w:val="22"/>
        </w:rPr>
        <w:t xml:space="preserve">celoplošných </w:t>
      </w:r>
      <w:r w:rsidR="009720AB" w:rsidRPr="003B2E29">
        <w:rPr>
          <w:rFonts w:ascii="Arial" w:hAnsi="Arial" w:cs="Arial"/>
          <w:sz w:val="22"/>
          <w:szCs w:val="22"/>
        </w:rPr>
        <w:t>Přechodových sítí</w:t>
      </w:r>
      <w:r w:rsidR="00821FA1" w:rsidRPr="003B2E29">
        <w:rPr>
          <w:rFonts w:ascii="Arial" w:hAnsi="Arial" w:cs="Arial"/>
          <w:sz w:val="22"/>
          <w:szCs w:val="22"/>
        </w:rPr>
        <w:t xml:space="preserve"> i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821FA1" w:rsidRPr="003B2E29">
        <w:rPr>
          <w:rFonts w:ascii="Arial" w:hAnsi="Arial" w:cs="Arial"/>
          <w:sz w:val="22"/>
          <w:szCs w:val="22"/>
        </w:rPr>
        <w:t>jedné regionální Přechodové sítě</w:t>
      </w:r>
      <w:r w:rsidR="00DC0482">
        <w:rPr>
          <w:rFonts w:ascii="Arial" w:hAnsi="Arial" w:cs="Arial"/>
          <w:sz w:val="22"/>
          <w:szCs w:val="22"/>
        </w:rPr>
        <w:t>, a to</w:t>
      </w:r>
      <w:r w:rsidR="009720AB" w:rsidRPr="003B2E29">
        <w:rPr>
          <w:rFonts w:ascii="Arial" w:hAnsi="Arial" w:cs="Arial"/>
          <w:sz w:val="22"/>
          <w:szCs w:val="22"/>
        </w:rPr>
        <w:t xml:space="preserve"> konkrétní</w:t>
      </w:r>
      <w:r w:rsidR="00821FA1" w:rsidRPr="003B2E29">
        <w:rPr>
          <w:rFonts w:ascii="Arial" w:hAnsi="Arial" w:cs="Arial"/>
          <w:sz w:val="22"/>
          <w:szCs w:val="22"/>
        </w:rPr>
        <w:t>m</w:t>
      </w:r>
      <w:r w:rsidR="009720AB" w:rsidRPr="003B2E29">
        <w:rPr>
          <w:rFonts w:ascii="Arial" w:hAnsi="Arial" w:cs="Arial"/>
          <w:sz w:val="22"/>
          <w:szCs w:val="22"/>
        </w:rPr>
        <w:t xml:space="preserve"> právnick</w:t>
      </w:r>
      <w:r w:rsidR="00821FA1" w:rsidRPr="003B2E29">
        <w:rPr>
          <w:rFonts w:ascii="Arial" w:hAnsi="Arial" w:cs="Arial"/>
          <w:sz w:val="22"/>
          <w:szCs w:val="22"/>
        </w:rPr>
        <w:t>ým</w:t>
      </w:r>
      <w:r w:rsidR="009720AB" w:rsidRPr="003B2E29">
        <w:rPr>
          <w:rFonts w:ascii="Arial" w:hAnsi="Arial" w:cs="Arial"/>
          <w:sz w:val="22"/>
          <w:szCs w:val="22"/>
        </w:rPr>
        <w:t xml:space="preserve"> osob</w:t>
      </w:r>
      <w:r w:rsidR="00821FA1" w:rsidRPr="003B2E29">
        <w:rPr>
          <w:rFonts w:ascii="Arial" w:hAnsi="Arial" w:cs="Arial"/>
          <w:sz w:val="22"/>
          <w:szCs w:val="22"/>
        </w:rPr>
        <w:t>ám</w:t>
      </w:r>
      <w:r w:rsidR="009720AB" w:rsidRPr="003B2E29">
        <w:rPr>
          <w:rFonts w:ascii="Arial" w:hAnsi="Arial" w:cs="Arial"/>
          <w:sz w:val="22"/>
          <w:szCs w:val="22"/>
        </w:rPr>
        <w:t xml:space="preserve"> </w:t>
      </w:r>
      <w:r w:rsidR="00524FFC" w:rsidRPr="003B2E29">
        <w:rPr>
          <w:rFonts w:ascii="Arial" w:hAnsi="Arial" w:cs="Arial"/>
          <w:sz w:val="22"/>
          <w:szCs w:val="22"/>
        </w:rPr>
        <w:t>zajišťujících vysílání ze stejných stanoviš</w:t>
      </w:r>
      <w:r w:rsidR="003444BC" w:rsidRPr="003B2E29">
        <w:rPr>
          <w:rFonts w:ascii="Arial" w:hAnsi="Arial" w:cs="Arial"/>
          <w:sz w:val="22"/>
          <w:szCs w:val="22"/>
        </w:rPr>
        <w:t>ť tak, aby domácnosti nemusely anténní sys</w:t>
      </w:r>
      <w:r w:rsidR="003C03F8">
        <w:rPr>
          <w:rFonts w:ascii="Arial" w:hAnsi="Arial" w:cs="Arial"/>
          <w:sz w:val="22"/>
          <w:szCs w:val="22"/>
        </w:rPr>
        <w:t>t</w:t>
      </w:r>
      <w:r w:rsidR="003444BC" w:rsidRPr="003B2E29">
        <w:rPr>
          <w:rFonts w:ascii="Arial" w:hAnsi="Arial" w:cs="Arial"/>
          <w:sz w:val="22"/>
          <w:szCs w:val="22"/>
        </w:rPr>
        <w:t>émy</w:t>
      </w:r>
      <w:r w:rsidR="009720AB" w:rsidRPr="003B2E29">
        <w:rPr>
          <w:rFonts w:ascii="Arial" w:hAnsi="Arial" w:cs="Arial"/>
          <w:sz w:val="22"/>
          <w:szCs w:val="22"/>
        </w:rPr>
        <w:t xml:space="preserve"> a bez předchozího výběrového řízení dle ZEK</w:t>
      </w:r>
      <w:r w:rsidRPr="003B2E29">
        <w:rPr>
          <w:rFonts w:ascii="Arial" w:hAnsi="Arial" w:cs="Arial"/>
          <w:sz w:val="22"/>
          <w:szCs w:val="22"/>
        </w:rPr>
        <w:t xml:space="preserve"> na základě příslušného PVRS</w:t>
      </w:r>
      <w:r w:rsidR="009720AB" w:rsidRPr="003B2E29">
        <w:rPr>
          <w:rFonts w:ascii="Arial" w:hAnsi="Arial" w:cs="Arial"/>
          <w:sz w:val="22"/>
          <w:szCs w:val="22"/>
        </w:rPr>
        <w:t>,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9720AB" w:rsidRPr="003B2E29">
        <w:rPr>
          <w:rFonts w:ascii="Arial" w:hAnsi="Arial" w:cs="Arial"/>
          <w:sz w:val="22"/>
          <w:szCs w:val="22"/>
        </w:rPr>
        <w:t xml:space="preserve">zakotvení podmínek pro využití takových rádiových kmitočtů; </w:t>
      </w:r>
    </w:p>
    <w:p w14:paraId="32472DE3" w14:textId="7CE18C49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Uskutečnění Refarmingu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formou změny příslušných přídělů rádiových kmitočtů na základě žádosti jednotlivých držitelů těchto přídělů;</w:t>
      </w:r>
    </w:p>
    <w:p w14:paraId="6FB818F5" w14:textId="05948AE4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Udělení kompenzace provozovatelům Sítí DVB-T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formou prodloužení platnosti příslušného přídělu rádiových kmitočtů </w:t>
      </w:r>
      <w:r w:rsidR="006C19A5" w:rsidRPr="003B2E29">
        <w:rPr>
          <w:rFonts w:ascii="Arial" w:hAnsi="Arial" w:cs="Arial"/>
          <w:sz w:val="22"/>
          <w:szCs w:val="22"/>
        </w:rPr>
        <w:t>nejméně do roku 2030</w:t>
      </w:r>
      <w:r w:rsidR="00564947" w:rsidRPr="003B2E29">
        <w:rPr>
          <w:rFonts w:ascii="Arial" w:hAnsi="Arial" w:cs="Arial"/>
          <w:sz w:val="22"/>
          <w:szCs w:val="22"/>
        </w:rPr>
        <w:t xml:space="preserve"> v rámci vynucené změny přídělů</w:t>
      </w:r>
      <w:r w:rsidRPr="003B2E29">
        <w:rPr>
          <w:rFonts w:ascii="Arial" w:hAnsi="Arial" w:cs="Arial"/>
          <w:sz w:val="22"/>
          <w:szCs w:val="22"/>
        </w:rPr>
        <w:t>;</w:t>
      </w:r>
    </w:p>
    <w:p w14:paraId="04A25164" w14:textId="5A1EA4F9" w:rsidR="009720AB" w:rsidRPr="003B2E29" w:rsidRDefault="00E7325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Zajistit rozvoj platformy DTT </w:t>
      </w:r>
      <w:r w:rsidR="00BA5BC2" w:rsidRPr="003B2E29">
        <w:rPr>
          <w:rFonts w:ascii="Arial" w:hAnsi="Arial" w:cs="Arial"/>
          <w:sz w:val="22"/>
          <w:szCs w:val="22"/>
        </w:rPr>
        <w:t xml:space="preserve">a reálné zajištění garance exkluzívního využití disponibilních kmitočtů pásma 500/600 MHz pro DTT </w:t>
      </w:r>
      <w:r w:rsidRPr="003B2E29">
        <w:rPr>
          <w:rFonts w:ascii="Arial" w:hAnsi="Arial" w:cs="Arial"/>
          <w:sz w:val="22"/>
          <w:szCs w:val="22"/>
        </w:rPr>
        <w:t>prostřednictvím u</w:t>
      </w:r>
      <w:r w:rsidR="009720AB" w:rsidRPr="003B2E29">
        <w:rPr>
          <w:rFonts w:ascii="Arial" w:hAnsi="Arial" w:cs="Arial"/>
          <w:sz w:val="22"/>
          <w:szCs w:val="22"/>
        </w:rPr>
        <w:t>dělení nov</w:t>
      </w:r>
      <w:r w:rsidR="00911EB1" w:rsidRPr="003B2E29">
        <w:rPr>
          <w:rFonts w:ascii="Arial" w:hAnsi="Arial" w:cs="Arial"/>
          <w:sz w:val="22"/>
          <w:szCs w:val="22"/>
        </w:rPr>
        <w:t>ých</w:t>
      </w:r>
      <w:r w:rsidR="009720AB" w:rsidRPr="003B2E29">
        <w:rPr>
          <w:rFonts w:ascii="Arial" w:hAnsi="Arial" w:cs="Arial"/>
          <w:sz w:val="22"/>
          <w:szCs w:val="22"/>
        </w:rPr>
        <w:t xml:space="preserve"> příděl</w:t>
      </w:r>
      <w:r w:rsidR="00911EB1" w:rsidRPr="003B2E29">
        <w:rPr>
          <w:rFonts w:ascii="Arial" w:hAnsi="Arial" w:cs="Arial"/>
          <w:sz w:val="22"/>
          <w:szCs w:val="22"/>
        </w:rPr>
        <w:t>ů</w:t>
      </w:r>
      <w:r w:rsidR="009720AB" w:rsidRPr="003B2E29">
        <w:rPr>
          <w:rFonts w:ascii="Arial" w:hAnsi="Arial" w:cs="Arial"/>
          <w:sz w:val="22"/>
          <w:szCs w:val="22"/>
        </w:rPr>
        <w:t xml:space="preserve"> rádiových kmitočtů pro provozování celoplošn</w:t>
      </w:r>
      <w:r w:rsidR="00911EB1" w:rsidRPr="003B2E29">
        <w:rPr>
          <w:rFonts w:ascii="Arial" w:hAnsi="Arial" w:cs="Arial"/>
          <w:sz w:val="22"/>
          <w:szCs w:val="22"/>
        </w:rPr>
        <w:t>ých</w:t>
      </w:r>
      <w:r w:rsidR="009720AB" w:rsidRPr="003B2E29">
        <w:rPr>
          <w:rFonts w:ascii="Arial" w:hAnsi="Arial" w:cs="Arial"/>
          <w:sz w:val="22"/>
          <w:szCs w:val="22"/>
        </w:rPr>
        <w:t xml:space="preserve"> sítě elektronických komunikací pro šíření DTT ve standardu DVB-T2/HEVC („</w:t>
      </w:r>
      <w:r w:rsidRPr="003C03F8">
        <w:rPr>
          <w:rFonts w:ascii="Arial" w:hAnsi="Arial" w:cs="Arial"/>
          <w:b/>
          <w:sz w:val="22"/>
          <w:szCs w:val="22"/>
        </w:rPr>
        <w:t>Rozvojové</w:t>
      </w:r>
      <w:r w:rsidR="009720AB" w:rsidRPr="003B2E29">
        <w:rPr>
          <w:rFonts w:ascii="Arial" w:hAnsi="Arial" w:cs="Arial"/>
          <w:b/>
          <w:sz w:val="22"/>
          <w:szCs w:val="22"/>
        </w:rPr>
        <w:t xml:space="preserve"> příděly</w:t>
      </w:r>
      <w:r w:rsidR="009720AB" w:rsidRPr="003B2E29">
        <w:rPr>
          <w:rFonts w:ascii="Arial" w:hAnsi="Arial" w:cs="Arial"/>
          <w:sz w:val="22"/>
          <w:szCs w:val="22"/>
        </w:rPr>
        <w:t>“)</w:t>
      </w:r>
      <w:r w:rsidR="00DC0482">
        <w:rPr>
          <w:rFonts w:ascii="Arial" w:hAnsi="Arial" w:cs="Arial"/>
          <w:sz w:val="22"/>
          <w:szCs w:val="22"/>
        </w:rPr>
        <w:t>, a to</w:t>
      </w:r>
      <w:r w:rsidR="009720AB" w:rsidRPr="003B2E29">
        <w:rPr>
          <w:rFonts w:ascii="Arial" w:hAnsi="Arial" w:cs="Arial"/>
          <w:sz w:val="22"/>
          <w:szCs w:val="22"/>
        </w:rPr>
        <w:t xml:space="preserve"> konkrétně určeným právnickým osobám, jejichž postavení na trhu poskytování služeb šíření DTT by se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9720AB" w:rsidRPr="003B2E29">
        <w:rPr>
          <w:rFonts w:ascii="Arial" w:hAnsi="Arial" w:cs="Arial"/>
          <w:sz w:val="22"/>
          <w:szCs w:val="22"/>
        </w:rPr>
        <w:t xml:space="preserve">důsledku uskutečnění Refarmingu zhoršilo, přičemž </w:t>
      </w:r>
      <w:r w:rsidR="00B05A9E" w:rsidRPr="003B2E29">
        <w:rPr>
          <w:rFonts w:ascii="Arial" w:hAnsi="Arial" w:cs="Arial"/>
          <w:sz w:val="22"/>
          <w:szCs w:val="22"/>
        </w:rPr>
        <w:t>tyto</w:t>
      </w:r>
      <w:r w:rsidR="009720AB" w:rsidRPr="003B2E29">
        <w:rPr>
          <w:rFonts w:ascii="Arial" w:hAnsi="Arial" w:cs="Arial"/>
          <w:sz w:val="22"/>
          <w:szCs w:val="22"/>
        </w:rPr>
        <w:t xml:space="preserve"> příděly </w:t>
      </w:r>
      <w:r w:rsidR="00B05A9E" w:rsidRPr="003B2E29">
        <w:rPr>
          <w:rFonts w:ascii="Arial" w:hAnsi="Arial" w:cs="Arial"/>
          <w:sz w:val="22"/>
          <w:szCs w:val="22"/>
        </w:rPr>
        <w:t>radiových kmitočtů</w:t>
      </w:r>
      <w:r w:rsidR="009720AB" w:rsidRPr="003B2E29">
        <w:rPr>
          <w:rFonts w:ascii="Arial" w:hAnsi="Arial" w:cs="Arial"/>
          <w:sz w:val="22"/>
          <w:szCs w:val="22"/>
        </w:rPr>
        <w:t xml:space="preserve"> budou sestaveny tak, aby umožnily sestavení celoplošných sítí elektronických komunikací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9720AB" w:rsidRPr="003B2E29">
        <w:rPr>
          <w:rFonts w:ascii="Arial" w:hAnsi="Arial" w:cs="Arial"/>
          <w:sz w:val="22"/>
          <w:szCs w:val="22"/>
        </w:rPr>
        <w:t>využitím stávajících stanovišť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9720AB" w:rsidRPr="003B2E29">
        <w:rPr>
          <w:rFonts w:ascii="Arial" w:hAnsi="Arial" w:cs="Arial"/>
          <w:sz w:val="22"/>
          <w:szCs w:val="22"/>
        </w:rPr>
        <w:t>s pokrytím minimálně 95</w:t>
      </w:r>
      <w:r w:rsidR="003B2E29">
        <w:rPr>
          <w:rFonts w:ascii="Arial" w:hAnsi="Arial" w:cs="Arial"/>
          <w:sz w:val="22"/>
          <w:szCs w:val="22"/>
        </w:rPr>
        <w:t xml:space="preserve"> %</w:t>
      </w:r>
      <w:r w:rsidR="009720AB" w:rsidRPr="003B2E29">
        <w:rPr>
          <w:rFonts w:ascii="Arial" w:hAnsi="Arial" w:cs="Arial"/>
          <w:sz w:val="22"/>
          <w:szCs w:val="22"/>
        </w:rPr>
        <w:t xml:space="preserve"> obyvatelstva České republiky dle posledního oficiálního sčítání lidu; </w:t>
      </w:r>
    </w:p>
    <w:p w14:paraId="62190978" w14:textId="0B19E580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Úhradu nákladů přímo spojených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uskutečněním Přechodu na </w:t>
      </w:r>
      <w:r w:rsidR="0018674B" w:rsidRPr="003B2E29">
        <w:rPr>
          <w:rFonts w:ascii="Arial" w:hAnsi="Arial" w:cs="Arial"/>
          <w:sz w:val="22"/>
          <w:szCs w:val="22"/>
        </w:rPr>
        <w:br/>
      </w:r>
      <w:r w:rsidRPr="003B2E29">
        <w:rPr>
          <w:rFonts w:ascii="Arial" w:hAnsi="Arial" w:cs="Arial"/>
          <w:sz w:val="22"/>
          <w:szCs w:val="22"/>
        </w:rPr>
        <w:t>DVB-T2 (</w:t>
      </w:r>
      <w:r w:rsidRPr="00470DB0">
        <w:rPr>
          <w:rFonts w:ascii="Arial" w:hAnsi="Arial" w:cs="Arial"/>
          <w:sz w:val="22"/>
          <w:szCs w:val="22"/>
        </w:rPr>
        <w:t>viz</w:t>
      </w:r>
      <w:r w:rsidRPr="003B2E29">
        <w:rPr>
          <w:rFonts w:ascii="Arial" w:hAnsi="Arial" w:cs="Arial"/>
          <w:sz w:val="22"/>
          <w:szCs w:val="22"/>
        </w:rPr>
        <w:t xml:space="preserve"> blíž</w:t>
      </w:r>
      <w:r w:rsidR="00BF1761" w:rsidRPr="003B2E29">
        <w:rPr>
          <w:rFonts w:ascii="Arial" w:hAnsi="Arial" w:cs="Arial"/>
          <w:sz w:val="22"/>
          <w:szCs w:val="22"/>
        </w:rPr>
        <w:t>e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BF1761" w:rsidRPr="003B2E29">
        <w:rPr>
          <w:rFonts w:ascii="Arial" w:hAnsi="Arial" w:cs="Arial"/>
          <w:sz w:val="22"/>
          <w:szCs w:val="22"/>
        </w:rPr>
        <w:t xml:space="preserve">části </w:t>
      </w:r>
      <w:r w:rsidR="00470DB0">
        <w:rPr>
          <w:rFonts w:ascii="Arial" w:hAnsi="Arial" w:cs="Arial"/>
          <w:sz w:val="22"/>
          <w:szCs w:val="22"/>
        </w:rPr>
        <w:t>D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BF1761" w:rsidRPr="003B2E29">
        <w:rPr>
          <w:rFonts w:ascii="Arial" w:hAnsi="Arial" w:cs="Arial"/>
          <w:sz w:val="22"/>
          <w:szCs w:val="22"/>
        </w:rPr>
        <w:t>tohoto dokumentu)</w:t>
      </w:r>
      <w:r w:rsidR="00B05A9E" w:rsidRPr="003B2E29">
        <w:rPr>
          <w:rFonts w:ascii="Arial" w:hAnsi="Arial" w:cs="Arial"/>
          <w:sz w:val="22"/>
          <w:szCs w:val="22"/>
        </w:rPr>
        <w:t xml:space="preserve"> prostřednictvím radiokomunikačního účtu</w:t>
      </w:r>
      <w:r w:rsidR="00BF1761" w:rsidRPr="003B2E29">
        <w:rPr>
          <w:rFonts w:ascii="Arial" w:hAnsi="Arial" w:cs="Arial"/>
          <w:sz w:val="22"/>
          <w:szCs w:val="22"/>
        </w:rPr>
        <w:t xml:space="preserve">; </w:t>
      </w:r>
    </w:p>
    <w:p w14:paraId="758D3DDF" w14:textId="0CBC8E75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Pro zajištění efektivního Refarmingu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nediskriminačního přístupu ke kmitočtovému spektru budou použity veškeré dostupné kmitočty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500/600 MHz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včetně </w:t>
      </w:r>
      <w:r w:rsidR="00DC4588" w:rsidRPr="003B2E29">
        <w:rPr>
          <w:rFonts w:ascii="Arial" w:hAnsi="Arial" w:cs="Arial"/>
          <w:sz w:val="22"/>
          <w:szCs w:val="22"/>
        </w:rPr>
        <w:t xml:space="preserve">potřebných </w:t>
      </w:r>
      <w:r w:rsidRPr="003B2E29">
        <w:rPr>
          <w:rFonts w:ascii="Arial" w:hAnsi="Arial" w:cs="Arial"/>
          <w:sz w:val="22"/>
          <w:szCs w:val="22"/>
        </w:rPr>
        <w:t>kmitočtů stávajících regionálních sítí pro šíření DTT ve formátu DVB-T/MPEG-2 provozovaných na základě individuálních oprávnění vydaných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platností do konce roku 2017. </w:t>
      </w:r>
    </w:p>
    <w:p w14:paraId="468B88D3" w14:textId="39916630" w:rsidR="009720AB" w:rsidRPr="003B2E29" w:rsidRDefault="009720AB" w:rsidP="00FC4CD4">
      <w:pPr>
        <w:pStyle w:val="Normlnweb"/>
        <w:numPr>
          <w:ilvl w:val="0"/>
          <w:numId w:val="21"/>
        </w:numPr>
        <w:spacing w:before="0" w:beforeAutospacing="0" w:after="240" w:afterAutospacing="0" w:line="276" w:lineRule="auto"/>
        <w:ind w:left="180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Regionální vysílání bude pokračovat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regionalizovatelných sítích s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příděly kmitočtů a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 xml:space="preserve">následně bude upraveno </w:t>
      </w:r>
      <w:r w:rsidR="00344FBC" w:rsidRPr="003B2E29">
        <w:rPr>
          <w:rFonts w:ascii="Arial" w:hAnsi="Arial" w:cs="Arial"/>
          <w:i/>
          <w:sz w:val="22"/>
          <w:szCs w:val="22"/>
        </w:rPr>
        <w:t>prostřednictvím aktualizovaného PVRS</w:t>
      </w:r>
      <w:r w:rsidRPr="003B2E29">
        <w:rPr>
          <w:rFonts w:ascii="Arial" w:hAnsi="Arial" w:cs="Arial"/>
          <w:i/>
          <w:sz w:val="22"/>
          <w:szCs w:val="22"/>
        </w:rPr>
        <w:t xml:space="preserve"> po dokončení kmitočtového Refarmingu.</w:t>
      </w:r>
    </w:p>
    <w:p w14:paraId="720CE762" w14:textId="71FD0B45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Stanovení povinnosti budoucího operátora radiových kmitočtů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700</w:t>
      </w:r>
      <w:r w:rsidR="00620ADD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MHz, které jsou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současné době intenzivně využívány pro DTT sítě, učinit </w:t>
      </w:r>
      <w:r w:rsidR="00DC5237" w:rsidRPr="003B2E29">
        <w:rPr>
          <w:rFonts w:ascii="Arial" w:hAnsi="Arial" w:cs="Arial"/>
          <w:sz w:val="22"/>
          <w:szCs w:val="22"/>
        </w:rPr>
        <w:t xml:space="preserve">bezodkladně </w:t>
      </w:r>
      <w:r w:rsidRPr="003B2E29">
        <w:rPr>
          <w:rFonts w:ascii="Arial" w:hAnsi="Arial" w:cs="Arial"/>
          <w:sz w:val="22"/>
          <w:szCs w:val="22"/>
        </w:rPr>
        <w:t>na své náklady ochranná opatření na odstranění rušení nebo jiného omezení příjmu DTT, které souvisí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provozem sítí elektronických komunikací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700 MHz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neprodleně po vzniku této skutečnosti. </w:t>
      </w:r>
      <w:r w:rsidRPr="003B2E29">
        <w:rPr>
          <w:rFonts w:ascii="Arial" w:hAnsi="Arial" w:cs="Arial"/>
          <w:sz w:val="22"/>
          <w:szCs w:val="22"/>
        </w:rPr>
        <w:lastRenderedPageBreak/>
        <w:t>Oprávnění ČTÚ ukládat ochranná opatření subjektům způsobujícím rušení nebo jiné omezení příjmu DTT provozem sítí elektronických komunikací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700 MHz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tak, aby byl zajištěn příjem DTT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rozsahu, který bude odpovídat původnímu. Založení oprávnění každého dotčeného uživatele DTT (TV/R divák/posluchač)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provozovatele Sítě DVB-T2 požadovat po operátoru rádiových kmitočtů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700 MHz nápravu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uvedení do původního stavu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na náklady operátora rádiových kmitočtů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Pásmu 700 MHz.</w:t>
      </w:r>
    </w:p>
    <w:p w14:paraId="7415878B" w14:textId="77777777" w:rsidR="009720AB" w:rsidRPr="003B2E29" w:rsidRDefault="009720AB" w:rsidP="00FC4CD4">
      <w:pPr>
        <w:pStyle w:val="Normlnweb"/>
        <w:numPr>
          <w:ilvl w:val="0"/>
          <w:numId w:val="21"/>
        </w:numPr>
        <w:spacing w:before="0" w:beforeAutospacing="0" w:after="240" w:afterAutospacing="0" w:line="276" w:lineRule="auto"/>
        <w:ind w:left="180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 xml:space="preserve">Vyžaduje úpravu ustanovení § 100 ZEK, které stanoví pravidla pro ochranu sítě elektronických komunikací. </w:t>
      </w:r>
    </w:p>
    <w:p w14:paraId="78FDE3E4" w14:textId="004AC675" w:rsidR="009720AB" w:rsidRPr="003B2E29" w:rsidRDefault="009720AB" w:rsidP="00FC4CD4">
      <w:pPr>
        <w:pStyle w:val="Normlnweb"/>
        <w:numPr>
          <w:ilvl w:val="0"/>
          <w:numId w:val="21"/>
        </w:numPr>
        <w:spacing w:before="0" w:beforeAutospacing="0" w:after="240" w:afterAutospacing="0" w:line="276" w:lineRule="auto"/>
        <w:ind w:left="180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Součástí těchto pravidel bude i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stanovení podrobného postupu pro odstraňování rušení příjmu DTT, který bude zahrnovat konkrétní druhy opatření, způsoby realizace a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lhůty pro odstraňování rušení DTT</w:t>
      </w:r>
      <w:r w:rsidR="00DC0482">
        <w:rPr>
          <w:rFonts w:ascii="Arial" w:hAnsi="Arial" w:cs="Arial"/>
          <w:i/>
          <w:sz w:val="22"/>
          <w:szCs w:val="22"/>
        </w:rPr>
        <w:t>, a to</w:t>
      </w:r>
      <w:r w:rsidRPr="003B2E29">
        <w:rPr>
          <w:rFonts w:ascii="Arial" w:hAnsi="Arial" w:cs="Arial"/>
          <w:i/>
          <w:sz w:val="22"/>
          <w:szCs w:val="22"/>
        </w:rPr>
        <w:t xml:space="preserve"> včetně rychlého vypořádání finančních nákladů s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 xml:space="preserve">tím spojených. </w:t>
      </w:r>
    </w:p>
    <w:p w14:paraId="3F1CA088" w14:textId="06044F20" w:rsidR="009720AB" w:rsidRPr="003B2E29" w:rsidRDefault="009720AB" w:rsidP="00FC4CD4">
      <w:pPr>
        <w:pStyle w:val="Normlnweb"/>
        <w:numPr>
          <w:ilvl w:val="0"/>
          <w:numId w:val="21"/>
        </w:numPr>
        <w:spacing w:before="0" w:beforeAutospacing="0" w:after="240" w:afterAutospacing="0" w:line="276" w:lineRule="auto"/>
        <w:ind w:left="180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V současnosti je určitý technický postup při šetření rušení radiového příjmu DTT upraven Metodickým postupem ČTÚ</w:t>
      </w:r>
      <w:r w:rsidRPr="003B2E29">
        <w:rPr>
          <w:rStyle w:val="Znakapoznpodarou"/>
          <w:rFonts w:ascii="Arial" w:hAnsi="Arial" w:cs="Arial"/>
          <w:i/>
          <w:sz w:val="22"/>
          <w:szCs w:val="22"/>
        </w:rPr>
        <w:footnoteReference w:id="3"/>
      </w:r>
      <w:r w:rsidRPr="003B2E29">
        <w:rPr>
          <w:rFonts w:ascii="Arial" w:hAnsi="Arial" w:cs="Arial"/>
          <w:i/>
          <w:sz w:val="22"/>
          <w:szCs w:val="22"/>
        </w:rPr>
        <w:t>, který není vyhovující. Metodický postup nemůže stanovovat pravidla pro procesní postup stěžovatelů, kteří se domáhají nápravy proti zásahu do jejich práv. Stěžovatele poškozuje i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zvláštní důvod odmítnutí stížnosti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případě použití aktivní přijímací antény uvnitř budovy. Tento důvod je bez dalšího (bez určení dalších podmínek) zbavuje možnosti dosáhnout nápravy na stav před vznikem rušení.</w:t>
      </w:r>
      <w:r w:rsidR="00AD5849">
        <w:rPr>
          <w:rFonts w:ascii="Arial" w:hAnsi="Arial" w:cs="Arial"/>
          <w:i/>
          <w:sz w:val="22"/>
          <w:szCs w:val="22"/>
        </w:rPr>
        <w:t xml:space="preserve"> </w:t>
      </w:r>
    </w:p>
    <w:p w14:paraId="4847613D" w14:textId="61BE9AD3" w:rsidR="009720AB" w:rsidRPr="003B2E29" w:rsidRDefault="009720AB" w:rsidP="00FC4CD4">
      <w:pPr>
        <w:pStyle w:val="Normlnweb"/>
        <w:numPr>
          <w:ilvl w:val="2"/>
          <w:numId w:val="35"/>
        </w:numPr>
        <w:tabs>
          <w:tab w:val="clear" w:pos="30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Právo příjemců DTT (diváků) na informace ohledně případů rušení DTT ze strany jiných služeb. Všichni příjemci DTT musí být informováni o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jejich právu na nápravu případů rušení příjmu DTT ze strany jiných služeb.</w:t>
      </w:r>
      <w:r w:rsidR="00AD5849">
        <w:rPr>
          <w:rFonts w:ascii="Arial" w:hAnsi="Arial" w:cs="Arial"/>
          <w:sz w:val="22"/>
          <w:szCs w:val="22"/>
        </w:rPr>
        <w:t xml:space="preserve"> </w:t>
      </w:r>
    </w:p>
    <w:p w14:paraId="756A4736" w14:textId="73F6CCD6" w:rsidR="009720AB" w:rsidRPr="003B2E29" w:rsidRDefault="009720AB" w:rsidP="00FC4CD4">
      <w:pPr>
        <w:pStyle w:val="Normlnweb"/>
        <w:numPr>
          <w:ilvl w:val="0"/>
          <w:numId w:val="21"/>
        </w:numPr>
        <w:spacing w:before="0" w:beforeAutospacing="0" w:after="240" w:afterAutospacing="0" w:line="276" w:lineRule="auto"/>
        <w:ind w:left="180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Ochrana DTT je významná a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dosud ji nebyla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ČR věnována dostatečná pozornost. Diváci jako uživatelé DTT nemají povědomí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tom, že mohou žádat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odstranění rušení příjmu DTT. Informační kampaň by měla být zajištěna ze strany ČTÚ. Dále lze využít funkčního modelu z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Velké Británie, kde odstraňování rušení DTT je zabezpečováno zvláštním subjektem, který je financován z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prostředků získaných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aukci kmitočtů.</w:t>
      </w:r>
      <w:r w:rsidRPr="003B2E29">
        <w:rPr>
          <w:rStyle w:val="Znakapoznpodarou"/>
          <w:rFonts w:ascii="Arial" w:hAnsi="Arial" w:cs="Arial"/>
          <w:i/>
          <w:sz w:val="22"/>
          <w:szCs w:val="22"/>
        </w:rPr>
        <w:footnoteReference w:id="4"/>
      </w:r>
      <w:r w:rsidR="00AD5849">
        <w:rPr>
          <w:rFonts w:ascii="Arial" w:hAnsi="Arial" w:cs="Arial"/>
          <w:i/>
          <w:sz w:val="22"/>
          <w:szCs w:val="22"/>
        </w:rPr>
        <w:t xml:space="preserve"> </w:t>
      </w:r>
    </w:p>
    <w:p w14:paraId="3B0F9892" w14:textId="77777777" w:rsidR="00470DB0" w:rsidRPr="00470DB0" w:rsidRDefault="00470DB0" w:rsidP="00470DB0">
      <w:pPr>
        <w:pStyle w:val="Normlnweb"/>
        <w:numPr>
          <w:ilvl w:val="6"/>
          <w:numId w:val="2"/>
        </w:numPr>
        <w:spacing w:before="0" w:beforeAutospacing="0" w:after="240" w:afterAutospacing="0" w:line="276" w:lineRule="auto"/>
        <w:ind w:left="540" w:hanging="540"/>
        <w:rPr>
          <w:rFonts w:ascii="Arial" w:hAnsi="Arial" w:cs="Arial"/>
          <w:b/>
          <w:sz w:val="22"/>
          <w:szCs w:val="22"/>
        </w:rPr>
      </w:pPr>
      <w:r w:rsidRPr="00470DB0">
        <w:rPr>
          <w:rFonts w:ascii="Arial" w:hAnsi="Arial" w:cs="Arial"/>
          <w:b/>
          <w:sz w:val="22"/>
          <w:szCs w:val="22"/>
        </w:rPr>
        <w:t>Návrhy změn Zákona o České televizi</w:t>
      </w:r>
    </w:p>
    <w:p w14:paraId="605CDD86" w14:textId="2D7EDE09" w:rsidR="00470DB0" w:rsidRPr="00470DB0" w:rsidRDefault="00470DB0" w:rsidP="00470DB0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470DB0">
        <w:rPr>
          <w:rFonts w:ascii="Arial" w:hAnsi="Arial" w:cs="Arial"/>
          <w:sz w:val="22"/>
          <w:szCs w:val="22"/>
        </w:rPr>
        <w:t>Změny Zákona o ČT musí zohlednit současný i očekávaný stav DTT a jeho rozvoj a</w:t>
      </w:r>
      <w:r>
        <w:rPr>
          <w:rFonts w:ascii="Arial" w:hAnsi="Arial" w:cs="Arial"/>
          <w:sz w:val="22"/>
          <w:szCs w:val="22"/>
        </w:rPr>
        <w:t> </w:t>
      </w:r>
      <w:r w:rsidRPr="00470DB0">
        <w:rPr>
          <w:rFonts w:ascii="Arial" w:hAnsi="Arial" w:cs="Arial"/>
          <w:sz w:val="22"/>
          <w:szCs w:val="22"/>
        </w:rPr>
        <w:t>specifikovat garanci ČT na udržení a rozvoj základní veřejné služby DTT. Změny musí poskytnout ČT garanci dostupnosti potřebné sady kmitočtů pro naplnění veřejné služby DTT, včetně řešení regionálního vysílání.</w:t>
      </w:r>
    </w:p>
    <w:p w14:paraId="65AB3844" w14:textId="48488F1B" w:rsidR="00470DB0" w:rsidRPr="00470DB0" w:rsidRDefault="00470DB0" w:rsidP="00470DB0">
      <w:pPr>
        <w:pStyle w:val="Normlnweb"/>
        <w:rPr>
          <w:rFonts w:ascii="Arial" w:hAnsi="Arial" w:cs="Arial"/>
          <w:sz w:val="22"/>
          <w:szCs w:val="22"/>
        </w:rPr>
      </w:pPr>
      <w:r w:rsidRPr="00470DB0">
        <w:rPr>
          <w:rFonts w:ascii="Arial" w:hAnsi="Arial" w:cs="Arial"/>
          <w:sz w:val="22"/>
          <w:szCs w:val="22"/>
        </w:rPr>
        <w:lastRenderedPageBreak/>
        <w:t>Důvodem úpravy zákona o ČT je záměr vyhradit tomuto provozovateli další síť pro digitální vysílání, která by byla členěna na větší regionální celky (cca 5) a umožnila by umístění regionálních programů (v materiálu označena jako síť 26).</w:t>
      </w:r>
    </w:p>
    <w:p w14:paraId="63AA15B5" w14:textId="7719DB3B" w:rsidR="00470DB0" w:rsidRPr="00470DB0" w:rsidRDefault="00470DB0" w:rsidP="00470DB0">
      <w:pPr>
        <w:pStyle w:val="Normlnweb"/>
        <w:rPr>
          <w:rFonts w:ascii="Arial" w:hAnsi="Arial" w:cs="Arial"/>
          <w:sz w:val="22"/>
          <w:szCs w:val="22"/>
        </w:rPr>
      </w:pPr>
      <w:r w:rsidRPr="00470DB0">
        <w:rPr>
          <w:rFonts w:ascii="Arial" w:hAnsi="Arial" w:cs="Arial"/>
          <w:sz w:val="22"/>
          <w:szCs w:val="22"/>
        </w:rPr>
        <w:t>Řešením se jeví úprava povinností České televize jako držitele kmitočtového přídělu. V</w:t>
      </w:r>
      <w:r>
        <w:rPr>
          <w:rFonts w:ascii="Arial" w:hAnsi="Arial" w:cs="Arial"/>
          <w:sz w:val="22"/>
          <w:szCs w:val="22"/>
        </w:rPr>
        <w:t> </w:t>
      </w:r>
      <w:r w:rsidRPr="00470DB0">
        <w:rPr>
          <w:rFonts w:ascii="Arial" w:hAnsi="Arial" w:cs="Arial"/>
          <w:sz w:val="22"/>
          <w:szCs w:val="22"/>
        </w:rPr>
        <w:t>případě, že by nebylo možno tuto síť přidělit České televizi (např. z důvodu oddalování legislativního řešení či absence dostatečných zdrojů), bude tato síť provozována na základě jiného řešení se stanovenou povinností přednostního uspokojení všech požadavků České televize (vyhrazení kapacity multiplexu).</w:t>
      </w:r>
    </w:p>
    <w:p w14:paraId="0175AD9F" w14:textId="77777777" w:rsidR="009720AB" w:rsidRPr="003B2E29" w:rsidRDefault="009720AB" w:rsidP="00FC4CD4">
      <w:pPr>
        <w:pStyle w:val="Normlnweb"/>
        <w:numPr>
          <w:ilvl w:val="6"/>
          <w:numId w:val="2"/>
        </w:numPr>
        <w:spacing w:before="0" w:beforeAutospacing="0" w:after="240" w:afterAutospacing="0" w:line="276" w:lineRule="auto"/>
        <w:ind w:left="540" w:hanging="540"/>
        <w:rPr>
          <w:rFonts w:ascii="Arial" w:hAnsi="Arial" w:cs="Arial"/>
          <w:b/>
          <w:sz w:val="22"/>
          <w:szCs w:val="22"/>
        </w:rPr>
      </w:pPr>
      <w:r w:rsidRPr="003B2E29">
        <w:rPr>
          <w:rFonts w:ascii="Arial" w:hAnsi="Arial" w:cs="Arial"/>
          <w:b/>
          <w:sz w:val="22"/>
          <w:szCs w:val="22"/>
        </w:rPr>
        <w:t>TPP</w:t>
      </w:r>
    </w:p>
    <w:p w14:paraId="1A92524E" w14:textId="1C0CA5C3" w:rsidR="009720AB" w:rsidRPr="003B2E29" w:rsidRDefault="009720AB" w:rsidP="00FC4CD4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Na základě zákonného zmocnění obsaženého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Diginovele bude vláda oprávněna vydat TPP</w:t>
      </w:r>
      <w:r w:rsidR="003444BC" w:rsidRPr="003B2E29">
        <w:rPr>
          <w:rFonts w:ascii="Arial" w:hAnsi="Arial" w:cs="Arial"/>
          <w:sz w:val="22"/>
          <w:szCs w:val="22"/>
        </w:rPr>
        <w:t xml:space="preserve"> Ke specifikaci finální fáze Přechodu na DVB-T2, tj. vypínání sítí DVB-T a přepínání sítí na standard DVB-T2</w:t>
      </w:r>
      <w:r w:rsidRPr="003B2E29">
        <w:rPr>
          <w:rFonts w:ascii="Arial" w:hAnsi="Arial" w:cs="Arial"/>
          <w:sz w:val="22"/>
          <w:szCs w:val="22"/>
        </w:rPr>
        <w:t>. Obdobným způsobem bylo postupováno již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roce 2008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souvislosti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uskutečněním přechodu zemského analogového televizního vysílání na DTT ve standardu DVB-T/MPEG-2, který se uskutečnil v</w:t>
      </w:r>
      <w:r w:rsidR="003C03F8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letech</w:t>
      </w:r>
      <w:r w:rsidR="003C03F8">
        <w:rPr>
          <w:rFonts w:ascii="Arial" w:hAnsi="Arial" w:cs="Arial"/>
          <w:sz w:val="22"/>
          <w:szCs w:val="22"/>
        </w:rPr>
        <w:t xml:space="preserve"> </w:t>
      </w:r>
      <w:r w:rsidRPr="003B2E29">
        <w:rPr>
          <w:rFonts w:ascii="Arial" w:hAnsi="Arial" w:cs="Arial"/>
          <w:sz w:val="22"/>
          <w:szCs w:val="22"/>
        </w:rPr>
        <w:t>2008</w:t>
      </w:r>
      <w:r w:rsidR="0018674B" w:rsidRPr="003B2E29">
        <w:rPr>
          <w:rFonts w:ascii="Arial" w:hAnsi="Arial" w:cs="Arial"/>
          <w:sz w:val="22"/>
          <w:szCs w:val="22"/>
        </w:rPr>
        <w:t xml:space="preserve"> – </w:t>
      </w:r>
      <w:r w:rsidRPr="003B2E29">
        <w:rPr>
          <w:rFonts w:ascii="Arial" w:hAnsi="Arial" w:cs="Arial"/>
          <w:sz w:val="22"/>
          <w:szCs w:val="22"/>
        </w:rPr>
        <w:t>2012</w:t>
      </w:r>
      <w:r w:rsidR="0018674B" w:rsidRPr="003B2E29">
        <w:rPr>
          <w:rFonts w:ascii="Arial" w:hAnsi="Arial" w:cs="Arial"/>
          <w:sz w:val="22"/>
          <w:szCs w:val="22"/>
        </w:rPr>
        <w:t xml:space="preserve"> </w:t>
      </w:r>
      <w:r w:rsidRPr="003B2E29">
        <w:rPr>
          <w:rFonts w:ascii="Arial" w:hAnsi="Arial" w:cs="Arial"/>
          <w:sz w:val="22"/>
          <w:szCs w:val="22"/>
        </w:rPr>
        <w:t>(„</w:t>
      </w:r>
      <w:r w:rsidRPr="003B2E29">
        <w:rPr>
          <w:rFonts w:ascii="Arial" w:hAnsi="Arial" w:cs="Arial"/>
          <w:b/>
          <w:sz w:val="22"/>
          <w:szCs w:val="22"/>
        </w:rPr>
        <w:t>Přechod na DTT</w:t>
      </w:r>
      <w:r w:rsidRPr="003B2E29">
        <w:rPr>
          <w:rFonts w:ascii="Arial" w:hAnsi="Arial" w:cs="Arial"/>
          <w:sz w:val="22"/>
          <w:szCs w:val="22"/>
        </w:rPr>
        <w:t>“).</w:t>
      </w:r>
      <w:r w:rsidRPr="003B2E29">
        <w:rPr>
          <w:rStyle w:val="Znakapoznpodarou"/>
          <w:rFonts w:ascii="Arial" w:hAnsi="Arial" w:cs="Arial"/>
          <w:sz w:val="22"/>
          <w:szCs w:val="22"/>
        </w:rPr>
        <w:footnoteReference w:id="5"/>
      </w:r>
    </w:p>
    <w:p w14:paraId="7A6C2DE2" w14:textId="40FADAC9" w:rsidR="009720AB" w:rsidRPr="003B2E29" w:rsidRDefault="009720AB" w:rsidP="00FC4CD4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S ohledem na plánovaný obsah T</w:t>
      </w:r>
      <w:r w:rsidRPr="003C03F8">
        <w:rPr>
          <w:rFonts w:ascii="Arial" w:hAnsi="Arial" w:cs="Arial"/>
          <w:sz w:val="22"/>
          <w:szCs w:val="22"/>
        </w:rPr>
        <w:t>PP (viz níže</w:t>
      </w:r>
      <w:r w:rsidRPr="003B2E29">
        <w:rPr>
          <w:rFonts w:ascii="Arial" w:hAnsi="Arial" w:cs="Arial"/>
          <w:sz w:val="22"/>
          <w:szCs w:val="22"/>
        </w:rPr>
        <w:t>) lze k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jeho </w:t>
      </w:r>
      <w:r w:rsidR="00F60056" w:rsidRPr="003B2E29">
        <w:rPr>
          <w:rFonts w:ascii="Arial" w:hAnsi="Arial" w:cs="Arial"/>
          <w:sz w:val="22"/>
          <w:szCs w:val="22"/>
        </w:rPr>
        <w:t>finálnímu sestavení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vydání přistoupit až po dokončení mezinárodních jednání, která vede ČTÚ se sousedními administrativami ve věci mezinárodní koordinace příslušných rádiových kmitočtů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jejichž ukončení se předpokládá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průběhu roku 2017</w:t>
      </w:r>
      <w:r w:rsidR="00607F11" w:rsidRPr="003B2E29">
        <w:rPr>
          <w:rFonts w:ascii="Arial" w:hAnsi="Arial" w:cs="Arial"/>
          <w:sz w:val="22"/>
          <w:szCs w:val="22"/>
        </w:rPr>
        <w:t xml:space="preserve">, </w:t>
      </w:r>
      <w:r w:rsidR="00DC4588" w:rsidRPr="003B2E29">
        <w:rPr>
          <w:rFonts w:ascii="Arial" w:hAnsi="Arial" w:cs="Arial"/>
          <w:sz w:val="22"/>
          <w:szCs w:val="22"/>
        </w:rPr>
        <w:t xml:space="preserve">resp. </w:t>
      </w:r>
      <w:r w:rsidR="00607F11" w:rsidRPr="003B2E29">
        <w:rPr>
          <w:rFonts w:ascii="Arial" w:hAnsi="Arial" w:cs="Arial"/>
          <w:sz w:val="22"/>
          <w:szCs w:val="22"/>
        </w:rPr>
        <w:t>nejpozději do konce roku 2017</w:t>
      </w:r>
      <w:r w:rsidRPr="003B2E29">
        <w:rPr>
          <w:rFonts w:ascii="Arial" w:hAnsi="Arial" w:cs="Arial"/>
          <w:sz w:val="22"/>
          <w:szCs w:val="22"/>
        </w:rPr>
        <w:t>.</w:t>
      </w:r>
    </w:p>
    <w:p w14:paraId="2329419C" w14:textId="77777777" w:rsidR="009720AB" w:rsidRPr="003B2E29" w:rsidRDefault="009720AB" w:rsidP="00FC4CD4">
      <w:pPr>
        <w:pStyle w:val="Normlnweb"/>
        <w:spacing w:before="0" w:beforeAutospacing="0" w:after="240" w:afterAutospacing="0" w:line="276" w:lineRule="auto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TPP:</w:t>
      </w:r>
    </w:p>
    <w:p w14:paraId="00C6BB58" w14:textId="2CDD32C6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Bude reflektovat existenci </w:t>
      </w:r>
      <w:r w:rsidR="005A5207" w:rsidRPr="003B2E29">
        <w:rPr>
          <w:rFonts w:ascii="Arial" w:hAnsi="Arial" w:cs="Arial"/>
          <w:sz w:val="22"/>
          <w:szCs w:val="22"/>
        </w:rPr>
        <w:t xml:space="preserve">nejméně </w:t>
      </w:r>
      <w:r w:rsidRPr="003B2E29">
        <w:rPr>
          <w:rFonts w:ascii="Arial" w:hAnsi="Arial" w:cs="Arial"/>
          <w:sz w:val="22"/>
          <w:szCs w:val="22"/>
        </w:rPr>
        <w:t xml:space="preserve">dvou </w:t>
      </w:r>
      <w:r w:rsidR="006C19A5" w:rsidRPr="003B2E29">
        <w:rPr>
          <w:rFonts w:ascii="Arial" w:hAnsi="Arial" w:cs="Arial"/>
          <w:sz w:val="22"/>
          <w:szCs w:val="22"/>
        </w:rPr>
        <w:t xml:space="preserve">celoplošných </w:t>
      </w:r>
      <w:r w:rsidRPr="003B2E29">
        <w:rPr>
          <w:rFonts w:ascii="Arial" w:hAnsi="Arial" w:cs="Arial"/>
          <w:sz w:val="22"/>
          <w:szCs w:val="22"/>
        </w:rPr>
        <w:t xml:space="preserve">Přechodových sítí </w:t>
      </w:r>
      <w:r w:rsidR="003444BC" w:rsidRPr="003B2E29">
        <w:rPr>
          <w:rFonts w:ascii="Arial" w:hAnsi="Arial" w:cs="Arial"/>
          <w:sz w:val="22"/>
          <w:szCs w:val="22"/>
        </w:rPr>
        <w:t xml:space="preserve">a </w:t>
      </w:r>
      <w:r w:rsidR="00E45CCB" w:rsidRPr="003B2E29">
        <w:rPr>
          <w:rFonts w:ascii="Arial" w:hAnsi="Arial" w:cs="Arial"/>
          <w:sz w:val="22"/>
          <w:szCs w:val="22"/>
        </w:rPr>
        <w:t>další Přechodové sítě pro regionální vysílání</w:t>
      </w:r>
      <w:r w:rsidR="003C03F8">
        <w:rPr>
          <w:rFonts w:ascii="Arial" w:hAnsi="Arial" w:cs="Arial"/>
          <w:sz w:val="22"/>
          <w:szCs w:val="22"/>
        </w:rPr>
        <w:t>,</w:t>
      </w:r>
      <w:r w:rsidRPr="003B2E29">
        <w:rPr>
          <w:rFonts w:ascii="Arial" w:hAnsi="Arial" w:cs="Arial"/>
          <w:sz w:val="22"/>
          <w:szCs w:val="22"/>
        </w:rPr>
        <w:t xml:space="preserve"> přičemž stanoví způsob ukončení jejich provozu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na základě stanovení pevného data pro ukončení provozu jednotlivých vysílačů tvořících tyto jednotlivé Přechodové sítě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v návaznosti na provedení Refarmingu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strukturu finálních Sítí DVB-T2 provozovaných na základě kmitočtových přídělů.</w:t>
      </w:r>
      <w:r w:rsidR="006C19A5" w:rsidRPr="003B2E29">
        <w:rPr>
          <w:rFonts w:ascii="Arial" w:hAnsi="Arial" w:cs="Arial"/>
          <w:sz w:val="22"/>
          <w:szCs w:val="22"/>
        </w:rPr>
        <w:t xml:space="preserve"> Bude reflektovat i</w:t>
      </w:r>
      <w:r w:rsidR="00AD5849">
        <w:rPr>
          <w:rFonts w:ascii="Arial" w:hAnsi="Arial" w:cs="Arial"/>
          <w:sz w:val="22"/>
          <w:szCs w:val="22"/>
        </w:rPr>
        <w:t xml:space="preserve"> </w:t>
      </w:r>
      <w:r w:rsidR="006C19A5" w:rsidRPr="003B2E29">
        <w:rPr>
          <w:rFonts w:ascii="Arial" w:hAnsi="Arial" w:cs="Arial"/>
          <w:sz w:val="22"/>
          <w:szCs w:val="22"/>
        </w:rPr>
        <w:t>sestavení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6C19A5" w:rsidRPr="003B2E29">
        <w:rPr>
          <w:rFonts w:ascii="Arial" w:hAnsi="Arial" w:cs="Arial"/>
          <w:sz w:val="22"/>
          <w:szCs w:val="22"/>
        </w:rPr>
        <w:t xml:space="preserve">možnost využití </w:t>
      </w:r>
      <w:r w:rsidR="00607F11" w:rsidRPr="003B2E29">
        <w:rPr>
          <w:rFonts w:ascii="Arial" w:hAnsi="Arial" w:cs="Arial"/>
          <w:sz w:val="22"/>
          <w:szCs w:val="22"/>
        </w:rPr>
        <w:t xml:space="preserve">další </w:t>
      </w:r>
      <w:r w:rsidR="006C19A5" w:rsidRPr="003B2E29">
        <w:rPr>
          <w:rFonts w:ascii="Arial" w:hAnsi="Arial" w:cs="Arial"/>
          <w:sz w:val="22"/>
          <w:szCs w:val="22"/>
        </w:rPr>
        <w:t>Přechodové sítě pro regionální vysílání, která nemusí mít celoplošné pokrytí.</w:t>
      </w:r>
    </w:p>
    <w:p w14:paraId="630DBEE3" w14:textId="14BA519C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Vymezí jednotlivé </w:t>
      </w:r>
      <w:r w:rsidR="00CB2923" w:rsidRPr="003B2E29">
        <w:rPr>
          <w:rFonts w:ascii="Arial" w:hAnsi="Arial" w:cs="Arial"/>
          <w:sz w:val="22"/>
          <w:szCs w:val="22"/>
        </w:rPr>
        <w:t xml:space="preserve">finální </w:t>
      </w:r>
      <w:r w:rsidRPr="003B2E29">
        <w:rPr>
          <w:rFonts w:ascii="Arial" w:hAnsi="Arial" w:cs="Arial"/>
          <w:sz w:val="22"/>
          <w:szCs w:val="22"/>
        </w:rPr>
        <w:t>Sítě DVB-T2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na základě specifikace příslušných rádiových kanálů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stanovišť příslušných vysílačů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dat, ke kterým bude zahájeno šíření DTT ve standardu DVB-T2/HEVC z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příslušných vysílačů Sítí DVB-T2. Sítě </w:t>
      </w:r>
      <w:r w:rsidR="00EF675B">
        <w:rPr>
          <w:rFonts w:ascii="Arial" w:hAnsi="Arial" w:cs="Arial"/>
          <w:sz w:val="22"/>
          <w:szCs w:val="22"/>
        </w:rPr>
        <w:br/>
      </w:r>
      <w:r w:rsidRPr="003B2E29">
        <w:rPr>
          <w:rFonts w:ascii="Arial" w:hAnsi="Arial" w:cs="Arial"/>
          <w:sz w:val="22"/>
          <w:szCs w:val="22"/>
        </w:rPr>
        <w:t>DVB-T2 budou sestaveny tak, aby bylo dosaženo co nejvyšší spektrální efektivity využití příslušných rádiových kmitočtů na základě minimalizace regionálního členění</w:t>
      </w:r>
      <w:r w:rsidR="00DC0482">
        <w:rPr>
          <w:rFonts w:ascii="Arial" w:hAnsi="Arial" w:cs="Arial"/>
          <w:sz w:val="22"/>
          <w:szCs w:val="22"/>
        </w:rPr>
        <w:t>, a</w:t>
      </w:r>
      <w:r w:rsidR="00EF675B">
        <w:rPr>
          <w:rFonts w:ascii="Arial" w:hAnsi="Arial" w:cs="Arial"/>
          <w:sz w:val="22"/>
          <w:szCs w:val="22"/>
        </w:rPr>
        <w:t> </w:t>
      </w:r>
      <w:r w:rsidR="00DC0482">
        <w:rPr>
          <w:rFonts w:ascii="Arial" w:hAnsi="Arial" w:cs="Arial"/>
          <w:sz w:val="22"/>
          <w:szCs w:val="22"/>
        </w:rPr>
        <w:t>to</w:t>
      </w:r>
      <w:r w:rsidRPr="003B2E29">
        <w:rPr>
          <w:rFonts w:ascii="Arial" w:hAnsi="Arial" w:cs="Arial"/>
          <w:sz w:val="22"/>
          <w:szCs w:val="22"/>
        </w:rPr>
        <w:t xml:space="preserve"> pouze jako sítě celoplošné. </w:t>
      </w:r>
    </w:p>
    <w:p w14:paraId="2160F2D8" w14:textId="2993F05D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Stanoví lhůty, podmínky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způsob rozvoje Sítí DVB-T2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zejména podmínky pro Refarming Sítí DVB-T na Sítě DVB-T2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prostřednictvím stanovení závazných termínů, ke kterým bude ukončeno šíření DTT ve standardu DVB-T/MPEG-2 z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jednotlivých vysílačů </w:t>
      </w:r>
      <w:r w:rsidR="00DC4588" w:rsidRPr="003B2E29">
        <w:rPr>
          <w:rFonts w:ascii="Arial" w:hAnsi="Arial" w:cs="Arial"/>
          <w:sz w:val="22"/>
          <w:szCs w:val="22"/>
        </w:rPr>
        <w:t xml:space="preserve">celoplošných </w:t>
      </w:r>
      <w:r w:rsidRPr="003B2E29">
        <w:rPr>
          <w:rFonts w:ascii="Arial" w:hAnsi="Arial" w:cs="Arial"/>
          <w:sz w:val="22"/>
          <w:szCs w:val="22"/>
        </w:rPr>
        <w:t>Sítí DVB-T</w:t>
      </w:r>
      <w:r w:rsidR="00E45CCB" w:rsidRPr="003B2E29">
        <w:rPr>
          <w:rFonts w:ascii="Arial" w:hAnsi="Arial" w:cs="Arial"/>
          <w:sz w:val="22"/>
          <w:szCs w:val="22"/>
        </w:rPr>
        <w:t xml:space="preserve"> (Přepínání sítí DTT)</w:t>
      </w:r>
      <w:r w:rsidRPr="003B2E29">
        <w:rPr>
          <w:rFonts w:ascii="Arial" w:hAnsi="Arial" w:cs="Arial"/>
          <w:sz w:val="22"/>
          <w:szCs w:val="22"/>
        </w:rPr>
        <w:t>.</w:t>
      </w:r>
      <w:r w:rsidR="00AD5849">
        <w:rPr>
          <w:rFonts w:ascii="Arial" w:hAnsi="Arial" w:cs="Arial"/>
          <w:sz w:val="22"/>
          <w:szCs w:val="22"/>
        </w:rPr>
        <w:t xml:space="preserve"> </w:t>
      </w:r>
    </w:p>
    <w:p w14:paraId="1F510863" w14:textId="5CFBB5AE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lastRenderedPageBreak/>
        <w:t xml:space="preserve">Stanoví podmínky pro ukončení šíření DTT ve standardu DVB-T/MPEG-2 prostřednictví </w:t>
      </w:r>
      <w:r w:rsidR="00CB2923" w:rsidRPr="003B2E29">
        <w:rPr>
          <w:rFonts w:ascii="Arial" w:hAnsi="Arial" w:cs="Arial"/>
          <w:sz w:val="22"/>
          <w:szCs w:val="22"/>
        </w:rPr>
        <w:t xml:space="preserve">finálních </w:t>
      </w:r>
      <w:r w:rsidR="00622348" w:rsidRPr="003B2E29">
        <w:rPr>
          <w:rFonts w:ascii="Arial" w:hAnsi="Arial" w:cs="Arial"/>
          <w:sz w:val="22"/>
          <w:szCs w:val="22"/>
        </w:rPr>
        <w:t xml:space="preserve">celoplošných </w:t>
      </w:r>
      <w:r w:rsidRPr="003B2E29">
        <w:rPr>
          <w:rFonts w:ascii="Arial" w:hAnsi="Arial" w:cs="Arial"/>
          <w:sz w:val="22"/>
          <w:szCs w:val="22"/>
        </w:rPr>
        <w:t>Sítí DVB-T</w:t>
      </w:r>
      <w:r w:rsidR="00F1106A" w:rsidRPr="003B2E29">
        <w:rPr>
          <w:rFonts w:ascii="Arial" w:hAnsi="Arial" w:cs="Arial"/>
          <w:sz w:val="22"/>
          <w:szCs w:val="22"/>
        </w:rPr>
        <w:t>2</w:t>
      </w:r>
      <w:r w:rsidRPr="003B2E29">
        <w:rPr>
          <w:rFonts w:ascii="Arial" w:hAnsi="Arial" w:cs="Arial"/>
          <w:sz w:val="22"/>
          <w:szCs w:val="22"/>
        </w:rPr>
        <w:t>, kterými jsou zejména:</w:t>
      </w:r>
    </w:p>
    <w:p w14:paraId="02BB6F1F" w14:textId="77777777" w:rsidR="009720AB" w:rsidRPr="003B2E29" w:rsidRDefault="009720AB" w:rsidP="00FC4CD4">
      <w:pPr>
        <w:pStyle w:val="Normlnweb"/>
        <w:numPr>
          <w:ilvl w:val="1"/>
          <w:numId w:val="34"/>
        </w:numPr>
        <w:tabs>
          <w:tab w:val="clear" w:pos="21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Zajištění pokrytí příslušné geografické oblasti signálem DTT ve standardu DVB-T2/HEVC alespoň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rozsahu pokrytí stávajícím signálem DTT ve standardu DVB-T/MPEG-2; </w:t>
      </w:r>
    </w:p>
    <w:p w14:paraId="6BA2B1BB" w14:textId="202D1FB3" w:rsidR="009720AB" w:rsidRPr="003B2E29" w:rsidRDefault="009720AB" w:rsidP="00FC4CD4">
      <w:pPr>
        <w:pStyle w:val="Normlnweb"/>
        <w:numPr>
          <w:ilvl w:val="1"/>
          <w:numId w:val="34"/>
        </w:numPr>
        <w:tabs>
          <w:tab w:val="clear" w:pos="21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Trvání </w:t>
      </w:r>
      <w:r w:rsidR="00E45CCB" w:rsidRPr="003B2E29">
        <w:rPr>
          <w:rFonts w:ascii="Arial" w:hAnsi="Arial" w:cs="Arial"/>
          <w:sz w:val="22"/>
          <w:szCs w:val="22"/>
        </w:rPr>
        <w:t>celoplošné</w:t>
      </w:r>
      <w:r w:rsidRPr="003B2E29">
        <w:rPr>
          <w:rFonts w:ascii="Arial" w:hAnsi="Arial" w:cs="Arial"/>
          <w:sz w:val="22"/>
          <w:szCs w:val="22"/>
        </w:rPr>
        <w:t xml:space="preserve"> informační kampaně ohledně ukončení šíření DTT ve standardu DVB-T/MPEG-2 </w:t>
      </w:r>
      <w:r w:rsidR="00E45CCB" w:rsidRPr="003B2E29">
        <w:rPr>
          <w:rFonts w:ascii="Arial" w:hAnsi="Arial" w:cs="Arial"/>
          <w:sz w:val="22"/>
          <w:szCs w:val="22"/>
        </w:rPr>
        <w:t>a případně i</w:t>
      </w:r>
      <w:r w:rsidRPr="003B2E29">
        <w:rPr>
          <w:rFonts w:ascii="Arial" w:hAnsi="Arial" w:cs="Arial"/>
          <w:sz w:val="22"/>
          <w:szCs w:val="22"/>
        </w:rPr>
        <w:t xml:space="preserve">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příslušné dotčené geografické oblasti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dostatečném rozsahu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po </w:t>
      </w:r>
      <w:r w:rsidR="00E45CCB" w:rsidRPr="003B2E29">
        <w:rPr>
          <w:rFonts w:ascii="Arial" w:hAnsi="Arial" w:cs="Arial"/>
          <w:sz w:val="22"/>
          <w:szCs w:val="22"/>
        </w:rPr>
        <w:t xml:space="preserve">celkovou </w:t>
      </w:r>
      <w:r w:rsidRPr="003B2E29">
        <w:rPr>
          <w:rFonts w:ascii="Arial" w:hAnsi="Arial" w:cs="Arial"/>
          <w:sz w:val="22"/>
          <w:szCs w:val="22"/>
        </w:rPr>
        <w:t xml:space="preserve">dobu nejméně </w:t>
      </w:r>
      <w:r w:rsidR="00F906DF" w:rsidRPr="003B2E29">
        <w:rPr>
          <w:rFonts w:ascii="Arial" w:hAnsi="Arial" w:cs="Arial"/>
          <w:sz w:val="22"/>
          <w:szCs w:val="22"/>
        </w:rPr>
        <w:t>1</w:t>
      </w:r>
      <w:r w:rsidR="00A7320E" w:rsidRPr="003B2E29">
        <w:rPr>
          <w:rFonts w:ascii="Arial" w:hAnsi="Arial" w:cs="Arial"/>
          <w:sz w:val="22"/>
          <w:szCs w:val="22"/>
        </w:rPr>
        <w:t>8</w:t>
      </w:r>
      <w:r w:rsidRPr="003B2E29">
        <w:rPr>
          <w:rFonts w:ascii="Arial" w:hAnsi="Arial" w:cs="Arial"/>
          <w:sz w:val="22"/>
          <w:szCs w:val="22"/>
        </w:rPr>
        <w:t xml:space="preserve"> měsíců před datem ukončení šíření DTT ve standardu DVB-T/MPEG-2; a</w:t>
      </w:r>
    </w:p>
    <w:p w14:paraId="5B8938FD" w14:textId="24A4D4FC" w:rsidR="009720AB" w:rsidRPr="003B2E29" w:rsidRDefault="009720AB" w:rsidP="00FC4CD4">
      <w:pPr>
        <w:pStyle w:val="Normlnweb"/>
        <w:numPr>
          <w:ilvl w:val="1"/>
          <w:numId w:val="34"/>
        </w:numPr>
        <w:tabs>
          <w:tab w:val="clear" w:pos="2160"/>
        </w:tabs>
        <w:spacing w:before="0" w:beforeAutospacing="0" w:after="240" w:afterAutospacing="0" w:line="276" w:lineRule="auto"/>
        <w:ind w:left="1440"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Uskutečnění </w:t>
      </w:r>
      <w:r w:rsidR="00E45CCB" w:rsidRPr="003B2E29">
        <w:rPr>
          <w:rFonts w:ascii="Arial" w:hAnsi="Arial" w:cs="Arial"/>
          <w:sz w:val="22"/>
          <w:szCs w:val="22"/>
        </w:rPr>
        <w:t xml:space="preserve">celoplošného </w:t>
      </w:r>
      <w:r w:rsidRPr="003B2E29">
        <w:rPr>
          <w:rFonts w:ascii="Arial" w:hAnsi="Arial" w:cs="Arial"/>
          <w:sz w:val="22"/>
          <w:szCs w:val="22"/>
        </w:rPr>
        <w:t xml:space="preserve">Souběžného vysílání po dobu nejméně </w:t>
      </w:r>
      <w:r w:rsidR="00A7320E" w:rsidRPr="003B2E29">
        <w:rPr>
          <w:rFonts w:ascii="Arial" w:hAnsi="Arial" w:cs="Arial"/>
          <w:sz w:val="22"/>
          <w:szCs w:val="22"/>
        </w:rPr>
        <w:t>24</w:t>
      </w:r>
      <w:r w:rsidRPr="003B2E29">
        <w:rPr>
          <w:rFonts w:ascii="Arial" w:hAnsi="Arial" w:cs="Arial"/>
          <w:sz w:val="22"/>
          <w:szCs w:val="22"/>
        </w:rPr>
        <w:t xml:space="preserve"> měsíců.</w:t>
      </w:r>
      <w:r w:rsidR="00AD5849">
        <w:rPr>
          <w:rFonts w:ascii="Arial" w:hAnsi="Arial" w:cs="Arial"/>
          <w:sz w:val="22"/>
          <w:szCs w:val="22"/>
        </w:rPr>
        <w:t xml:space="preserve"> </w:t>
      </w:r>
    </w:p>
    <w:p w14:paraId="3A5C1B9A" w14:textId="55DD3C8B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Stanoví datum pro Úplné vypnutí DVB-T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nejpozději ke dni 31.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="006C19A5" w:rsidRPr="003B2E29">
        <w:rPr>
          <w:rFonts w:ascii="Arial" w:hAnsi="Arial" w:cs="Arial"/>
          <w:sz w:val="22"/>
          <w:szCs w:val="22"/>
        </w:rPr>
        <w:t>března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202</w:t>
      </w:r>
      <w:r w:rsidR="006C19A5" w:rsidRPr="003B2E29">
        <w:rPr>
          <w:rFonts w:ascii="Arial" w:hAnsi="Arial" w:cs="Arial"/>
          <w:sz w:val="22"/>
          <w:szCs w:val="22"/>
        </w:rPr>
        <w:t>1</w:t>
      </w:r>
      <w:r w:rsidRPr="003B2E29">
        <w:rPr>
          <w:rFonts w:ascii="Arial" w:hAnsi="Arial" w:cs="Arial"/>
          <w:sz w:val="22"/>
          <w:szCs w:val="22"/>
        </w:rPr>
        <w:t>.</w:t>
      </w:r>
    </w:p>
    <w:p w14:paraId="7A9BA6AD" w14:textId="1DCFF1C6" w:rsidR="009720AB" w:rsidRPr="003B2E29" w:rsidRDefault="009720AB" w:rsidP="00FC4CD4">
      <w:pPr>
        <w:pStyle w:val="Normlnweb"/>
        <w:numPr>
          <w:ilvl w:val="0"/>
          <w:numId w:val="13"/>
        </w:numPr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 xml:space="preserve">Finální datum ukončení DTT ve standardu DVB-T/MPEG-2 bude stanoveno na základě </w:t>
      </w:r>
      <w:r w:rsidR="002B279B" w:rsidRPr="003B2E29">
        <w:rPr>
          <w:rFonts w:ascii="Arial" w:hAnsi="Arial" w:cs="Arial"/>
          <w:i/>
          <w:sz w:val="22"/>
          <w:szCs w:val="22"/>
        </w:rPr>
        <w:t>evropského rozhodnutí o uvolnění pásma 700 MHz,</w:t>
      </w:r>
      <w:r w:rsidR="00AD5849">
        <w:rPr>
          <w:rFonts w:ascii="Arial" w:hAnsi="Arial" w:cs="Arial"/>
          <w:i/>
          <w:sz w:val="22"/>
          <w:szCs w:val="22"/>
        </w:rPr>
        <w:t xml:space="preserve"> </w:t>
      </w:r>
      <w:r w:rsidRPr="003B2E29">
        <w:rPr>
          <w:rFonts w:ascii="Arial" w:hAnsi="Arial" w:cs="Arial"/>
          <w:i/>
          <w:sz w:val="22"/>
          <w:szCs w:val="22"/>
        </w:rPr>
        <w:t>příp. postupu evropské harmonizace</w:t>
      </w:r>
      <w:r w:rsidR="00E45CCB" w:rsidRPr="003B2E29">
        <w:rPr>
          <w:rFonts w:ascii="Arial" w:hAnsi="Arial" w:cs="Arial"/>
          <w:i/>
          <w:sz w:val="22"/>
          <w:szCs w:val="22"/>
        </w:rPr>
        <w:t xml:space="preserve"> a zahájení celoplošného Souběžného vysílání</w:t>
      </w:r>
      <w:r w:rsidRPr="003B2E29">
        <w:rPr>
          <w:rFonts w:ascii="Arial" w:hAnsi="Arial" w:cs="Arial"/>
          <w:i/>
          <w:sz w:val="22"/>
          <w:szCs w:val="22"/>
        </w:rPr>
        <w:t>.</w:t>
      </w:r>
    </w:p>
    <w:p w14:paraId="405642D8" w14:textId="37003BCD" w:rsidR="009720AB" w:rsidRPr="003B2E29" w:rsidRDefault="009720AB" w:rsidP="00FC4CD4">
      <w:pPr>
        <w:pStyle w:val="Normlnweb"/>
        <w:numPr>
          <w:ilvl w:val="0"/>
          <w:numId w:val="13"/>
        </w:numPr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Navržené termíny odpovídají aktuálně očekávanému termínu „2020“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EU.</w:t>
      </w:r>
    </w:p>
    <w:p w14:paraId="484F2605" w14:textId="723AEC98" w:rsidR="009720AB" w:rsidRPr="003B2E29" w:rsidRDefault="009720AB" w:rsidP="00FC4CD4">
      <w:pPr>
        <w:pStyle w:val="Normlnweb"/>
        <w:numPr>
          <w:ilvl w:val="0"/>
          <w:numId w:val="13"/>
        </w:numPr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 xml:space="preserve">Ve Strategii je jako datum úplného vypnutí navrženo </w:t>
      </w:r>
      <w:r w:rsidR="0018674B" w:rsidRPr="003B2E29">
        <w:rPr>
          <w:rFonts w:ascii="Arial" w:hAnsi="Arial" w:cs="Arial"/>
          <w:i/>
          <w:sz w:val="22"/>
          <w:szCs w:val="22"/>
        </w:rPr>
        <w:t xml:space="preserve">1. 2. </w:t>
      </w:r>
      <w:r w:rsidRPr="003B2E29">
        <w:rPr>
          <w:rFonts w:ascii="Arial" w:hAnsi="Arial" w:cs="Arial"/>
          <w:i/>
          <w:sz w:val="22"/>
          <w:szCs w:val="22"/>
        </w:rPr>
        <w:t>202</w:t>
      </w:r>
      <w:r w:rsidR="00BF1761" w:rsidRPr="003B2E29">
        <w:rPr>
          <w:rFonts w:ascii="Arial" w:hAnsi="Arial" w:cs="Arial"/>
          <w:i/>
          <w:sz w:val="22"/>
          <w:szCs w:val="22"/>
        </w:rPr>
        <w:t>1</w:t>
      </w:r>
      <w:r w:rsidR="00B228E4" w:rsidRPr="003B2E29">
        <w:rPr>
          <w:rFonts w:ascii="Arial" w:hAnsi="Arial" w:cs="Arial"/>
          <w:i/>
          <w:sz w:val="22"/>
          <w:szCs w:val="22"/>
        </w:rPr>
        <w:t xml:space="preserve">, které je posunuto o 7 měsíců od data dle Návrhu evropského rozhodnutí (to je ovšem možno posunout </w:t>
      </w:r>
      <w:r w:rsidR="00C66463" w:rsidRPr="003B2E29">
        <w:rPr>
          <w:rFonts w:ascii="Arial" w:hAnsi="Arial" w:cs="Arial"/>
          <w:i/>
          <w:sz w:val="22"/>
          <w:szCs w:val="22"/>
        </w:rPr>
        <w:t xml:space="preserve">až </w:t>
      </w:r>
      <w:r w:rsidR="00B228E4" w:rsidRPr="003B2E29">
        <w:rPr>
          <w:rFonts w:ascii="Arial" w:hAnsi="Arial" w:cs="Arial"/>
          <w:i/>
          <w:sz w:val="22"/>
          <w:szCs w:val="22"/>
        </w:rPr>
        <w:t>o 24 měsíců).</w:t>
      </w:r>
    </w:p>
    <w:p w14:paraId="1F726795" w14:textId="7DB65E0B" w:rsidR="009720AB" w:rsidRPr="003B2E29" w:rsidRDefault="009720AB" w:rsidP="00FC4CD4">
      <w:pPr>
        <w:pStyle w:val="Normlnweb"/>
        <w:numPr>
          <w:ilvl w:val="5"/>
          <w:numId w:val="1"/>
        </w:numPr>
        <w:spacing w:before="0" w:beforeAutospacing="0" w:after="240" w:afterAutospacing="0" w:line="276" w:lineRule="auto"/>
        <w:ind w:left="709" w:hanging="709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Zakotví povinnosti ČTÚ uvést plán využití rádiového spektra do souladu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TPP</w:t>
      </w:r>
      <w:r w:rsidR="00A7320E" w:rsidRPr="003B2E29">
        <w:rPr>
          <w:rFonts w:ascii="Arial" w:hAnsi="Arial" w:cs="Arial"/>
          <w:sz w:val="22"/>
          <w:szCs w:val="22"/>
        </w:rPr>
        <w:t xml:space="preserve"> a</w:t>
      </w:r>
      <w:r w:rsidR="00785475">
        <w:rPr>
          <w:rFonts w:ascii="Arial" w:hAnsi="Arial" w:cs="Arial"/>
          <w:sz w:val="22"/>
          <w:szCs w:val="22"/>
        </w:rPr>
        <w:t> </w:t>
      </w:r>
      <w:r w:rsidR="00A7320E" w:rsidRPr="003B2E29">
        <w:rPr>
          <w:rFonts w:ascii="Arial" w:hAnsi="Arial" w:cs="Arial"/>
          <w:sz w:val="22"/>
          <w:szCs w:val="22"/>
        </w:rPr>
        <w:t>s evropským rozhodnutím o uvolnění pásma 700 MHz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bez zbytečného odkladu po jeho vydání. </w:t>
      </w:r>
    </w:p>
    <w:p w14:paraId="02FC89D6" w14:textId="5C76127F" w:rsidR="009720AB" w:rsidRPr="003B2E29" w:rsidRDefault="009720AB" w:rsidP="00FC4CD4">
      <w:pPr>
        <w:pStyle w:val="Odstavecseseznamem1"/>
        <w:numPr>
          <w:ilvl w:val="6"/>
          <w:numId w:val="2"/>
        </w:numPr>
        <w:spacing w:after="240"/>
        <w:ind w:left="720" w:hanging="720"/>
        <w:jc w:val="both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>Úhrada nákladů a</w:t>
      </w:r>
      <w:r w:rsidR="0018674B" w:rsidRPr="003B2E29">
        <w:rPr>
          <w:rFonts w:ascii="Arial" w:hAnsi="Arial" w:cs="Arial"/>
          <w:b/>
        </w:rPr>
        <w:t> </w:t>
      </w:r>
      <w:r w:rsidRPr="003B2E29">
        <w:rPr>
          <w:rFonts w:ascii="Arial" w:hAnsi="Arial" w:cs="Arial"/>
          <w:b/>
        </w:rPr>
        <w:t>financování Přechodu na DVB-T2</w:t>
      </w:r>
    </w:p>
    <w:p w14:paraId="2D408DE4" w14:textId="7D48A60E" w:rsidR="009720AB" w:rsidRPr="003B2E29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Součástí novely ZEK (</w:t>
      </w:r>
      <w:r w:rsidRPr="00317493">
        <w:rPr>
          <w:rFonts w:ascii="Arial" w:hAnsi="Arial" w:cs="Arial"/>
        </w:rPr>
        <w:t>viz</w:t>
      </w:r>
      <w:r w:rsidRPr="003B2E29">
        <w:rPr>
          <w:rFonts w:ascii="Arial" w:hAnsi="Arial" w:cs="Arial"/>
        </w:rPr>
        <w:t xml:space="preserve"> bod B.6</w:t>
      </w:r>
      <w:r w:rsidR="00317493">
        <w:rPr>
          <w:rFonts w:ascii="Arial" w:hAnsi="Arial" w:cs="Arial"/>
        </w:rPr>
        <w:t xml:space="preserve"> </w:t>
      </w:r>
      <w:r w:rsidRPr="003B2E29">
        <w:rPr>
          <w:rFonts w:ascii="Arial" w:hAnsi="Arial" w:cs="Arial"/>
        </w:rPr>
        <w:t>(v) výše) jsou i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  <w:b/>
        </w:rPr>
        <w:t>přechodná ustanovení</w:t>
      </w:r>
      <w:r w:rsidRPr="003B2E29">
        <w:rPr>
          <w:rFonts w:ascii="Arial" w:hAnsi="Arial" w:cs="Arial"/>
        </w:rPr>
        <w:t xml:space="preserve"> týkající se úhrady nákladů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financování vynuceného procesu Přechodu na DVB-T2. Jde o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obdobný postup, jaký byl využit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případě financování Přechodu na DTT, který se uskutečnil v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letech 2008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2012. Tento postup využívá příslušných ustanovení ZEK, zejména pak ustanovení § 27 ZEK o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tzv. radiokomunikačním účtu, který je mimo státní rozpočet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soustřeďuje prostředky na krytí specifických nákladů souvisejících se správou rádiového spektra.</w:t>
      </w:r>
    </w:p>
    <w:p w14:paraId="209031AF" w14:textId="2C6726EE" w:rsidR="009720AB" w:rsidRPr="003B2E29" w:rsidRDefault="009720AB" w:rsidP="00FC4CD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Vzhledem k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plánovanému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 xml:space="preserve">očekávanému rozsahu nákladů účastníků procesu Přechodu na DVB-T2 je </w:t>
      </w:r>
      <w:r w:rsidR="00607F11" w:rsidRPr="003B2E29">
        <w:rPr>
          <w:rFonts w:ascii="Arial" w:hAnsi="Arial" w:cs="Arial"/>
        </w:rPr>
        <w:t xml:space="preserve">navrhovanou </w:t>
      </w:r>
      <w:r w:rsidRPr="003B2E29">
        <w:rPr>
          <w:rFonts w:ascii="Arial" w:hAnsi="Arial" w:cs="Arial"/>
        </w:rPr>
        <w:t>Diginovelou upraven i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způsob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výše tvorby prostředků radiokomunikačního účtu a</w:t>
      </w:r>
      <w:r w:rsidR="0018674B" w:rsidRPr="003B2E29">
        <w:rPr>
          <w:rFonts w:ascii="Arial" w:hAnsi="Arial" w:cs="Arial"/>
        </w:rPr>
        <w:t> </w:t>
      </w:r>
      <w:r w:rsidRPr="003B2E29">
        <w:rPr>
          <w:rFonts w:ascii="Arial" w:hAnsi="Arial" w:cs="Arial"/>
        </w:rPr>
        <w:t>způsob jeho čerpání</w:t>
      </w:r>
      <w:r w:rsidR="00A7320E" w:rsidRPr="003B2E29">
        <w:rPr>
          <w:rFonts w:ascii="Arial" w:hAnsi="Arial" w:cs="Arial"/>
        </w:rPr>
        <w:t>, tj. úpravu vládních nařízení č. 153/2005 Sb.</w:t>
      </w:r>
      <w:r w:rsidR="00FE0A47" w:rsidRPr="003B2E29">
        <w:rPr>
          <w:rFonts w:ascii="Arial" w:hAnsi="Arial" w:cs="Arial"/>
        </w:rPr>
        <w:t xml:space="preserve"> </w:t>
      </w:r>
      <w:r w:rsidR="00A7320E" w:rsidRPr="003B2E29">
        <w:rPr>
          <w:rFonts w:ascii="Arial" w:hAnsi="Arial" w:cs="Arial"/>
        </w:rPr>
        <w:t>a č.154/2005 Sb.</w:t>
      </w:r>
      <w:r w:rsidRPr="003B2E29">
        <w:rPr>
          <w:rFonts w:ascii="Arial" w:hAnsi="Arial" w:cs="Arial"/>
        </w:rPr>
        <w:t xml:space="preserve"> Tato </w:t>
      </w:r>
      <w:r w:rsidR="00A7320E" w:rsidRPr="003B2E29">
        <w:rPr>
          <w:rFonts w:ascii="Arial" w:hAnsi="Arial" w:cs="Arial"/>
        </w:rPr>
        <w:t xml:space="preserve">dočasná </w:t>
      </w:r>
      <w:r w:rsidRPr="003B2E29">
        <w:rPr>
          <w:rFonts w:ascii="Arial" w:hAnsi="Arial" w:cs="Arial"/>
        </w:rPr>
        <w:t xml:space="preserve">úprava je </w:t>
      </w:r>
      <w:r w:rsidR="00EA3A8C" w:rsidRPr="003B2E29">
        <w:rPr>
          <w:rFonts w:ascii="Arial" w:hAnsi="Arial" w:cs="Arial"/>
        </w:rPr>
        <w:t>převážně</w:t>
      </w:r>
      <w:r w:rsidRPr="003B2E29">
        <w:rPr>
          <w:rFonts w:ascii="Arial" w:hAnsi="Arial" w:cs="Arial"/>
        </w:rPr>
        <w:t xml:space="preserve"> použita pouze pro období procesu Přechodu na DVB-T2, tj. na předpokládané období let 2016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2021.</w:t>
      </w:r>
    </w:p>
    <w:p w14:paraId="78611590" w14:textId="15DFCF6F" w:rsidR="009720AB" w:rsidRPr="003B2E29" w:rsidRDefault="009720AB" w:rsidP="00FC4CD4">
      <w:pPr>
        <w:pStyle w:val="Normlnweb"/>
        <w:numPr>
          <w:ilvl w:val="0"/>
          <w:numId w:val="36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Provozovatel Přechodové sítě má nárok na úhradu nákladů prokazatelně vynaložených na výstavbu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provoz Přechodové sítě</w:t>
      </w:r>
      <w:r w:rsidR="00DC0482">
        <w:rPr>
          <w:rFonts w:ascii="Arial" w:hAnsi="Arial" w:cs="Arial"/>
          <w:sz w:val="22"/>
          <w:szCs w:val="22"/>
        </w:rPr>
        <w:t>, a to</w:t>
      </w:r>
      <w:r w:rsidRPr="003B2E29">
        <w:rPr>
          <w:rFonts w:ascii="Arial" w:hAnsi="Arial" w:cs="Arial"/>
          <w:sz w:val="22"/>
          <w:szCs w:val="22"/>
        </w:rPr>
        <w:t xml:space="preserve"> až do doby ukončení provozu Přechodové sítě dle příslušných ustanovení TPP. Provozovatel Sítě DVB-T má nárok na úhradu nákladů prokazatelně vynaložených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souvislosti s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Refarmingem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uskutečněním přechodu Sítě DVB-T na šíření DTT ve standardu DVB-T2/HEVC</w:t>
      </w:r>
      <w:r w:rsidR="000C413B" w:rsidRPr="003B2E29">
        <w:rPr>
          <w:rFonts w:ascii="Arial" w:hAnsi="Arial" w:cs="Arial"/>
          <w:sz w:val="22"/>
          <w:szCs w:val="22"/>
        </w:rPr>
        <w:t xml:space="preserve"> </w:t>
      </w:r>
      <w:r w:rsidR="000C413B" w:rsidRPr="003B2E29">
        <w:rPr>
          <w:rFonts w:ascii="Arial" w:hAnsi="Arial" w:cs="Arial"/>
          <w:sz w:val="22"/>
          <w:szCs w:val="22"/>
        </w:rPr>
        <w:lastRenderedPageBreak/>
        <w:t>v souvislosti s uvolněním kmitočtů pásma 700 MHz dle příslušného evropského rozhodnutí</w:t>
      </w:r>
      <w:r w:rsidRPr="003B2E29">
        <w:rPr>
          <w:rFonts w:ascii="Arial" w:hAnsi="Arial" w:cs="Arial"/>
          <w:sz w:val="22"/>
          <w:szCs w:val="22"/>
        </w:rPr>
        <w:t>.</w:t>
      </w:r>
      <w:r w:rsidR="00AD5849">
        <w:rPr>
          <w:rFonts w:ascii="Arial" w:hAnsi="Arial" w:cs="Arial"/>
          <w:sz w:val="22"/>
          <w:szCs w:val="22"/>
        </w:rPr>
        <w:t xml:space="preserve"> </w:t>
      </w:r>
    </w:p>
    <w:p w14:paraId="3F852182" w14:textId="6DD96A6F" w:rsidR="009720AB" w:rsidRPr="003B2E29" w:rsidRDefault="009720AB" w:rsidP="00FC4CD4">
      <w:pPr>
        <w:pStyle w:val="Normlnweb"/>
        <w:numPr>
          <w:ilvl w:val="0"/>
          <w:numId w:val="37"/>
        </w:numPr>
        <w:spacing w:before="0" w:beforeAutospacing="0" w:after="24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Jde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způsob kompenzace vyvolaných nákladů procesu Přechodu na DVB-T2, obdobně jako Přechodu na DTT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minulosti</w:t>
      </w:r>
      <w:r w:rsidR="00911EB1" w:rsidRPr="003B2E29">
        <w:rPr>
          <w:rFonts w:ascii="Arial" w:hAnsi="Arial" w:cs="Arial"/>
          <w:i/>
          <w:sz w:val="22"/>
          <w:szCs w:val="22"/>
        </w:rPr>
        <w:t>.</w:t>
      </w:r>
    </w:p>
    <w:p w14:paraId="62B7FCE6" w14:textId="48D50462" w:rsidR="00911EB1" w:rsidRPr="003B2E29" w:rsidRDefault="00911EB1" w:rsidP="00FC4CD4">
      <w:pPr>
        <w:pStyle w:val="Normlnweb"/>
        <w:numPr>
          <w:ilvl w:val="0"/>
          <w:numId w:val="37"/>
        </w:numPr>
        <w:spacing w:before="0" w:beforeAutospacing="0" w:after="24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Kompenzace vyvolaných nákladů je předpokládána i Návrhem Rozhodnutí Evropského parlamentu a Rady k uvolnění kmitočtů pásma 700 MHz</w:t>
      </w:r>
      <w:r w:rsidR="00E45CCB" w:rsidRPr="003B2E29">
        <w:rPr>
          <w:rFonts w:ascii="Arial" w:hAnsi="Arial" w:cs="Arial"/>
          <w:i/>
          <w:sz w:val="22"/>
          <w:szCs w:val="22"/>
        </w:rPr>
        <w:t xml:space="preserve"> (čl.</w:t>
      </w:r>
      <w:r w:rsidR="00785475">
        <w:rPr>
          <w:rFonts w:ascii="Arial" w:hAnsi="Arial" w:cs="Arial"/>
          <w:i/>
          <w:sz w:val="22"/>
          <w:szCs w:val="22"/>
        </w:rPr>
        <w:t xml:space="preserve"> </w:t>
      </w:r>
      <w:r w:rsidR="00E45CCB" w:rsidRPr="003B2E29">
        <w:rPr>
          <w:rFonts w:ascii="Arial" w:hAnsi="Arial" w:cs="Arial"/>
          <w:i/>
          <w:sz w:val="22"/>
          <w:szCs w:val="22"/>
        </w:rPr>
        <w:t>5a Návrhu)</w:t>
      </w:r>
      <w:r w:rsidRPr="003B2E29">
        <w:rPr>
          <w:rFonts w:ascii="Arial" w:hAnsi="Arial" w:cs="Arial"/>
          <w:i/>
          <w:sz w:val="22"/>
          <w:szCs w:val="22"/>
        </w:rPr>
        <w:t>.</w:t>
      </w:r>
    </w:p>
    <w:p w14:paraId="476DFCF0" w14:textId="77777777" w:rsidR="00825EE3" w:rsidRPr="003B2E29" w:rsidRDefault="00825EE3" w:rsidP="00FC4CD4">
      <w:pPr>
        <w:pStyle w:val="Normlnweb"/>
        <w:numPr>
          <w:ilvl w:val="0"/>
          <w:numId w:val="36"/>
        </w:numPr>
        <w:spacing w:before="0" w:beforeAutospacing="0" w:after="200" w:afterAutospacing="0" w:line="276" w:lineRule="auto"/>
        <w:ind w:hanging="72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 xml:space="preserve">Provozovatel Přechodové sítě je </w:t>
      </w:r>
      <w:r w:rsidR="000C413B" w:rsidRPr="003B2E29">
        <w:rPr>
          <w:rFonts w:ascii="Arial" w:hAnsi="Arial" w:cs="Arial"/>
          <w:sz w:val="22"/>
          <w:szCs w:val="22"/>
        </w:rPr>
        <w:t>po dobu S</w:t>
      </w:r>
      <w:r w:rsidRPr="003B2E29">
        <w:rPr>
          <w:rFonts w:ascii="Arial" w:hAnsi="Arial" w:cs="Arial"/>
          <w:sz w:val="22"/>
          <w:szCs w:val="22"/>
        </w:rPr>
        <w:t xml:space="preserve">ouběžného vysílání osvobozen od úhrady </w:t>
      </w:r>
      <w:r w:rsidR="00B54867" w:rsidRPr="003B2E29">
        <w:rPr>
          <w:rFonts w:ascii="Arial" w:hAnsi="Arial" w:cs="Arial"/>
          <w:sz w:val="22"/>
          <w:szCs w:val="22"/>
        </w:rPr>
        <w:t xml:space="preserve">poplatků </w:t>
      </w:r>
      <w:r w:rsidRPr="003B2E29">
        <w:rPr>
          <w:rFonts w:ascii="Arial" w:hAnsi="Arial" w:cs="Arial"/>
          <w:sz w:val="22"/>
          <w:szCs w:val="22"/>
        </w:rPr>
        <w:t xml:space="preserve">za využívání kmitočtů dle individuálních oprávnění, použitých pro sestavení dané </w:t>
      </w:r>
      <w:r w:rsidR="00255272" w:rsidRPr="003B2E29">
        <w:rPr>
          <w:rFonts w:ascii="Arial" w:hAnsi="Arial" w:cs="Arial"/>
          <w:sz w:val="22"/>
          <w:szCs w:val="22"/>
        </w:rPr>
        <w:t xml:space="preserve">Přechodové </w:t>
      </w:r>
      <w:r w:rsidRPr="003B2E29">
        <w:rPr>
          <w:rFonts w:ascii="Arial" w:hAnsi="Arial" w:cs="Arial"/>
          <w:sz w:val="22"/>
          <w:szCs w:val="22"/>
        </w:rPr>
        <w:t>sítě (</w:t>
      </w:r>
      <w:r w:rsidR="00B54867" w:rsidRPr="003B2E29">
        <w:rPr>
          <w:rFonts w:ascii="Arial" w:hAnsi="Arial" w:cs="Arial"/>
          <w:sz w:val="22"/>
          <w:szCs w:val="22"/>
        </w:rPr>
        <w:t xml:space="preserve">novela </w:t>
      </w:r>
      <w:r w:rsidRPr="003B2E29">
        <w:rPr>
          <w:rFonts w:ascii="Arial" w:hAnsi="Arial" w:cs="Arial"/>
          <w:sz w:val="22"/>
          <w:szCs w:val="22"/>
        </w:rPr>
        <w:t>Vládní</w:t>
      </w:r>
      <w:r w:rsidR="00B54867" w:rsidRPr="003B2E29">
        <w:rPr>
          <w:rFonts w:ascii="Arial" w:hAnsi="Arial" w:cs="Arial"/>
          <w:sz w:val="22"/>
          <w:szCs w:val="22"/>
        </w:rPr>
        <w:t>ho</w:t>
      </w:r>
      <w:r w:rsidRPr="003B2E29">
        <w:rPr>
          <w:rFonts w:ascii="Arial" w:hAnsi="Arial" w:cs="Arial"/>
          <w:sz w:val="22"/>
          <w:szCs w:val="22"/>
        </w:rPr>
        <w:t xml:space="preserve"> nařízení č. 154/2005 Sb.).</w:t>
      </w:r>
    </w:p>
    <w:p w14:paraId="33085BF0" w14:textId="39BF989B" w:rsidR="009720AB" w:rsidRPr="003B2E29" w:rsidRDefault="009720AB" w:rsidP="00FC4CD4">
      <w:pPr>
        <w:pStyle w:val="Normlnweb"/>
        <w:numPr>
          <w:ilvl w:val="0"/>
          <w:numId w:val="37"/>
        </w:numPr>
        <w:spacing w:before="0" w:beforeAutospacing="0" w:after="24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 xml:space="preserve"> </w:t>
      </w:r>
      <w:r w:rsidR="00825EE3" w:rsidRPr="003B2E29">
        <w:rPr>
          <w:rFonts w:ascii="Arial" w:hAnsi="Arial" w:cs="Arial"/>
          <w:i/>
          <w:sz w:val="22"/>
          <w:szCs w:val="22"/>
        </w:rPr>
        <w:t>Výši poplatků za kmitočty</w:t>
      </w:r>
      <w:r w:rsidR="00225626" w:rsidRPr="003B2E29">
        <w:rPr>
          <w:rFonts w:ascii="Arial" w:hAnsi="Arial" w:cs="Arial"/>
          <w:i/>
          <w:sz w:val="22"/>
          <w:szCs w:val="22"/>
        </w:rPr>
        <w:t>,</w:t>
      </w:r>
      <w:r w:rsidR="00825EE3" w:rsidRPr="003B2E29">
        <w:rPr>
          <w:rFonts w:ascii="Arial" w:hAnsi="Arial" w:cs="Arial"/>
          <w:i/>
          <w:sz w:val="22"/>
          <w:szCs w:val="22"/>
        </w:rPr>
        <w:t xml:space="preserve"> použité </w:t>
      </w:r>
      <w:r w:rsidR="00225626" w:rsidRPr="003B2E29">
        <w:rPr>
          <w:rFonts w:ascii="Arial" w:hAnsi="Arial" w:cs="Arial"/>
          <w:i/>
          <w:sz w:val="22"/>
          <w:szCs w:val="22"/>
        </w:rPr>
        <w:t xml:space="preserve">dočasně </w:t>
      </w:r>
      <w:r w:rsidR="00825EE3" w:rsidRPr="003B2E29">
        <w:rPr>
          <w:rFonts w:ascii="Arial" w:hAnsi="Arial" w:cs="Arial"/>
          <w:i/>
          <w:sz w:val="22"/>
          <w:szCs w:val="22"/>
        </w:rPr>
        <w:t xml:space="preserve">pro provoz Přechodových sítí je možno odhadnout ve výši cca </w:t>
      </w:r>
      <w:r w:rsidR="00911EB1" w:rsidRPr="003B2E29">
        <w:rPr>
          <w:rFonts w:ascii="Arial" w:hAnsi="Arial" w:cs="Arial"/>
          <w:i/>
          <w:sz w:val="22"/>
          <w:szCs w:val="22"/>
        </w:rPr>
        <w:t>1</w:t>
      </w:r>
      <w:r w:rsidR="00225872" w:rsidRPr="003B2E29">
        <w:rPr>
          <w:rFonts w:ascii="Arial" w:hAnsi="Arial" w:cs="Arial"/>
          <w:i/>
          <w:sz w:val="22"/>
          <w:szCs w:val="22"/>
        </w:rPr>
        <w:t>2</w:t>
      </w:r>
      <w:r w:rsidR="003B2E29">
        <w:rPr>
          <w:rFonts w:ascii="Arial" w:hAnsi="Arial" w:cs="Arial"/>
          <w:i/>
          <w:sz w:val="22"/>
          <w:szCs w:val="22"/>
        </w:rPr>
        <w:t xml:space="preserve"> – </w:t>
      </w:r>
      <w:r w:rsidR="00225626" w:rsidRPr="003B2E29">
        <w:rPr>
          <w:rFonts w:ascii="Arial" w:hAnsi="Arial" w:cs="Arial"/>
          <w:i/>
          <w:sz w:val="22"/>
          <w:szCs w:val="22"/>
        </w:rPr>
        <w:t>2</w:t>
      </w:r>
      <w:r w:rsidR="00225872" w:rsidRPr="003B2E29">
        <w:rPr>
          <w:rFonts w:ascii="Arial" w:hAnsi="Arial" w:cs="Arial"/>
          <w:i/>
          <w:sz w:val="22"/>
          <w:szCs w:val="22"/>
        </w:rPr>
        <w:t>0</w:t>
      </w:r>
      <w:r w:rsidR="00225626" w:rsidRPr="003B2E29">
        <w:rPr>
          <w:rFonts w:ascii="Arial" w:hAnsi="Arial" w:cs="Arial"/>
          <w:i/>
          <w:sz w:val="22"/>
          <w:szCs w:val="22"/>
        </w:rPr>
        <w:t xml:space="preserve"> mil. </w:t>
      </w:r>
      <w:r w:rsidRPr="003B2E29">
        <w:rPr>
          <w:rFonts w:ascii="Arial" w:hAnsi="Arial" w:cs="Arial"/>
          <w:i/>
          <w:sz w:val="22"/>
          <w:szCs w:val="22"/>
        </w:rPr>
        <w:t xml:space="preserve">Kč ročně. </w:t>
      </w:r>
      <w:r w:rsidR="00911EB1" w:rsidRPr="003B2E29">
        <w:rPr>
          <w:rFonts w:ascii="Arial" w:hAnsi="Arial" w:cs="Arial"/>
          <w:i/>
          <w:sz w:val="22"/>
          <w:szCs w:val="22"/>
        </w:rPr>
        <w:t>T</w:t>
      </w:r>
      <w:r w:rsidR="00B54867" w:rsidRPr="003B2E29">
        <w:rPr>
          <w:rFonts w:ascii="Arial" w:hAnsi="Arial" w:cs="Arial"/>
          <w:i/>
          <w:sz w:val="22"/>
          <w:szCs w:val="22"/>
        </w:rPr>
        <w:t xml:space="preserve">yto náklady by byly započteny do nákladů provozu této sítě (viz </w:t>
      </w:r>
      <w:r w:rsidR="00EF675B">
        <w:rPr>
          <w:rFonts w:ascii="Arial" w:hAnsi="Arial" w:cs="Arial"/>
          <w:i/>
          <w:sz w:val="22"/>
          <w:szCs w:val="22"/>
        </w:rPr>
        <w:t>bod</w:t>
      </w:r>
      <w:r w:rsidR="00B54867" w:rsidRPr="003B2E29">
        <w:rPr>
          <w:rFonts w:ascii="Arial" w:hAnsi="Arial" w:cs="Arial"/>
          <w:i/>
          <w:sz w:val="22"/>
          <w:szCs w:val="22"/>
        </w:rPr>
        <w:t xml:space="preserve"> 2)</w:t>
      </w:r>
      <w:r w:rsidR="00EF675B">
        <w:rPr>
          <w:rFonts w:ascii="Arial" w:hAnsi="Arial" w:cs="Arial"/>
          <w:i/>
          <w:sz w:val="22"/>
          <w:szCs w:val="22"/>
        </w:rPr>
        <w:t>).</w:t>
      </w:r>
      <w:r w:rsidR="00911EB1" w:rsidRPr="003B2E29">
        <w:rPr>
          <w:rFonts w:ascii="Arial" w:hAnsi="Arial" w:cs="Arial"/>
          <w:i/>
          <w:sz w:val="22"/>
          <w:szCs w:val="22"/>
        </w:rPr>
        <w:t xml:space="preserve"> </w:t>
      </w:r>
      <w:r w:rsidR="00EF675B">
        <w:rPr>
          <w:rFonts w:ascii="Arial" w:hAnsi="Arial" w:cs="Arial"/>
          <w:i/>
          <w:sz w:val="22"/>
          <w:szCs w:val="22"/>
        </w:rPr>
        <w:t>V</w:t>
      </w:r>
      <w:r w:rsidR="000C413B" w:rsidRPr="003B2E29">
        <w:rPr>
          <w:rFonts w:ascii="Arial" w:hAnsi="Arial" w:cs="Arial"/>
          <w:i/>
          <w:sz w:val="22"/>
          <w:szCs w:val="22"/>
        </w:rPr>
        <w:t>zhledem k tomu, že tento náklad by byl následně kompenzován</w:t>
      </w:r>
      <w:r w:rsidR="00EF675B">
        <w:rPr>
          <w:rFonts w:ascii="Arial" w:hAnsi="Arial" w:cs="Arial"/>
          <w:i/>
          <w:sz w:val="22"/>
          <w:szCs w:val="22"/>
        </w:rPr>
        <w:t>,</w:t>
      </w:r>
      <w:r w:rsidR="000C413B" w:rsidRPr="003B2E29">
        <w:rPr>
          <w:rFonts w:ascii="Arial" w:hAnsi="Arial" w:cs="Arial"/>
          <w:i/>
          <w:sz w:val="22"/>
          <w:szCs w:val="22"/>
        </w:rPr>
        <w:t xml:space="preserve"> je nadbytečné tyto poplatky vybírat.</w:t>
      </w:r>
      <w:r w:rsidR="00B54867" w:rsidRPr="003B2E29">
        <w:rPr>
          <w:rFonts w:ascii="Arial" w:hAnsi="Arial" w:cs="Arial"/>
          <w:i/>
          <w:sz w:val="22"/>
          <w:szCs w:val="22"/>
        </w:rPr>
        <w:t xml:space="preserve"> </w:t>
      </w:r>
    </w:p>
    <w:p w14:paraId="71635D27" w14:textId="3DF78985" w:rsidR="009720AB" w:rsidRPr="003B2E29" w:rsidRDefault="009720AB" w:rsidP="00FC4CD4">
      <w:pPr>
        <w:pStyle w:val="Normlnweb"/>
        <w:numPr>
          <w:ilvl w:val="0"/>
          <w:numId w:val="36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Úhrada nákladů podle bodu 2) se poskytuje z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prostředků radiokomunikačního účtu (§</w:t>
      </w:r>
      <w:r w:rsidR="00620ADD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27 ZEK ve znění účinném ode dne nabytí účinnosti Diginovely). O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nároku na úhradu nákladů rozhoduje na základě žádosti ČTÚ. Žádost o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 xml:space="preserve">úhradu nákladů musí provozovatel sítě elektronických komunikací podat nejpozději do </w:t>
      </w:r>
      <w:r w:rsidR="0048194B" w:rsidRPr="003B2E29">
        <w:rPr>
          <w:rFonts w:ascii="Arial" w:hAnsi="Arial" w:cs="Arial"/>
          <w:sz w:val="22"/>
          <w:szCs w:val="22"/>
        </w:rPr>
        <w:t>6</w:t>
      </w:r>
      <w:r w:rsidRPr="003B2E29">
        <w:rPr>
          <w:rFonts w:ascii="Arial" w:hAnsi="Arial" w:cs="Arial"/>
          <w:sz w:val="22"/>
          <w:szCs w:val="22"/>
        </w:rPr>
        <w:t xml:space="preserve"> měsíců ode dne vynaložení nákladů nebo do 3 měsíců ode dne nabytí účinnosti Diginovely, jinak právo zanikne.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případech podle toho bodu stanoví ČTÚ výši úhrady prokázaných nákladů.</w:t>
      </w:r>
    </w:p>
    <w:p w14:paraId="0BF994B6" w14:textId="2C62DDFB" w:rsidR="009720AB" w:rsidRPr="003B2E29" w:rsidRDefault="009720AB" w:rsidP="00FC4CD4">
      <w:pPr>
        <w:pStyle w:val="Normlnweb"/>
        <w:numPr>
          <w:ilvl w:val="0"/>
          <w:numId w:val="37"/>
        </w:numPr>
        <w:spacing w:before="0" w:beforeAutospacing="0" w:after="24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Jde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obdobné ustanovení, jaké bylo použito při Přechodu na DTT.</w:t>
      </w:r>
    </w:p>
    <w:p w14:paraId="00CAC132" w14:textId="67EABF45" w:rsidR="009720AB" w:rsidRPr="003B2E29" w:rsidRDefault="009720AB" w:rsidP="00FC4CD4">
      <w:pPr>
        <w:pStyle w:val="Normlnweb"/>
        <w:numPr>
          <w:ilvl w:val="0"/>
          <w:numId w:val="37"/>
        </w:numPr>
        <w:spacing w:before="0" w:beforeAutospacing="0" w:after="24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Jde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náklady vyvolané v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přímé souvislosti s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procesem Přechodu na DVB-T2, který je nařízen státem.</w:t>
      </w:r>
    </w:p>
    <w:p w14:paraId="028DFC86" w14:textId="33B8B925" w:rsidR="0048194B" w:rsidRPr="003B2E29" w:rsidRDefault="0048194B" w:rsidP="00FC4CD4">
      <w:pPr>
        <w:pStyle w:val="Normlnweb"/>
        <w:numPr>
          <w:ilvl w:val="0"/>
          <w:numId w:val="37"/>
        </w:numPr>
        <w:spacing w:before="0" w:beforeAutospacing="0" w:after="120" w:afterAutospacing="0" w:line="276" w:lineRule="auto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 xml:space="preserve">Takové přímé </w:t>
      </w:r>
      <w:r w:rsidR="00E45CCB" w:rsidRPr="003B2E29">
        <w:rPr>
          <w:rFonts w:ascii="Arial" w:hAnsi="Arial" w:cs="Arial"/>
          <w:i/>
          <w:sz w:val="22"/>
          <w:szCs w:val="22"/>
        </w:rPr>
        <w:t>náhrady</w:t>
      </w:r>
      <w:r w:rsidRPr="003B2E29">
        <w:rPr>
          <w:rFonts w:ascii="Arial" w:hAnsi="Arial" w:cs="Arial"/>
          <w:i/>
          <w:sz w:val="22"/>
          <w:szCs w:val="22"/>
        </w:rPr>
        <w:t xml:space="preserve"> předpokládá i návrh evropského rozhodnutí k uvolnění pásma 700 MHz</w:t>
      </w:r>
      <w:r w:rsidR="00785475">
        <w:rPr>
          <w:rFonts w:ascii="Arial" w:hAnsi="Arial" w:cs="Arial"/>
          <w:i/>
          <w:sz w:val="22"/>
          <w:szCs w:val="22"/>
        </w:rPr>
        <w:t>.</w:t>
      </w:r>
    </w:p>
    <w:p w14:paraId="7D623BAE" w14:textId="453F7EEC" w:rsidR="009720AB" w:rsidRPr="003B2E29" w:rsidRDefault="009720AB" w:rsidP="00FC4CD4">
      <w:pPr>
        <w:pStyle w:val="Normlnweb"/>
        <w:numPr>
          <w:ilvl w:val="0"/>
          <w:numId w:val="36"/>
        </w:numPr>
        <w:spacing w:before="0" w:beforeAutospacing="0" w:after="240" w:afterAutospacing="0" w:line="276" w:lineRule="auto"/>
        <w:ind w:hanging="720"/>
        <w:rPr>
          <w:rFonts w:ascii="Arial" w:hAnsi="Arial" w:cs="Arial"/>
          <w:sz w:val="22"/>
          <w:szCs w:val="22"/>
        </w:rPr>
      </w:pPr>
      <w:r w:rsidRPr="003B2E29">
        <w:rPr>
          <w:rFonts w:ascii="Arial" w:hAnsi="Arial" w:cs="Arial"/>
          <w:sz w:val="22"/>
          <w:szCs w:val="22"/>
        </w:rPr>
        <w:t>V době ode dne účinnosti Diginovely do dne 31. prosince 2021 převádí ČTÚ na radiokomunikační účet peněžní prostředky v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rozsahu stanoveném prováděcím právním předpisem podle § 27 odst. 6 a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§ 133 odst. 2 ZEK, ve znění účinném ode dne nabytí účinnosti Diginovely, zvýšené o 2</w:t>
      </w:r>
      <w:r w:rsidR="001C66A1" w:rsidRPr="003B2E29">
        <w:rPr>
          <w:rFonts w:ascii="Arial" w:hAnsi="Arial" w:cs="Arial"/>
          <w:sz w:val="22"/>
          <w:szCs w:val="22"/>
        </w:rPr>
        <w:t>4</w:t>
      </w:r>
      <w:r w:rsidR="00AD5849">
        <w:rPr>
          <w:rFonts w:ascii="Arial" w:hAnsi="Arial" w:cs="Arial"/>
          <w:sz w:val="22"/>
          <w:szCs w:val="22"/>
        </w:rPr>
        <w:t xml:space="preserve"> </w:t>
      </w:r>
      <w:r w:rsidR="003B2E29">
        <w:rPr>
          <w:rFonts w:ascii="Arial" w:hAnsi="Arial" w:cs="Arial"/>
          <w:sz w:val="22"/>
          <w:szCs w:val="22"/>
        </w:rPr>
        <w:t>%</w:t>
      </w:r>
      <w:r w:rsidRPr="003B2E29">
        <w:rPr>
          <w:rFonts w:ascii="Arial" w:hAnsi="Arial" w:cs="Arial"/>
          <w:sz w:val="22"/>
          <w:szCs w:val="22"/>
        </w:rPr>
        <w:t xml:space="preserve"> z</w:t>
      </w:r>
      <w:r w:rsidR="0018674B" w:rsidRPr="003B2E29">
        <w:rPr>
          <w:rFonts w:ascii="Arial" w:hAnsi="Arial" w:cs="Arial"/>
          <w:sz w:val="22"/>
          <w:szCs w:val="22"/>
        </w:rPr>
        <w:t> </w:t>
      </w:r>
      <w:r w:rsidRPr="003B2E29">
        <w:rPr>
          <w:rFonts w:ascii="Arial" w:hAnsi="Arial" w:cs="Arial"/>
          <w:sz w:val="22"/>
          <w:szCs w:val="22"/>
        </w:rPr>
        <w:t>celkového výnosu vybraných poplatků za využívání rádiových kmitočtů</w:t>
      </w:r>
      <w:r w:rsidR="00825EE3" w:rsidRPr="003B2E29">
        <w:rPr>
          <w:rFonts w:ascii="Arial" w:hAnsi="Arial" w:cs="Arial"/>
          <w:sz w:val="22"/>
          <w:szCs w:val="22"/>
        </w:rPr>
        <w:t>, tj. celkově na podíl ve výši 3</w:t>
      </w:r>
      <w:r w:rsidR="001C66A1" w:rsidRPr="003B2E29">
        <w:rPr>
          <w:rFonts w:ascii="Arial" w:hAnsi="Arial" w:cs="Arial"/>
          <w:sz w:val="22"/>
          <w:szCs w:val="22"/>
        </w:rPr>
        <w:t>0</w:t>
      </w:r>
      <w:r w:rsidR="003B2E29">
        <w:rPr>
          <w:rFonts w:ascii="Arial" w:hAnsi="Arial" w:cs="Arial"/>
          <w:sz w:val="22"/>
          <w:szCs w:val="22"/>
        </w:rPr>
        <w:t xml:space="preserve"> %</w:t>
      </w:r>
      <w:r w:rsidR="00825EE3" w:rsidRPr="003B2E29">
        <w:rPr>
          <w:rFonts w:ascii="Arial" w:hAnsi="Arial" w:cs="Arial"/>
          <w:sz w:val="22"/>
          <w:szCs w:val="22"/>
        </w:rPr>
        <w:t xml:space="preserve"> celkové sumy vybraných poplatků za kmitočty</w:t>
      </w:r>
      <w:r w:rsidR="00C24CA4" w:rsidRPr="003B2E29">
        <w:rPr>
          <w:rFonts w:ascii="Arial" w:hAnsi="Arial" w:cs="Arial"/>
          <w:sz w:val="22"/>
          <w:szCs w:val="22"/>
        </w:rPr>
        <w:t xml:space="preserve"> (vládní nařízení č.</w:t>
      </w:r>
      <w:r w:rsidR="00785475">
        <w:rPr>
          <w:rFonts w:ascii="Arial" w:hAnsi="Arial" w:cs="Arial"/>
          <w:sz w:val="22"/>
          <w:szCs w:val="22"/>
        </w:rPr>
        <w:t xml:space="preserve"> </w:t>
      </w:r>
      <w:r w:rsidR="00C24CA4" w:rsidRPr="003B2E29">
        <w:rPr>
          <w:rFonts w:ascii="Arial" w:hAnsi="Arial" w:cs="Arial"/>
          <w:sz w:val="22"/>
          <w:szCs w:val="22"/>
        </w:rPr>
        <w:t>153/2005</w:t>
      </w:r>
      <w:r w:rsidR="00825EE3" w:rsidRPr="003B2E29">
        <w:rPr>
          <w:rFonts w:ascii="Arial" w:hAnsi="Arial" w:cs="Arial"/>
          <w:sz w:val="22"/>
          <w:szCs w:val="22"/>
        </w:rPr>
        <w:t>, vládní nařízení č.</w:t>
      </w:r>
      <w:r w:rsidR="00785475">
        <w:rPr>
          <w:rFonts w:ascii="Arial" w:hAnsi="Arial" w:cs="Arial"/>
          <w:sz w:val="22"/>
          <w:szCs w:val="22"/>
        </w:rPr>
        <w:t> </w:t>
      </w:r>
      <w:r w:rsidR="00825EE3" w:rsidRPr="003B2E29">
        <w:rPr>
          <w:rFonts w:ascii="Arial" w:hAnsi="Arial" w:cs="Arial"/>
          <w:sz w:val="22"/>
          <w:szCs w:val="22"/>
        </w:rPr>
        <w:t>154/2005</w:t>
      </w:r>
      <w:r w:rsidR="00C24CA4" w:rsidRPr="003B2E29">
        <w:rPr>
          <w:rFonts w:ascii="Arial" w:hAnsi="Arial" w:cs="Arial"/>
          <w:sz w:val="22"/>
          <w:szCs w:val="22"/>
        </w:rPr>
        <w:t>)</w:t>
      </w:r>
      <w:r w:rsidRPr="003B2E29">
        <w:rPr>
          <w:rFonts w:ascii="Arial" w:hAnsi="Arial" w:cs="Arial"/>
          <w:sz w:val="22"/>
          <w:szCs w:val="22"/>
        </w:rPr>
        <w:t>.</w:t>
      </w:r>
      <w:r w:rsidR="00D40D0F" w:rsidRPr="003B2E29">
        <w:rPr>
          <w:rFonts w:ascii="Arial" w:hAnsi="Arial" w:cs="Arial"/>
          <w:sz w:val="22"/>
          <w:szCs w:val="22"/>
        </w:rPr>
        <w:t xml:space="preserve"> </w:t>
      </w:r>
      <w:r w:rsidR="00FE0A47" w:rsidRPr="003B2E29">
        <w:rPr>
          <w:rFonts w:ascii="Arial" w:hAnsi="Arial" w:cs="Arial"/>
          <w:sz w:val="22"/>
          <w:szCs w:val="22"/>
        </w:rPr>
        <w:t>Ú</w:t>
      </w:r>
      <w:r w:rsidR="00D40D0F" w:rsidRPr="003B2E29">
        <w:rPr>
          <w:rFonts w:ascii="Arial" w:hAnsi="Arial" w:cs="Arial"/>
          <w:sz w:val="22"/>
          <w:szCs w:val="22"/>
        </w:rPr>
        <w:t>prav</w:t>
      </w:r>
      <w:r w:rsidR="00FE0A47" w:rsidRPr="003B2E29">
        <w:rPr>
          <w:rFonts w:ascii="Arial" w:hAnsi="Arial" w:cs="Arial"/>
          <w:sz w:val="22"/>
          <w:szCs w:val="22"/>
        </w:rPr>
        <w:t xml:space="preserve">a </w:t>
      </w:r>
      <w:r w:rsidR="00D40D0F" w:rsidRPr="003B2E29">
        <w:rPr>
          <w:rFonts w:ascii="Arial" w:hAnsi="Arial" w:cs="Arial"/>
          <w:sz w:val="22"/>
          <w:szCs w:val="22"/>
        </w:rPr>
        <w:t>předpis</w:t>
      </w:r>
      <w:r w:rsidR="00FE0A47" w:rsidRPr="003B2E29">
        <w:rPr>
          <w:rFonts w:ascii="Arial" w:hAnsi="Arial" w:cs="Arial"/>
          <w:sz w:val="22"/>
          <w:szCs w:val="22"/>
        </w:rPr>
        <w:t>u</w:t>
      </w:r>
      <w:r w:rsidR="00D40D0F" w:rsidRPr="003B2E29">
        <w:rPr>
          <w:rFonts w:ascii="Arial" w:hAnsi="Arial" w:cs="Arial"/>
          <w:sz w:val="22"/>
          <w:szCs w:val="22"/>
        </w:rPr>
        <w:t xml:space="preserve"> rovněž stanoví způsob, jak bude naloženo se zůstatkem radiokomunikačního účtu po dokončení Přechodu</w:t>
      </w:r>
      <w:r w:rsidR="00F1106A" w:rsidRPr="003B2E29">
        <w:rPr>
          <w:rFonts w:ascii="Arial" w:hAnsi="Arial" w:cs="Arial"/>
          <w:sz w:val="22"/>
          <w:szCs w:val="22"/>
        </w:rPr>
        <w:t xml:space="preserve"> (např. pro informační kampaň ve vztahu k rušení sítí LTE/DTT</w:t>
      </w:r>
      <w:r w:rsidR="00EA3A8C" w:rsidRPr="003B2E29">
        <w:rPr>
          <w:rFonts w:ascii="Arial" w:hAnsi="Arial" w:cs="Arial"/>
          <w:sz w:val="22"/>
          <w:szCs w:val="22"/>
        </w:rPr>
        <w:t>, vyhodnocení využití pásma UHF, monitoring využití sítí DTT</w:t>
      </w:r>
      <w:r w:rsidR="00F1106A" w:rsidRPr="003B2E29">
        <w:rPr>
          <w:rFonts w:ascii="Arial" w:hAnsi="Arial" w:cs="Arial"/>
          <w:sz w:val="22"/>
          <w:szCs w:val="22"/>
        </w:rPr>
        <w:t xml:space="preserve"> apod.)</w:t>
      </w:r>
      <w:r w:rsidR="00D40D0F" w:rsidRPr="003B2E29">
        <w:rPr>
          <w:rFonts w:ascii="Arial" w:hAnsi="Arial" w:cs="Arial"/>
          <w:sz w:val="22"/>
          <w:szCs w:val="22"/>
        </w:rPr>
        <w:t>.</w:t>
      </w:r>
    </w:p>
    <w:p w14:paraId="3C987BF9" w14:textId="7234ED5B" w:rsidR="009720AB" w:rsidRPr="003B2E29" w:rsidRDefault="009720AB" w:rsidP="00FC4CD4">
      <w:pPr>
        <w:pStyle w:val="Normlnweb"/>
        <w:numPr>
          <w:ilvl w:val="0"/>
          <w:numId w:val="38"/>
        </w:numPr>
        <w:tabs>
          <w:tab w:val="clear" w:pos="720"/>
        </w:tabs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Jde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částku z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celkové výše prostředků vybíraných pravidelně každý rok za celé užívané spektrum. Tato částka je kolem 950 mil. Kč/rok, z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toho cca 48 mil. Kč za spektrum pro DTT sítě s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kmitočtovým přídělem. 6</w:t>
      </w:r>
      <w:r w:rsidR="003B2E29">
        <w:rPr>
          <w:rFonts w:ascii="Arial" w:hAnsi="Arial" w:cs="Arial"/>
          <w:i/>
          <w:sz w:val="22"/>
          <w:szCs w:val="22"/>
        </w:rPr>
        <w:t xml:space="preserve"> %</w:t>
      </w:r>
      <w:r w:rsidRPr="003B2E29">
        <w:rPr>
          <w:rFonts w:ascii="Arial" w:hAnsi="Arial" w:cs="Arial"/>
          <w:i/>
          <w:sz w:val="22"/>
          <w:szCs w:val="22"/>
        </w:rPr>
        <w:t xml:space="preserve"> z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 xml:space="preserve">uvedených částek se podle platného vládního nařízení převádí na radiokomunikační účet. Zde se navrhuje po dobu procesu Přechodu na DVB-T2 zvýšit tento roční příspěvek do </w:t>
      </w:r>
      <w:r w:rsidRPr="003B2E29">
        <w:rPr>
          <w:rFonts w:ascii="Arial" w:hAnsi="Arial" w:cs="Arial"/>
          <w:i/>
          <w:sz w:val="22"/>
          <w:szCs w:val="22"/>
        </w:rPr>
        <w:lastRenderedPageBreak/>
        <w:t>radiokomunikačního účtu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částku cca 200</w:t>
      </w:r>
      <w:r w:rsidR="003B2E29">
        <w:rPr>
          <w:rFonts w:ascii="Arial" w:hAnsi="Arial" w:cs="Arial"/>
          <w:i/>
          <w:sz w:val="22"/>
          <w:szCs w:val="22"/>
        </w:rPr>
        <w:t xml:space="preserve"> – </w:t>
      </w:r>
      <w:r w:rsidRPr="003B2E29">
        <w:rPr>
          <w:rFonts w:ascii="Arial" w:hAnsi="Arial" w:cs="Arial"/>
          <w:i/>
          <w:sz w:val="22"/>
          <w:szCs w:val="22"/>
        </w:rPr>
        <w:t>220 mil. Kč, které by byly, vedle stávajícího způsobu využívání radiokomunikačního účtu, použity i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na krytí souběžného provozu Přechodových sítí a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Sítí DVB-T2 a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přechod na stávajících Sítí DVB-T s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>kmitočtovým přídělem DVB-T2.</w:t>
      </w:r>
    </w:p>
    <w:p w14:paraId="40D8C4EA" w14:textId="64AE7778" w:rsidR="009720AB" w:rsidRPr="003B2E29" w:rsidRDefault="009720AB" w:rsidP="00FC4CD4">
      <w:pPr>
        <w:pStyle w:val="Normlnweb"/>
        <w:numPr>
          <w:ilvl w:val="0"/>
          <w:numId w:val="38"/>
        </w:numPr>
        <w:tabs>
          <w:tab w:val="clear" w:pos="720"/>
        </w:tabs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Jde opět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 xml:space="preserve">způsob </w:t>
      </w:r>
      <w:r w:rsidR="000C413B" w:rsidRPr="003B2E29">
        <w:rPr>
          <w:rFonts w:ascii="Arial" w:hAnsi="Arial" w:cs="Arial"/>
          <w:i/>
          <w:sz w:val="22"/>
          <w:szCs w:val="22"/>
        </w:rPr>
        <w:t xml:space="preserve">vytvoření finančního zdroje pro </w:t>
      </w:r>
      <w:r w:rsidRPr="003B2E29">
        <w:rPr>
          <w:rFonts w:ascii="Arial" w:hAnsi="Arial" w:cs="Arial"/>
          <w:i/>
          <w:sz w:val="22"/>
          <w:szCs w:val="22"/>
        </w:rPr>
        <w:t>krytí vynucených nákladů vzniklých subjektům aktivně se podílející</w:t>
      </w:r>
      <w:r w:rsidR="00EA3A8C" w:rsidRPr="003B2E29">
        <w:rPr>
          <w:rFonts w:ascii="Arial" w:hAnsi="Arial" w:cs="Arial"/>
          <w:i/>
          <w:sz w:val="22"/>
          <w:szCs w:val="22"/>
        </w:rPr>
        <w:t>ch</w:t>
      </w:r>
      <w:r w:rsidRPr="003B2E29">
        <w:rPr>
          <w:rFonts w:ascii="Arial" w:hAnsi="Arial" w:cs="Arial"/>
          <w:i/>
          <w:sz w:val="22"/>
          <w:szCs w:val="22"/>
        </w:rPr>
        <w:t xml:space="preserve"> na uskutečnění Přechodu na DVB-T2.</w:t>
      </w:r>
    </w:p>
    <w:p w14:paraId="57072D75" w14:textId="27E15EF3" w:rsidR="009720AB" w:rsidRPr="003B2E29" w:rsidRDefault="009720AB" w:rsidP="00FC4CD4">
      <w:pPr>
        <w:pStyle w:val="Normlnweb"/>
        <w:numPr>
          <w:ilvl w:val="0"/>
          <w:numId w:val="38"/>
        </w:numPr>
        <w:tabs>
          <w:tab w:val="clear" w:pos="720"/>
        </w:tabs>
        <w:spacing w:before="0" w:beforeAutospacing="0" w:after="240" w:afterAutospacing="0" w:line="276" w:lineRule="auto"/>
        <w:ind w:left="1080"/>
        <w:rPr>
          <w:rFonts w:ascii="Arial" w:hAnsi="Arial" w:cs="Arial"/>
          <w:i/>
          <w:sz w:val="22"/>
          <w:szCs w:val="22"/>
        </w:rPr>
      </w:pPr>
      <w:r w:rsidRPr="003B2E29">
        <w:rPr>
          <w:rFonts w:ascii="Arial" w:hAnsi="Arial" w:cs="Arial"/>
          <w:i/>
          <w:sz w:val="22"/>
          <w:szCs w:val="22"/>
        </w:rPr>
        <w:t>Celkově půjde o</w:t>
      </w:r>
      <w:r w:rsidR="0018674B" w:rsidRPr="003B2E29">
        <w:rPr>
          <w:rFonts w:ascii="Arial" w:hAnsi="Arial" w:cs="Arial"/>
          <w:i/>
          <w:sz w:val="22"/>
          <w:szCs w:val="22"/>
        </w:rPr>
        <w:t> </w:t>
      </w:r>
      <w:r w:rsidRPr="003B2E29">
        <w:rPr>
          <w:rFonts w:ascii="Arial" w:hAnsi="Arial" w:cs="Arial"/>
          <w:i/>
          <w:sz w:val="22"/>
          <w:szCs w:val="22"/>
        </w:rPr>
        <w:t xml:space="preserve">částku cca </w:t>
      </w:r>
      <w:r w:rsidR="000C413B" w:rsidRPr="003B2E29">
        <w:rPr>
          <w:rFonts w:ascii="Arial" w:hAnsi="Arial" w:cs="Arial"/>
          <w:i/>
          <w:sz w:val="22"/>
          <w:szCs w:val="22"/>
        </w:rPr>
        <w:t>630 mil</w:t>
      </w:r>
      <w:r w:rsidRPr="003B2E29">
        <w:rPr>
          <w:rFonts w:ascii="Arial" w:hAnsi="Arial" w:cs="Arial"/>
          <w:i/>
          <w:sz w:val="22"/>
          <w:szCs w:val="22"/>
        </w:rPr>
        <w:t>. Kč</w:t>
      </w:r>
      <w:r w:rsidR="00DC0482">
        <w:rPr>
          <w:rFonts w:ascii="Arial" w:hAnsi="Arial" w:cs="Arial"/>
          <w:i/>
          <w:sz w:val="22"/>
          <w:szCs w:val="22"/>
        </w:rPr>
        <w:t>, a to</w:t>
      </w:r>
      <w:r w:rsidRPr="003B2E29">
        <w:rPr>
          <w:rFonts w:ascii="Arial" w:hAnsi="Arial" w:cs="Arial"/>
          <w:i/>
          <w:sz w:val="22"/>
          <w:szCs w:val="22"/>
        </w:rPr>
        <w:t xml:space="preserve"> za realizaci kompletního Přechodu na DVB-T2.</w:t>
      </w:r>
    </w:p>
    <w:p w14:paraId="4967C349" w14:textId="77777777" w:rsidR="009720AB" w:rsidRPr="003B2E29" w:rsidRDefault="009720AB" w:rsidP="00FC4CD4">
      <w:pPr>
        <w:pStyle w:val="Odstavecseseznamem1"/>
        <w:keepNext/>
        <w:numPr>
          <w:ilvl w:val="6"/>
          <w:numId w:val="2"/>
        </w:numPr>
        <w:spacing w:after="240"/>
        <w:ind w:left="4678" w:hanging="4678"/>
        <w:jc w:val="both"/>
        <w:rPr>
          <w:rFonts w:ascii="Arial" w:hAnsi="Arial" w:cs="Arial"/>
          <w:b/>
        </w:rPr>
      </w:pPr>
      <w:r w:rsidRPr="003B2E29">
        <w:rPr>
          <w:rFonts w:ascii="Arial" w:hAnsi="Arial" w:cs="Arial"/>
          <w:b/>
        </w:rPr>
        <w:t xml:space="preserve">Přehled dopadů </w:t>
      </w:r>
    </w:p>
    <w:p w14:paraId="2CBBA2EF" w14:textId="09521953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Proces Přechodu na DVB-T2, který je podstatnou součástí dlouhodobé Strategie, má samozřejmě dopady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důsledky pro dotčené subjekty.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zásadě jsou hlavní dopady procesu Přechodu na DVB-T2 na operátory sítí DTT, provozovatele televizního vysílání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na diváky, tj.</w:t>
      </w:r>
      <w:r w:rsidR="00785475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domácnosti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ČR.</w:t>
      </w:r>
    </w:p>
    <w:p w14:paraId="35667561" w14:textId="43E78436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Dopady můžeme rozdělit podle nezbytných kroků k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zajištění dlouhodobé Strategie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k možnostem jejich krytí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souladu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výše navrženou úpravou legislativního rámce</w:t>
      </w:r>
      <w:r w:rsidR="00821FA1" w:rsidRPr="003B2E29">
        <w:rPr>
          <w:rFonts w:ascii="Arial" w:hAnsi="Arial" w:cs="Arial"/>
          <w:color w:val="000000"/>
        </w:rPr>
        <w:t xml:space="preserve"> (odhady částek budou upřesňovány i</w:t>
      </w:r>
      <w:r w:rsidR="0018674B" w:rsidRPr="003B2E29">
        <w:rPr>
          <w:rFonts w:ascii="Arial" w:hAnsi="Arial" w:cs="Arial"/>
          <w:color w:val="000000"/>
        </w:rPr>
        <w:t> </w:t>
      </w:r>
      <w:r w:rsidR="00821FA1" w:rsidRPr="003B2E29">
        <w:rPr>
          <w:rFonts w:ascii="Arial" w:hAnsi="Arial" w:cs="Arial"/>
          <w:color w:val="000000"/>
        </w:rPr>
        <w:t>v procesu Přechodu)</w:t>
      </w:r>
      <w:r w:rsidRPr="003B2E29">
        <w:rPr>
          <w:rFonts w:ascii="Arial" w:hAnsi="Arial" w:cs="Arial"/>
          <w:color w:val="000000"/>
        </w:rPr>
        <w:t>:</w:t>
      </w:r>
    </w:p>
    <w:p w14:paraId="36B1D9D0" w14:textId="7D2199B9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Vyvolané, neplánované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poměrně rozsáhlé investiční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návazně pak i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provozní náklady na </w:t>
      </w:r>
      <w:r w:rsidRPr="003B2E29">
        <w:rPr>
          <w:rFonts w:ascii="Arial" w:hAnsi="Arial" w:cs="Arial"/>
          <w:b/>
          <w:color w:val="000000"/>
        </w:rPr>
        <w:t>výstavbu a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 xml:space="preserve">provoz Přechodových sítí. </w:t>
      </w:r>
      <w:r w:rsidRPr="003B2E29">
        <w:rPr>
          <w:rFonts w:ascii="Arial" w:hAnsi="Arial" w:cs="Arial"/>
          <w:color w:val="000000"/>
        </w:rPr>
        <w:t>Jde např.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nákup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instalaci nových technických prostředků (headendů, vysílačů, anténních systémů) na nové Přechodové sítě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na distribuci signálu. I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s přihlédnutím k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tomu, že na závěr procesu Přechodu na DVB-T2 budou zařízení využita pro nové sítě</w:t>
      </w:r>
      <w:r w:rsidR="0018674B" w:rsidRPr="003B2E29">
        <w:rPr>
          <w:rFonts w:ascii="Arial" w:hAnsi="Arial" w:cs="Arial"/>
          <w:color w:val="000000"/>
        </w:rPr>
        <w:t>,</w:t>
      </w:r>
      <w:r w:rsidRPr="003B2E29">
        <w:rPr>
          <w:rFonts w:ascii="Arial" w:hAnsi="Arial" w:cs="Arial"/>
          <w:color w:val="000000"/>
        </w:rPr>
        <w:t xml:space="preserve"> jde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poměrně rozsáhlé výdaje ve výši cca </w:t>
      </w:r>
      <w:r w:rsidR="000C413B" w:rsidRPr="003B2E29">
        <w:rPr>
          <w:rFonts w:ascii="Arial" w:hAnsi="Arial" w:cs="Arial"/>
          <w:color w:val="000000"/>
        </w:rPr>
        <w:t>298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418 mil. Kč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období 2016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2020.</w:t>
      </w:r>
    </w:p>
    <w:p w14:paraId="5FFDD6A7" w14:textId="77777777" w:rsidR="009720AB" w:rsidRPr="003B2E29" w:rsidRDefault="009720AB" w:rsidP="00FC4CD4">
      <w:pPr>
        <w:pStyle w:val="Odstavecseseznamem"/>
        <w:spacing w:after="240" w:line="276" w:lineRule="auto"/>
        <w:ind w:left="1080" w:hanging="360"/>
        <w:jc w:val="both"/>
        <w:rPr>
          <w:rFonts w:ascii="Arial" w:hAnsi="Arial" w:cs="Arial"/>
          <w:color w:val="000000"/>
        </w:rPr>
      </w:pPr>
    </w:p>
    <w:p w14:paraId="2820B98F" w14:textId="6C1CF155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Vyvolané, neplánované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rozsáhlé náklady související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přeladěním vysílačů</w:t>
      </w:r>
      <w:r w:rsidRPr="003B2E29">
        <w:rPr>
          <w:rFonts w:ascii="Arial" w:hAnsi="Arial" w:cs="Arial"/>
          <w:color w:val="000000"/>
        </w:rPr>
        <w:t xml:space="preserve"> stávajících Sítí DVB-T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Přechodových sítí </w:t>
      </w:r>
      <w:r w:rsidRPr="003B2E29">
        <w:rPr>
          <w:rFonts w:ascii="Arial" w:hAnsi="Arial" w:cs="Arial"/>
          <w:b/>
          <w:color w:val="000000"/>
        </w:rPr>
        <w:t>pro uvolnění kmitočtů Pásma 700 MHz a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uskutečněním Refarmingu</w:t>
      </w:r>
      <w:r w:rsidRPr="003B2E29">
        <w:rPr>
          <w:rFonts w:ascii="Arial" w:hAnsi="Arial" w:cs="Arial"/>
          <w:color w:val="000000"/>
        </w:rPr>
        <w:t>. Půjde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částku cca ve výši </w:t>
      </w:r>
      <w:r w:rsidR="000C413B" w:rsidRPr="003B2E29">
        <w:rPr>
          <w:rFonts w:ascii="Arial" w:hAnsi="Arial" w:cs="Arial"/>
          <w:color w:val="000000"/>
        </w:rPr>
        <w:t>41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67 mil. Kč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období 2020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2021.</w:t>
      </w:r>
    </w:p>
    <w:p w14:paraId="0A7B6437" w14:textId="77777777" w:rsidR="009720AB" w:rsidRPr="003B2E29" w:rsidRDefault="009720AB" w:rsidP="00FC4CD4">
      <w:pPr>
        <w:pStyle w:val="Odstavecseseznamem"/>
        <w:spacing w:after="240" w:line="276" w:lineRule="auto"/>
        <w:ind w:left="1080" w:hanging="360"/>
        <w:jc w:val="both"/>
        <w:rPr>
          <w:rFonts w:ascii="Arial" w:hAnsi="Arial" w:cs="Arial"/>
          <w:color w:val="000000"/>
        </w:rPr>
      </w:pPr>
    </w:p>
    <w:p w14:paraId="3AC04D79" w14:textId="7954186C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Vyvolané, neplánované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rozsáhlé investiční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provozní náklady zahrnující </w:t>
      </w:r>
      <w:r w:rsidRPr="003B2E29">
        <w:rPr>
          <w:rFonts w:ascii="Arial" w:hAnsi="Arial" w:cs="Arial"/>
          <w:b/>
          <w:color w:val="000000"/>
        </w:rPr>
        <w:t>náhradu DVB-T vysílačů ve stávajících sítích</w:t>
      </w:r>
      <w:r w:rsidRPr="003B2E29">
        <w:rPr>
          <w:rFonts w:ascii="Arial" w:hAnsi="Arial" w:cs="Arial"/>
          <w:color w:val="000000"/>
        </w:rPr>
        <w:t>, zakoupení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instalace, distribuce pro zajištění vysílacích sítí DVB-T2/HEVC.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období 2020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2021 jde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částku </w:t>
      </w:r>
      <w:r w:rsidR="000C413B" w:rsidRPr="003B2E29">
        <w:rPr>
          <w:rFonts w:ascii="Arial" w:hAnsi="Arial" w:cs="Arial"/>
          <w:color w:val="000000"/>
        </w:rPr>
        <w:t>102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 xml:space="preserve">142 mil. Kč. </w:t>
      </w:r>
    </w:p>
    <w:p w14:paraId="7E68FD56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2C7DF153" w14:textId="77777777" w:rsidR="00052B55" w:rsidRPr="003B2E29" w:rsidRDefault="00052B55" w:rsidP="00FC4CD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Výše uvedené náklady jsou vynucené náklady operátorů stávajících sítí DTT.</w:t>
      </w:r>
    </w:p>
    <w:p w14:paraId="769FC35B" w14:textId="77777777" w:rsidR="009720AB" w:rsidRPr="003B2E29" w:rsidRDefault="009720AB" w:rsidP="00FC4CD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000000"/>
        </w:rPr>
      </w:pPr>
    </w:p>
    <w:p w14:paraId="1CCBB90A" w14:textId="4B4FBF21" w:rsidR="009720AB" w:rsidRPr="003B2E29" w:rsidRDefault="000C413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Technologický charakter</w:t>
      </w:r>
      <w:r w:rsidR="009720AB" w:rsidRPr="003B2E29">
        <w:rPr>
          <w:rFonts w:ascii="Arial" w:hAnsi="Arial" w:cs="Arial"/>
          <w:color w:val="000000"/>
        </w:rPr>
        <w:t xml:space="preserve"> uvedených tří skupin vyvolaných nákladů odpovídá účelu zřízení a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využívání tzv. radiokomunikačního účtu, který není součástí státního rozpočtu. Jde tedy možné využít tento dedikovaný zdroj financování i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na krytí uvedených nákladů. Tento postup využití prostředků radiokomunikačního účtu (§ 27 ZEK) byl použit i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při Přechodu na DTT a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je možné jej využít po doplnění ZEK o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specifikaci daného, konkrétního účelu a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postupu úhrady i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pro krytí uvedených nákladů v</w:t>
      </w:r>
      <w:r w:rsidR="0018674B" w:rsidRPr="003B2E29">
        <w:rPr>
          <w:rFonts w:ascii="Arial" w:hAnsi="Arial" w:cs="Arial"/>
          <w:color w:val="000000"/>
        </w:rPr>
        <w:t> </w:t>
      </w:r>
      <w:r w:rsidR="009720AB" w:rsidRPr="003B2E29">
        <w:rPr>
          <w:rFonts w:ascii="Arial" w:hAnsi="Arial" w:cs="Arial"/>
          <w:color w:val="000000"/>
        </w:rPr>
        <w:t>rámci procesu Přechodu na DVB-T2.</w:t>
      </w:r>
    </w:p>
    <w:p w14:paraId="4E868495" w14:textId="4D642E61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Dále uvedené dvě skupiny vyvolaných nákladů souvisí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diváky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dotýkají se prakticky všech občanů státu.</w:t>
      </w:r>
    </w:p>
    <w:p w14:paraId="19991AB4" w14:textId="48E30E2C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</w:rPr>
        <w:lastRenderedPageBreak/>
        <w:t>Vyvolané vynucené změny přijímací infrastruktury na straně diváků</w:t>
      </w:r>
      <w:r w:rsidRPr="003B2E29">
        <w:rPr>
          <w:rFonts w:ascii="Arial" w:hAnsi="Arial" w:cs="Arial"/>
          <w:color w:val="000000"/>
        </w:rPr>
        <w:t>, které souvisí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nutným pořízením nových přijímacích zařízení nad rámec běžného cyklu obměny přijímacích zařízení. Jde de facto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vynucené nákupy televizních přijímačů nebo set</w:t>
      </w:r>
      <w:r w:rsidR="00EA1FB5">
        <w:rPr>
          <w:rFonts w:ascii="Arial" w:hAnsi="Arial" w:cs="Arial"/>
          <w:color w:val="000000"/>
        </w:rPr>
        <w:t>-</w:t>
      </w:r>
      <w:r w:rsidRPr="003B2E29">
        <w:rPr>
          <w:rFonts w:ascii="Arial" w:hAnsi="Arial" w:cs="Arial"/>
          <w:color w:val="000000"/>
        </w:rPr>
        <w:t>top</w:t>
      </w:r>
      <w:r w:rsidR="00EA1FB5">
        <w:rPr>
          <w:rFonts w:ascii="Arial" w:hAnsi="Arial" w:cs="Arial"/>
          <w:color w:val="000000"/>
        </w:rPr>
        <w:t>-</w:t>
      </w:r>
      <w:r w:rsidRPr="003B2E29">
        <w:rPr>
          <w:rFonts w:ascii="Arial" w:hAnsi="Arial" w:cs="Arial"/>
          <w:color w:val="000000"/>
        </w:rPr>
        <w:t xml:space="preserve">boxů. </w:t>
      </w:r>
      <w:r w:rsidR="00213BFF" w:rsidRPr="003B2E29">
        <w:rPr>
          <w:rFonts w:ascii="Arial" w:hAnsi="Arial" w:cs="Arial"/>
          <w:color w:val="000000"/>
        </w:rPr>
        <w:t>V</w:t>
      </w:r>
      <w:r w:rsidR="0018674B" w:rsidRPr="003B2E29">
        <w:rPr>
          <w:rFonts w:ascii="Arial" w:hAnsi="Arial" w:cs="Arial"/>
          <w:color w:val="000000"/>
        </w:rPr>
        <w:t> </w:t>
      </w:r>
      <w:r w:rsidR="00213BFF" w:rsidRPr="003B2E29">
        <w:rPr>
          <w:rFonts w:ascii="Arial" w:hAnsi="Arial" w:cs="Arial"/>
          <w:color w:val="000000"/>
        </w:rPr>
        <w:t>některých případech bude nutno upravit v</w:t>
      </w:r>
      <w:r w:rsidR="0018674B" w:rsidRPr="003B2E29">
        <w:rPr>
          <w:rFonts w:ascii="Arial" w:hAnsi="Arial" w:cs="Arial"/>
          <w:color w:val="000000"/>
        </w:rPr>
        <w:t> </w:t>
      </w:r>
      <w:r w:rsidR="00213BFF" w:rsidRPr="003B2E29">
        <w:rPr>
          <w:rFonts w:ascii="Arial" w:hAnsi="Arial" w:cs="Arial"/>
          <w:color w:val="000000"/>
        </w:rPr>
        <w:t>domácnostech anténní systémy. Platí to samozřejmě i</w:t>
      </w:r>
      <w:r w:rsidR="0018674B" w:rsidRPr="003B2E29">
        <w:rPr>
          <w:rFonts w:ascii="Arial" w:hAnsi="Arial" w:cs="Arial"/>
          <w:color w:val="000000"/>
        </w:rPr>
        <w:t> </w:t>
      </w:r>
      <w:r w:rsidR="00213BFF" w:rsidRPr="003B2E29">
        <w:rPr>
          <w:rFonts w:ascii="Arial" w:hAnsi="Arial" w:cs="Arial"/>
          <w:color w:val="000000"/>
        </w:rPr>
        <w:t>pro STA bytových domů.</w:t>
      </w:r>
    </w:p>
    <w:p w14:paraId="21A22550" w14:textId="77777777" w:rsidR="009720AB" w:rsidRPr="003B2E29" w:rsidRDefault="00213BFF" w:rsidP="00FC4CD4">
      <w:pPr>
        <w:pStyle w:val="Odstavecseseznamem"/>
        <w:spacing w:after="240" w:line="276" w:lineRule="auto"/>
        <w:ind w:left="1080" w:hanging="36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 xml:space="preserve"> </w:t>
      </w:r>
    </w:p>
    <w:p w14:paraId="647E3132" w14:textId="0B316DD6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Je zřejmé, že není možné uvažovat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plošných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globálních náhradách domácností. Je však potřeba zvážit způsob úhrady vyvolaných </w:t>
      </w:r>
      <w:r w:rsidRPr="003B2E29">
        <w:rPr>
          <w:rFonts w:ascii="Arial" w:hAnsi="Arial" w:cs="Arial"/>
          <w:b/>
          <w:color w:val="000000"/>
        </w:rPr>
        <w:t>nákladů spočívajících v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informační kampani a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 xml:space="preserve">opatřeních na ochranu spotřebitele </w:t>
      </w:r>
      <w:r w:rsidRPr="003B2E29">
        <w:rPr>
          <w:rFonts w:ascii="Arial" w:hAnsi="Arial" w:cs="Arial"/>
          <w:color w:val="000000"/>
        </w:rPr>
        <w:t xml:space="preserve">(tj. např. certifikace přijímacích zařízení). </w:t>
      </w:r>
      <w:r w:rsidR="00052B55" w:rsidRPr="003B2E29">
        <w:rPr>
          <w:rFonts w:ascii="Arial" w:hAnsi="Arial" w:cs="Arial"/>
          <w:color w:val="000000"/>
        </w:rPr>
        <w:t>Jde o náklady příslušného orgánu veřejné správy – MPO.</w:t>
      </w:r>
    </w:p>
    <w:p w14:paraId="583241C6" w14:textId="61D405A0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Krytí nákladů na straně diváků lze uvažovat pouze pro sociální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zdravotní zařízení tak, jak tomu bylo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případě Přechodu na DTT. Náklady informační kampaně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řešení vybraných sociálních případů byly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období 2008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2012 ve výši cca 230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 xml:space="preserve">250 mil. Kč. </w:t>
      </w:r>
    </w:p>
    <w:p w14:paraId="1B123760" w14:textId="03BC6A7F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Další dopady na operátory sítí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provozovatele vysílání jsou založeny na podstatném zkrácení uvažovaného časového rámce provozování stávajících Sítí DVB-T platformy. Jinak řečeno jde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vynucenou změnu dlouhodobých investičních modelů infrastrukturních výdajů.</w:t>
      </w:r>
    </w:p>
    <w:p w14:paraId="24E32DAD" w14:textId="6E4E49AC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</w:rPr>
        <w:t>Nucené zkrácení investičního cyklu s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dopady na uzavřené obchodní smlouvy s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provozovateli vysílání</w:t>
      </w:r>
      <w:r w:rsidRPr="003B2E29">
        <w:rPr>
          <w:rFonts w:ascii="Arial" w:hAnsi="Arial" w:cs="Arial"/>
          <w:color w:val="000000"/>
        </w:rPr>
        <w:t xml:space="preserve"> příp.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outsourcingem distribuce signálu. Jde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zkrácení lhůty platnosti stávajících celoplošných přídělů pro Sítě DVB-T.</w:t>
      </w:r>
    </w:p>
    <w:p w14:paraId="3A5C0A7C" w14:textId="77777777" w:rsidR="009720AB" w:rsidRPr="003B2E29" w:rsidRDefault="009720AB" w:rsidP="00FC4CD4">
      <w:pPr>
        <w:pStyle w:val="Odstavecseseznamem"/>
        <w:spacing w:after="240" w:line="276" w:lineRule="auto"/>
        <w:ind w:left="1080" w:hanging="360"/>
        <w:jc w:val="both"/>
        <w:rPr>
          <w:rFonts w:ascii="Arial" w:hAnsi="Arial" w:cs="Arial"/>
          <w:color w:val="000000"/>
        </w:rPr>
      </w:pPr>
    </w:p>
    <w:p w14:paraId="780AF935" w14:textId="4A8273F8" w:rsidR="009720AB" w:rsidRPr="003B2E29" w:rsidRDefault="009720AB" w:rsidP="00FC4CD4">
      <w:pPr>
        <w:pStyle w:val="Odstavecseseznamem"/>
        <w:numPr>
          <w:ilvl w:val="0"/>
          <w:numId w:val="46"/>
        </w:numPr>
        <w:spacing w:after="240" w:line="276" w:lineRule="auto"/>
        <w:ind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</w:rPr>
        <w:t>Ztráta možnosti regionálního vysílání a</w:t>
      </w:r>
      <w:r w:rsidR="0018674B" w:rsidRPr="003B2E29">
        <w:rPr>
          <w:rFonts w:ascii="Arial" w:hAnsi="Arial" w:cs="Arial"/>
          <w:b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>těchto specifických kapacity vysílacích sítí,</w:t>
      </w:r>
      <w:r w:rsidRPr="003B2E29">
        <w:rPr>
          <w:rFonts w:ascii="Arial" w:hAnsi="Arial" w:cs="Arial"/>
          <w:color w:val="000000"/>
        </w:rPr>
        <w:t xml:space="preserve"> která souvisí se snížením počtu použitelných alotmentů (snížení počtu kmitočtů, resp. skupinových přídělů)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některých sítích na základě uvolnění kmitočtů Pásma 700</w:t>
      </w:r>
      <w:r w:rsidR="00EF675B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MHz.</w:t>
      </w:r>
    </w:p>
    <w:p w14:paraId="58074F01" w14:textId="04D65EDE" w:rsidR="009720AB" w:rsidRPr="003B2E29" w:rsidRDefault="009720AB" w:rsidP="00FC4CD4">
      <w:pPr>
        <w:spacing w:after="24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Náklady těchto skupin není možno/nutno přesně vyčíslit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rámci přijetí Strategie, kter</w:t>
      </w:r>
      <w:r w:rsidR="00EF675B">
        <w:rPr>
          <w:rFonts w:ascii="Arial" w:hAnsi="Arial" w:cs="Arial"/>
          <w:color w:val="000000"/>
        </w:rPr>
        <w:t>á</w:t>
      </w:r>
      <w:r w:rsidRPr="003B2E29">
        <w:rPr>
          <w:rFonts w:ascii="Arial" w:hAnsi="Arial" w:cs="Arial"/>
          <w:color w:val="000000"/>
        </w:rPr>
        <w:t xml:space="preserve"> počítá s</w:t>
      </w:r>
      <w:r w:rsidR="0018674B" w:rsidRPr="003B2E29">
        <w:rPr>
          <w:rFonts w:ascii="Arial" w:hAnsi="Arial" w:cs="Arial"/>
          <w:color w:val="000000"/>
        </w:rPr>
        <w:t> </w:t>
      </w:r>
      <w:r w:rsidR="009D4939" w:rsidRPr="003B2E29">
        <w:rPr>
          <w:rFonts w:ascii="Arial" w:hAnsi="Arial" w:cs="Arial"/>
          <w:color w:val="000000"/>
        </w:rPr>
        <w:t>přechodem</w:t>
      </w:r>
      <w:r w:rsidRPr="003B2E29">
        <w:rPr>
          <w:rFonts w:ascii="Arial" w:hAnsi="Arial" w:cs="Arial"/>
          <w:color w:val="000000"/>
        </w:rPr>
        <w:t xml:space="preserve"> Sítí DVB-T na spektrálně efektivnější standard. Strategie totiž předpokládá, že uvedené </w:t>
      </w:r>
      <w:r w:rsidRPr="003B2E29">
        <w:rPr>
          <w:rFonts w:ascii="Arial" w:hAnsi="Arial" w:cs="Arial"/>
          <w:b/>
          <w:color w:val="000000"/>
        </w:rPr>
        <w:t xml:space="preserve">dopady budou kompenzovány </w:t>
      </w:r>
      <w:r w:rsidRPr="003B2E29">
        <w:rPr>
          <w:rFonts w:ascii="Arial" w:hAnsi="Arial" w:cs="Arial"/>
          <w:color w:val="000000"/>
        </w:rPr>
        <w:t xml:space="preserve">na základě prodloužení kmitočtových přídělů pro stávající celoplošné Sítě DVB-T </w:t>
      </w:r>
      <w:r w:rsidR="00BF1761" w:rsidRPr="003B2E29">
        <w:rPr>
          <w:rFonts w:ascii="Arial" w:hAnsi="Arial" w:cs="Arial"/>
          <w:color w:val="000000"/>
        </w:rPr>
        <w:t>nejméně do roku 2030</w:t>
      </w:r>
      <w:r w:rsidRPr="003B2E29">
        <w:rPr>
          <w:rFonts w:ascii="Arial" w:hAnsi="Arial" w:cs="Arial"/>
          <w:color w:val="000000"/>
        </w:rPr>
        <w:t xml:space="preserve">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b/>
          <w:color w:val="000000"/>
        </w:rPr>
        <w:t xml:space="preserve">přidělením celoplošných </w:t>
      </w:r>
      <w:r w:rsidR="00C31E1D" w:rsidRPr="003B2E29">
        <w:rPr>
          <w:rFonts w:ascii="Arial" w:hAnsi="Arial" w:cs="Arial"/>
          <w:b/>
          <w:color w:val="000000"/>
        </w:rPr>
        <w:t>rozvojových</w:t>
      </w:r>
      <w:r w:rsidR="00785475">
        <w:rPr>
          <w:rFonts w:ascii="Arial" w:hAnsi="Arial" w:cs="Arial"/>
          <w:b/>
          <w:color w:val="000000"/>
        </w:rPr>
        <w:t xml:space="preserve"> </w:t>
      </w:r>
      <w:r w:rsidRPr="003B2E29">
        <w:rPr>
          <w:rFonts w:ascii="Arial" w:hAnsi="Arial" w:cs="Arial"/>
          <w:b/>
          <w:color w:val="000000"/>
        </w:rPr>
        <w:t>sítí</w:t>
      </w:r>
      <w:r w:rsidRPr="003B2E29">
        <w:rPr>
          <w:rFonts w:ascii="Arial" w:hAnsi="Arial" w:cs="Arial"/>
          <w:color w:val="000000"/>
        </w:rPr>
        <w:t xml:space="preserve">, které budou provozně navazovat na Přechodové sítě. </w:t>
      </w:r>
    </w:p>
    <w:p w14:paraId="50C78522" w14:textId="6F1956E3" w:rsidR="00052B55" w:rsidRPr="003B2E29" w:rsidRDefault="00052B55" w:rsidP="00FC4CD4">
      <w:pPr>
        <w:jc w:val="both"/>
        <w:rPr>
          <w:rFonts w:ascii="Arial" w:hAnsi="Arial" w:cs="Arial"/>
          <w:b/>
          <w:color w:val="000000"/>
          <w:u w:val="single"/>
        </w:rPr>
      </w:pPr>
      <w:r w:rsidRPr="003B2E29">
        <w:rPr>
          <w:rFonts w:ascii="Arial" w:hAnsi="Arial" w:cs="Arial"/>
          <w:b/>
          <w:color w:val="000000"/>
          <w:u w:val="single"/>
        </w:rPr>
        <w:t>Dopady do Státního rozpočtu</w:t>
      </w:r>
    </w:p>
    <w:p w14:paraId="2B6EB0CE" w14:textId="3A272C7D" w:rsidR="009720AB" w:rsidRPr="003B2E29" w:rsidRDefault="009720AB" w:rsidP="00FC4CD4">
      <w:pPr>
        <w:spacing w:after="240"/>
        <w:jc w:val="both"/>
        <w:rPr>
          <w:rFonts w:ascii="Arial" w:hAnsi="Arial" w:cs="Arial"/>
        </w:rPr>
      </w:pPr>
      <w:r w:rsidRPr="003B2E29">
        <w:rPr>
          <w:rFonts w:ascii="Arial" w:hAnsi="Arial" w:cs="Arial"/>
          <w:color w:val="000000"/>
        </w:rPr>
        <w:t>Výše uvedené skutečnosti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návrhy jsou dále kvantifikované z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hlediska dopadů do jednotlivých dotčených oblastí. </w:t>
      </w:r>
    </w:p>
    <w:p w14:paraId="5081A7B3" w14:textId="77777777" w:rsidR="009720AB" w:rsidRPr="003B2E29" w:rsidRDefault="009720AB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  <w:u w:val="single"/>
        </w:rPr>
        <w:t>Státní rozpočet</w:t>
      </w:r>
      <w:r w:rsidRPr="003B2E29">
        <w:rPr>
          <w:rFonts w:ascii="Arial" w:hAnsi="Arial" w:cs="Arial"/>
          <w:color w:val="000000"/>
        </w:rPr>
        <w:t>. Hlavní dopad na státní rozpočet bude mít způsob financování procesu Přechodu na DVB-T2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využitím tzv. radiokomunikačního účtu. </w:t>
      </w:r>
    </w:p>
    <w:p w14:paraId="190B6834" w14:textId="0BE2922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65A95520" w14:textId="1447BC61" w:rsidR="009720AB" w:rsidRPr="003B2E29" w:rsidRDefault="009720AB" w:rsidP="00FC4CD4">
      <w:pPr>
        <w:pStyle w:val="Odstavecseseznamem"/>
        <w:numPr>
          <w:ilvl w:val="1"/>
          <w:numId w:val="43"/>
        </w:numPr>
        <w:tabs>
          <w:tab w:val="left" w:pos="1080"/>
        </w:tabs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Navrhovaný způsob financování hlavních</w:t>
      </w:r>
      <w:r w:rsidRPr="003B2E29">
        <w:rPr>
          <w:rFonts w:ascii="Arial" w:hAnsi="Arial" w:cs="Arial"/>
        </w:rPr>
        <w:t xml:space="preserve"> </w:t>
      </w:r>
      <w:r w:rsidR="005624F1" w:rsidRPr="003B2E29">
        <w:rPr>
          <w:rFonts w:ascii="Arial" w:hAnsi="Arial" w:cs="Arial"/>
        </w:rPr>
        <w:t>technologických</w:t>
      </w:r>
      <w:r w:rsidRPr="003B2E29">
        <w:rPr>
          <w:rFonts w:ascii="Arial" w:hAnsi="Arial" w:cs="Arial"/>
          <w:color w:val="000000"/>
        </w:rPr>
        <w:t xml:space="preserve"> nákladů Přechodu na DVB-T2 prostřednictvím ustanovení § 27 ZEK, tj. využitím radiokomunikačního účtu, který je zákonem určen pro krytí tohoto typu nákladů při správě rádiového spektra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který je mimo státní rozpočet, však předpokládá dočasné, přechodné snížení příjmu státního rozpočtu po dobu Přechodu na DVB-T2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období let 2017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2020 nejméně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částku cca </w:t>
      </w:r>
      <w:r w:rsidRPr="003B2E29">
        <w:rPr>
          <w:rFonts w:ascii="Arial" w:hAnsi="Arial" w:cs="Arial"/>
          <w:b/>
        </w:rPr>
        <w:t>2</w:t>
      </w:r>
      <w:r w:rsidR="000C413B" w:rsidRPr="003B2E29">
        <w:rPr>
          <w:rFonts w:ascii="Arial" w:hAnsi="Arial" w:cs="Arial"/>
          <w:b/>
        </w:rPr>
        <w:t>00</w:t>
      </w:r>
      <w:r w:rsidR="003B2E29">
        <w:rPr>
          <w:rFonts w:ascii="Arial" w:hAnsi="Arial" w:cs="Arial"/>
          <w:b/>
        </w:rPr>
        <w:t xml:space="preserve"> –</w:t>
      </w:r>
      <w:r w:rsidR="003B2E29" w:rsidRPr="00785475">
        <w:rPr>
          <w:rFonts w:ascii="Arial" w:hAnsi="Arial" w:cs="Arial"/>
          <w:b/>
        </w:rPr>
        <w:t xml:space="preserve"> </w:t>
      </w:r>
      <w:r w:rsidRPr="00785475">
        <w:rPr>
          <w:rFonts w:ascii="Arial" w:hAnsi="Arial" w:cs="Arial"/>
          <w:b/>
          <w:color w:val="000000"/>
        </w:rPr>
        <w:t>250 mil. Kč</w:t>
      </w:r>
      <w:r w:rsidRPr="003B2E29">
        <w:rPr>
          <w:rFonts w:ascii="Arial" w:hAnsi="Arial" w:cs="Arial"/>
          <w:color w:val="000000"/>
        </w:rPr>
        <w:t xml:space="preserve"> ročně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závislosti na zvoleném </w:t>
      </w:r>
      <w:r w:rsidRPr="003B2E29">
        <w:rPr>
          <w:rFonts w:ascii="Arial" w:hAnsi="Arial" w:cs="Arial"/>
          <w:color w:val="000000"/>
        </w:rPr>
        <w:lastRenderedPageBreak/>
        <w:t>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volitelném koeficientu (dle vládního nařízení) převodu výběru poplatků za kmitočty na radiokomunikační účet.</w:t>
      </w:r>
    </w:p>
    <w:p w14:paraId="2C339C58" w14:textId="77777777" w:rsidR="009720AB" w:rsidRPr="003B2E29" w:rsidRDefault="009720AB" w:rsidP="00FC4CD4">
      <w:pPr>
        <w:pStyle w:val="Odstavecseseznamem"/>
        <w:tabs>
          <w:tab w:val="left" w:pos="1080"/>
        </w:tabs>
        <w:spacing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5301AF23" w14:textId="3046BB33" w:rsidR="009720AB" w:rsidRPr="003B2E29" w:rsidRDefault="009720AB" w:rsidP="00FC4CD4">
      <w:pPr>
        <w:pStyle w:val="Odstavecseseznamem"/>
        <w:numPr>
          <w:ilvl w:val="1"/>
          <w:numId w:val="43"/>
        </w:numPr>
        <w:tabs>
          <w:tab w:val="left" w:pos="1080"/>
        </w:tabs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V případě, že proces Přechodu na DVB-T2 nebude včas odstartován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bude pak realizován se zpožděním, pod nátlakem rozhodnutí EK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bez shody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dotčenými subjekty, lze počítat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negativními dopady při řešení žalob na ochr</w:t>
      </w:r>
      <w:r w:rsidR="00EF675B">
        <w:rPr>
          <w:rFonts w:ascii="Arial" w:hAnsi="Arial" w:cs="Arial"/>
          <w:color w:val="000000"/>
        </w:rPr>
        <w:t>anu investic ze strany držitelů</w:t>
      </w:r>
      <w:r w:rsidRPr="003B2E29">
        <w:rPr>
          <w:rFonts w:ascii="Arial" w:hAnsi="Arial" w:cs="Arial"/>
          <w:color w:val="000000"/>
        </w:rPr>
        <w:t xml:space="preserve"> přídělů i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provozovatelů televizního vysílání. Požadované náhrady by se pak zřejmě pohybovaly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řádu stovek milionů korun</w:t>
      </w:r>
      <w:r w:rsidR="00F1106A" w:rsidRPr="003B2E29">
        <w:rPr>
          <w:rFonts w:ascii="Arial" w:hAnsi="Arial" w:cs="Arial"/>
        </w:rPr>
        <w:t xml:space="preserve"> až jednotek miliard Kč</w:t>
      </w:r>
      <w:r w:rsidRPr="003B2E29">
        <w:rPr>
          <w:rFonts w:ascii="Arial" w:hAnsi="Arial" w:cs="Arial"/>
          <w:color w:val="000000"/>
        </w:rPr>
        <w:t>.</w:t>
      </w:r>
    </w:p>
    <w:p w14:paraId="0A3FBCBE" w14:textId="77777777" w:rsidR="005624F1" w:rsidRPr="003B2E29" w:rsidRDefault="005624F1" w:rsidP="00FC4CD4">
      <w:pPr>
        <w:pStyle w:val="Odstavecseseznamem"/>
        <w:spacing w:line="276" w:lineRule="auto"/>
        <w:rPr>
          <w:rFonts w:ascii="Arial" w:hAnsi="Arial" w:cs="Arial"/>
        </w:rPr>
      </w:pPr>
    </w:p>
    <w:p w14:paraId="4A38890F" w14:textId="0BF174F2" w:rsidR="005624F1" w:rsidRPr="003B2E29" w:rsidRDefault="005624F1" w:rsidP="00FC4CD4">
      <w:pPr>
        <w:pStyle w:val="Odstavecseseznamem"/>
        <w:numPr>
          <w:ilvl w:val="1"/>
          <w:numId w:val="43"/>
        </w:numPr>
        <w:tabs>
          <w:tab w:val="left" w:pos="1080"/>
        </w:tabs>
        <w:spacing w:after="240" w:line="276" w:lineRule="auto"/>
        <w:ind w:left="1080" w:hanging="72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 xml:space="preserve">Do </w:t>
      </w:r>
      <w:r w:rsidRPr="00785475">
        <w:rPr>
          <w:rFonts w:ascii="Arial" w:hAnsi="Arial" w:cs="Arial"/>
          <w:color w:val="000000"/>
        </w:rPr>
        <w:t>státního</w:t>
      </w:r>
      <w:r w:rsidRPr="003B2E29">
        <w:rPr>
          <w:rFonts w:ascii="Arial" w:hAnsi="Arial" w:cs="Arial"/>
        </w:rPr>
        <w:t xml:space="preserve"> rozpočtu se také promítne financování některých nákladů procesu Přechodu na DVB-T2 prostřednictvím navýšení výdajů Státního rozpočtu v kapitole MPO o celkovou částku ve střednědobém výhledu 2017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2021 ve výši cca 400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450, v průměru na rok ve výši cca 80</w:t>
      </w:r>
      <w:r w:rsidR="003B2E29">
        <w:rPr>
          <w:rFonts w:ascii="Arial" w:hAnsi="Arial" w:cs="Arial"/>
        </w:rPr>
        <w:t xml:space="preserve"> – </w:t>
      </w:r>
      <w:r w:rsidRPr="003B2E29">
        <w:rPr>
          <w:rFonts w:ascii="Arial" w:hAnsi="Arial" w:cs="Arial"/>
        </w:rPr>
        <w:t>90 mil. Kč</w:t>
      </w:r>
      <w:r w:rsidR="00C56910" w:rsidRPr="003B2E29">
        <w:rPr>
          <w:rFonts w:ascii="Arial" w:hAnsi="Arial" w:cs="Arial"/>
        </w:rPr>
        <w:t xml:space="preserve"> (postupně rostoucí z cca 40</w:t>
      </w:r>
      <w:r w:rsidR="003B2E29">
        <w:rPr>
          <w:rFonts w:ascii="Arial" w:hAnsi="Arial" w:cs="Arial"/>
        </w:rPr>
        <w:t xml:space="preserve"> – </w:t>
      </w:r>
      <w:r w:rsidR="00C56910" w:rsidRPr="003B2E29">
        <w:rPr>
          <w:rFonts w:ascii="Arial" w:hAnsi="Arial" w:cs="Arial"/>
        </w:rPr>
        <w:t>50</w:t>
      </w:r>
      <w:r w:rsidR="00785475">
        <w:rPr>
          <w:rFonts w:ascii="Arial" w:hAnsi="Arial" w:cs="Arial"/>
        </w:rPr>
        <w:t> </w:t>
      </w:r>
      <w:r w:rsidR="00C56910" w:rsidRPr="003B2E29">
        <w:rPr>
          <w:rFonts w:ascii="Arial" w:hAnsi="Arial" w:cs="Arial"/>
        </w:rPr>
        <w:t>mil.</w:t>
      </w:r>
      <w:r w:rsidR="00785475">
        <w:rPr>
          <w:rFonts w:ascii="Arial" w:hAnsi="Arial" w:cs="Arial"/>
        </w:rPr>
        <w:t xml:space="preserve"> Kč </w:t>
      </w:r>
      <w:r w:rsidR="00C56910" w:rsidRPr="003B2E29">
        <w:rPr>
          <w:rFonts w:ascii="Arial" w:hAnsi="Arial" w:cs="Arial"/>
        </w:rPr>
        <w:t>na rok)</w:t>
      </w:r>
      <w:r w:rsidRPr="003B2E29">
        <w:rPr>
          <w:rFonts w:ascii="Arial" w:hAnsi="Arial" w:cs="Arial"/>
        </w:rPr>
        <w:t>.</w:t>
      </w:r>
    </w:p>
    <w:p w14:paraId="02A8C363" w14:textId="77777777" w:rsidR="009720AB" w:rsidRPr="003B2E29" w:rsidRDefault="009720AB" w:rsidP="00FC4CD4">
      <w:pPr>
        <w:pStyle w:val="Odstavecseseznamem"/>
        <w:tabs>
          <w:tab w:val="left" w:pos="1080"/>
        </w:tabs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1F5C4F22" w14:textId="6FA23EAE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Na druhé straně však včasné uvolnění Pásma 700 MHz umožní po roce 2020 opětovné přidělení těchto kmitočtů zvolené službě. Předpokládá se, že to bude IMT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lze očekávat, že příjmy z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aukce uvedených kmitočtů dosáh</w:t>
      </w:r>
      <w:r w:rsidR="00C72084" w:rsidRPr="003B2E29">
        <w:rPr>
          <w:rFonts w:ascii="Arial" w:hAnsi="Arial" w:cs="Arial"/>
          <w:color w:val="000000"/>
        </w:rPr>
        <w:t>nou částky nejméně v</w:t>
      </w:r>
      <w:r w:rsidR="0018674B" w:rsidRPr="003B2E29">
        <w:rPr>
          <w:rFonts w:ascii="Arial" w:hAnsi="Arial" w:cs="Arial"/>
          <w:color w:val="000000"/>
        </w:rPr>
        <w:t> </w:t>
      </w:r>
      <w:r w:rsidR="00C72084" w:rsidRPr="003B2E29">
        <w:rPr>
          <w:rFonts w:ascii="Arial" w:hAnsi="Arial" w:cs="Arial"/>
          <w:color w:val="000000"/>
        </w:rPr>
        <w:t>řádu cca 4,</w:t>
      </w:r>
      <w:r w:rsidRPr="003B2E29">
        <w:rPr>
          <w:rFonts w:ascii="Arial" w:hAnsi="Arial" w:cs="Arial"/>
          <w:color w:val="000000"/>
        </w:rPr>
        <w:t>6 mld. Kč.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případě, že by uvedené kmitočty nebyly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navrhovaném období uvolněny, nelze ovšem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uvedeným příjmem státního rozpočtu počítat</w:t>
      </w:r>
      <w:r w:rsidR="00052B55" w:rsidRPr="003B2E29">
        <w:rPr>
          <w:rFonts w:ascii="Arial" w:hAnsi="Arial" w:cs="Arial"/>
        </w:rPr>
        <w:t xml:space="preserve"> (viz též 3.1)</w:t>
      </w:r>
      <w:r w:rsidRPr="003B2E29">
        <w:rPr>
          <w:rFonts w:ascii="Arial" w:hAnsi="Arial" w:cs="Arial"/>
        </w:rPr>
        <w:t>.</w:t>
      </w:r>
    </w:p>
    <w:p w14:paraId="33549E9A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50553CDB" w14:textId="6E76A341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Státní rozpočet bude dále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daném období posílen o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zvýšený příjem za DPH televizních přijímačů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set</w:t>
      </w:r>
      <w:r w:rsidR="00EA1FB5">
        <w:rPr>
          <w:rFonts w:ascii="Arial" w:hAnsi="Arial" w:cs="Arial"/>
          <w:color w:val="000000"/>
        </w:rPr>
        <w:t>-</w:t>
      </w:r>
      <w:r w:rsidRPr="003B2E29">
        <w:rPr>
          <w:rFonts w:ascii="Arial" w:hAnsi="Arial" w:cs="Arial"/>
          <w:color w:val="000000"/>
        </w:rPr>
        <w:t>top</w:t>
      </w:r>
      <w:r w:rsidR="00EA1FB5">
        <w:rPr>
          <w:rFonts w:ascii="Arial" w:hAnsi="Arial" w:cs="Arial"/>
          <w:color w:val="000000"/>
        </w:rPr>
        <w:t>-</w:t>
      </w:r>
      <w:bookmarkStart w:id="1" w:name="_GoBack"/>
      <w:bookmarkEnd w:id="1"/>
      <w:r w:rsidRPr="003B2E29">
        <w:rPr>
          <w:rFonts w:ascii="Arial" w:hAnsi="Arial" w:cs="Arial"/>
          <w:color w:val="000000"/>
        </w:rPr>
        <w:t>boxů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odhadované částce </w:t>
      </w:r>
      <w:r w:rsidR="00821FA1" w:rsidRPr="003B2E29">
        <w:rPr>
          <w:rFonts w:ascii="Arial" w:hAnsi="Arial" w:cs="Arial"/>
          <w:color w:val="000000"/>
        </w:rPr>
        <w:t>cca 1</w:t>
      </w:r>
      <w:r w:rsidR="0018674B" w:rsidRPr="003B2E29">
        <w:rPr>
          <w:rFonts w:ascii="Arial" w:hAnsi="Arial" w:cs="Arial"/>
          <w:color w:val="000000"/>
        </w:rPr>
        <w:t> </w:t>
      </w:r>
      <w:r w:rsidR="00821FA1" w:rsidRPr="003B2E29">
        <w:rPr>
          <w:rFonts w:ascii="Arial" w:hAnsi="Arial" w:cs="Arial"/>
          <w:color w:val="000000"/>
        </w:rPr>
        <w:t>mld</w:t>
      </w:r>
      <w:r w:rsidRPr="003B2E29">
        <w:rPr>
          <w:rFonts w:ascii="Arial" w:hAnsi="Arial" w:cs="Arial"/>
          <w:color w:val="000000"/>
        </w:rPr>
        <w:t>.</w:t>
      </w:r>
      <w:r w:rsidR="00C72084" w:rsidRPr="003B2E29">
        <w:rPr>
          <w:rFonts w:ascii="Arial" w:hAnsi="Arial" w:cs="Arial"/>
          <w:color w:val="000000"/>
        </w:rPr>
        <w:t xml:space="preserve"> </w:t>
      </w:r>
      <w:r w:rsidRPr="003B2E29">
        <w:rPr>
          <w:rFonts w:ascii="Arial" w:hAnsi="Arial" w:cs="Arial"/>
          <w:color w:val="000000"/>
        </w:rPr>
        <w:t>Kč oproti běžnému výběru DPH za tuto kategorii spotřební elektroniky.</w:t>
      </w:r>
      <w:r w:rsidR="00AE38D7" w:rsidRPr="003B2E29">
        <w:rPr>
          <w:rFonts w:ascii="Arial" w:hAnsi="Arial" w:cs="Arial"/>
        </w:rPr>
        <w:t xml:space="preserve"> Zvýšený výběr DPH bude generován na základě urychlení cyklu výměny přijímacích zařízení v domácnostech oproti běžné výměně tel</w:t>
      </w:r>
      <w:r w:rsidR="00052B55" w:rsidRPr="003B2E29">
        <w:rPr>
          <w:rFonts w:ascii="Arial" w:hAnsi="Arial" w:cs="Arial"/>
        </w:rPr>
        <w:t>e</w:t>
      </w:r>
      <w:r w:rsidR="00AE38D7" w:rsidRPr="003B2E29">
        <w:rPr>
          <w:rFonts w:ascii="Arial" w:hAnsi="Arial" w:cs="Arial"/>
        </w:rPr>
        <w:t xml:space="preserve">vizorů. </w:t>
      </w:r>
    </w:p>
    <w:p w14:paraId="710C7F43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077B2827" w14:textId="0422AAD3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</w:rPr>
        <w:t>Rekapitulace dopadů do státního rozpočtu</w:t>
      </w:r>
      <w:r w:rsidR="00C72084" w:rsidRPr="003B2E29">
        <w:rPr>
          <w:rFonts w:ascii="Arial" w:hAnsi="Arial" w:cs="Arial"/>
          <w:color w:val="000000"/>
        </w:rPr>
        <w:t xml:space="preserve"> tak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zásadě přináší státnímu rozpočtu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perspektivě 5</w:t>
      </w:r>
      <w:r w:rsidR="003B2E29">
        <w:rPr>
          <w:rFonts w:ascii="Arial" w:hAnsi="Arial" w:cs="Arial"/>
          <w:color w:val="000000"/>
        </w:rPr>
        <w:t xml:space="preserve"> – </w:t>
      </w:r>
      <w:r w:rsidRPr="003B2E29">
        <w:rPr>
          <w:rFonts w:ascii="Arial" w:hAnsi="Arial" w:cs="Arial"/>
          <w:color w:val="000000"/>
        </w:rPr>
        <w:t>6 let pozitivní saldo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částce cca </w:t>
      </w:r>
      <w:r w:rsidR="00F60056" w:rsidRPr="003B2E29">
        <w:rPr>
          <w:rFonts w:ascii="Arial" w:hAnsi="Arial" w:cs="Arial"/>
          <w:color w:val="000000"/>
        </w:rPr>
        <w:t>4,7 mld.</w:t>
      </w:r>
      <w:r w:rsidRPr="003B2E29">
        <w:rPr>
          <w:rFonts w:ascii="Arial" w:hAnsi="Arial" w:cs="Arial"/>
          <w:color w:val="000000"/>
        </w:rPr>
        <w:t xml:space="preserve"> mld. Kč při zahájení procesu Přechodu na DVB-T2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roce 2016</w:t>
      </w:r>
      <w:r w:rsidR="00F60056" w:rsidRPr="003B2E29">
        <w:rPr>
          <w:rFonts w:ascii="Arial" w:hAnsi="Arial" w:cs="Arial"/>
          <w:color w:val="000000"/>
        </w:rPr>
        <w:t xml:space="preserve"> a</w:t>
      </w:r>
      <w:r w:rsidR="0018674B" w:rsidRPr="003B2E29">
        <w:rPr>
          <w:rFonts w:ascii="Arial" w:hAnsi="Arial" w:cs="Arial"/>
          <w:color w:val="000000"/>
        </w:rPr>
        <w:t> </w:t>
      </w:r>
      <w:r w:rsidR="00F60056" w:rsidRPr="003B2E29">
        <w:rPr>
          <w:rFonts w:ascii="Arial" w:hAnsi="Arial" w:cs="Arial"/>
          <w:color w:val="000000"/>
        </w:rPr>
        <w:t xml:space="preserve">se započtením výsledků aukce uvolněných kmitočtů. Bez započtení potenciálních výnosů </w:t>
      </w:r>
      <w:r w:rsidR="00C66463" w:rsidRPr="003B2E29">
        <w:rPr>
          <w:rFonts w:ascii="Arial" w:hAnsi="Arial" w:cs="Arial"/>
        </w:rPr>
        <w:t xml:space="preserve">aukce </w:t>
      </w:r>
      <w:r w:rsidR="00F60056" w:rsidRPr="003B2E29">
        <w:rPr>
          <w:rFonts w:ascii="Arial" w:hAnsi="Arial" w:cs="Arial"/>
          <w:color w:val="000000"/>
        </w:rPr>
        <w:t>je pozitivní saldo ve výši kolem 10</w:t>
      </w:r>
      <w:r w:rsidR="00821FA1" w:rsidRPr="003B2E29">
        <w:rPr>
          <w:rFonts w:ascii="Arial" w:hAnsi="Arial" w:cs="Arial"/>
          <w:color w:val="000000"/>
        </w:rPr>
        <w:t>9</w:t>
      </w:r>
      <w:r w:rsidR="00F60056" w:rsidRPr="003B2E29">
        <w:rPr>
          <w:rFonts w:ascii="Arial" w:hAnsi="Arial" w:cs="Arial"/>
          <w:color w:val="000000"/>
        </w:rPr>
        <w:t xml:space="preserve"> mil. Kč. (</w:t>
      </w:r>
      <w:r w:rsidR="00771A37" w:rsidRPr="003B2E29">
        <w:rPr>
          <w:rFonts w:ascii="Arial" w:hAnsi="Arial" w:cs="Arial"/>
          <w:color w:val="000000"/>
        </w:rPr>
        <w:t xml:space="preserve">Výsledná tabulka </w:t>
      </w:r>
      <w:r w:rsidR="0048194B" w:rsidRPr="003B2E29">
        <w:rPr>
          <w:rFonts w:ascii="Arial" w:hAnsi="Arial" w:cs="Arial"/>
        </w:rPr>
        <w:t xml:space="preserve">kvantifikace dopadů do Státního rozpočtu </w:t>
      </w:r>
      <w:r w:rsidR="00771A37" w:rsidRPr="003B2E29">
        <w:rPr>
          <w:rFonts w:ascii="Arial" w:hAnsi="Arial" w:cs="Arial"/>
          <w:color w:val="000000"/>
        </w:rPr>
        <w:t xml:space="preserve">viz III. Příloha 1 část </w:t>
      </w:r>
      <w:r w:rsidR="00821FA1" w:rsidRPr="003B2E29">
        <w:rPr>
          <w:rFonts w:ascii="Arial" w:hAnsi="Arial" w:cs="Arial"/>
          <w:color w:val="000000"/>
        </w:rPr>
        <w:t>6</w:t>
      </w:r>
      <w:r w:rsidR="00F60056" w:rsidRPr="003B2E29">
        <w:rPr>
          <w:rFonts w:ascii="Arial" w:hAnsi="Arial" w:cs="Arial"/>
          <w:color w:val="000000"/>
        </w:rPr>
        <w:t>)</w:t>
      </w:r>
      <w:r w:rsidR="00771A37" w:rsidRPr="003B2E29">
        <w:rPr>
          <w:rFonts w:ascii="Arial" w:hAnsi="Arial" w:cs="Arial"/>
          <w:color w:val="000000"/>
        </w:rPr>
        <w:t>.</w:t>
      </w:r>
      <w:r w:rsidR="00066EA0" w:rsidRPr="003B2E29">
        <w:rPr>
          <w:rFonts w:ascii="Arial" w:hAnsi="Arial" w:cs="Arial"/>
          <w:color w:val="000000"/>
        </w:rPr>
        <w:t xml:space="preserve"> </w:t>
      </w:r>
    </w:p>
    <w:p w14:paraId="1AC0088F" w14:textId="77777777" w:rsidR="009720AB" w:rsidRPr="003B2E29" w:rsidRDefault="009720AB" w:rsidP="00FC4CD4">
      <w:pPr>
        <w:pStyle w:val="Odstavecseseznamem"/>
        <w:spacing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541505C1" w14:textId="6D8EE700" w:rsidR="009720AB" w:rsidRPr="003B2E29" w:rsidRDefault="009720AB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  <w:u w:val="single"/>
        </w:rPr>
        <w:t>Administrativní zátěž pro orgány veřejné správy</w:t>
      </w:r>
      <w:r w:rsidRPr="003B2E29">
        <w:rPr>
          <w:rFonts w:ascii="Arial" w:hAnsi="Arial" w:cs="Arial"/>
          <w:color w:val="000000"/>
        </w:rPr>
        <w:t>. Navrhovaný proces Přechodu na DVB-T2 nepředpokládá významné zvýšení administrativní zátěže, pokud dojde k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navrhované racionální dělbě postupu mezi orgány veřejné a</w:t>
      </w:r>
      <w:r w:rsidRPr="003B2E29">
        <w:rPr>
          <w:rFonts w:ascii="Arial" w:hAnsi="Arial" w:cs="Arial"/>
        </w:rPr>
        <w:t xml:space="preserve"> dotčenými subjekty. </w:t>
      </w:r>
      <w:r w:rsidR="00052B55" w:rsidRPr="003B2E29">
        <w:rPr>
          <w:rFonts w:ascii="Arial" w:hAnsi="Arial" w:cs="Arial"/>
        </w:rPr>
        <w:t>Určité, relativně nízké náklady ponese v průběhu realizace Strategie MPO jako odpovědný orgán veřejné správy (administrativní podpora činnosti Koordinační expertní skupiny).</w:t>
      </w:r>
      <w:r w:rsidRPr="003B2E29">
        <w:rPr>
          <w:rFonts w:ascii="Arial" w:hAnsi="Arial" w:cs="Arial"/>
          <w:color w:val="000000"/>
        </w:rPr>
        <w:t xml:space="preserve">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případě, že proces Přechodu na DVB-T2 bude odložen či bude realizován násilím (odejmutí přídělů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dopady do komerčních smluv apod.) je nutno počítat se zvýšením administrativní zátěže, vyplývající např. z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očekávaných žalob na ochranu investic.</w:t>
      </w:r>
      <w:r w:rsidR="00066EA0" w:rsidRPr="003B2E29">
        <w:rPr>
          <w:rFonts w:ascii="Arial" w:hAnsi="Arial" w:cs="Arial"/>
          <w:color w:val="000000"/>
        </w:rPr>
        <w:t xml:space="preserve"> </w:t>
      </w:r>
    </w:p>
    <w:p w14:paraId="458A929B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702727D0" w14:textId="3A94C6C3" w:rsidR="009720AB" w:rsidRPr="003B2E29" w:rsidRDefault="009720AB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  <w:u w:val="single"/>
        </w:rPr>
        <w:t>Náklady plynoucí pro podnikatele a</w:t>
      </w:r>
      <w:r w:rsidR="0018674B" w:rsidRPr="003B2E29">
        <w:rPr>
          <w:rFonts w:ascii="Arial" w:hAnsi="Arial" w:cs="Arial"/>
          <w:b/>
          <w:color w:val="000000"/>
          <w:u w:val="single"/>
        </w:rPr>
        <w:t> </w:t>
      </w:r>
      <w:r w:rsidRPr="003B2E29">
        <w:rPr>
          <w:rFonts w:ascii="Arial" w:hAnsi="Arial" w:cs="Arial"/>
          <w:b/>
          <w:color w:val="000000"/>
          <w:u w:val="single"/>
        </w:rPr>
        <w:t>občany</w:t>
      </w:r>
      <w:r w:rsidRPr="003B2E29">
        <w:rPr>
          <w:rFonts w:ascii="Arial" w:hAnsi="Arial" w:cs="Arial"/>
          <w:color w:val="000000"/>
        </w:rPr>
        <w:t>.</w:t>
      </w:r>
      <w:r w:rsidR="00066EA0" w:rsidRPr="003B2E29">
        <w:rPr>
          <w:rFonts w:ascii="Arial" w:hAnsi="Arial" w:cs="Arial"/>
          <w:color w:val="000000"/>
        </w:rPr>
        <w:t xml:space="preserve"> </w:t>
      </w:r>
    </w:p>
    <w:p w14:paraId="292F38CC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13A2A2AF" w14:textId="0C205547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Největší náklady vyplývající z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realizace procesu Přechodu na DVB-T2 jsou spojeny s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urychlením výdajů domácností na výměnu televizních přijímačů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odhadované </w:t>
      </w:r>
      <w:r w:rsidRPr="003B2E29">
        <w:rPr>
          <w:rFonts w:ascii="Arial" w:hAnsi="Arial" w:cs="Arial"/>
          <w:color w:val="000000"/>
        </w:rPr>
        <w:lastRenderedPageBreak/>
        <w:t>částce kolem 4,95 mld. Kč za dané období oproti běžným očekávaným výdajů</w:t>
      </w:r>
      <w:r w:rsidR="00EF675B">
        <w:rPr>
          <w:rFonts w:ascii="Arial" w:hAnsi="Arial" w:cs="Arial"/>
          <w:color w:val="000000"/>
        </w:rPr>
        <w:t>m</w:t>
      </w:r>
      <w:r w:rsidRPr="003B2E29">
        <w:rPr>
          <w:rFonts w:ascii="Arial" w:hAnsi="Arial" w:cs="Arial"/>
          <w:color w:val="000000"/>
        </w:rPr>
        <w:t xml:space="preserve"> domácností, daný</w:t>
      </w:r>
      <w:r w:rsidR="00EF675B">
        <w:rPr>
          <w:rFonts w:ascii="Arial" w:hAnsi="Arial" w:cs="Arial"/>
          <w:color w:val="000000"/>
        </w:rPr>
        <w:t>m</w:t>
      </w:r>
      <w:r w:rsidRPr="003B2E29">
        <w:rPr>
          <w:rFonts w:ascii="Arial" w:hAnsi="Arial" w:cs="Arial"/>
          <w:color w:val="000000"/>
        </w:rPr>
        <w:t xml:space="preserve"> běžným cyklem obměny přijímacích zařízení. Na druhé straně však přínosem bude podstatná modernizace </w:t>
      </w:r>
      <w:r w:rsidR="00052B55" w:rsidRPr="003B2E29">
        <w:rPr>
          <w:rFonts w:ascii="Arial" w:hAnsi="Arial" w:cs="Arial"/>
        </w:rPr>
        <w:t xml:space="preserve">přijímacích </w:t>
      </w:r>
      <w:r w:rsidRPr="003B2E29">
        <w:rPr>
          <w:rFonts w:ascii="Arial" w:hAnsi="Arial" w:cs="Arial"/>
          <w:color w:val="000000"/>
        </w:rPr>
        <w:t>zařízení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domácnostech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podpora modernizace rozšíření bezplatně dostupného televizního vysílání.</w:t>
      </w:r>
    </w:p>
    <w:p w14:paraId="6147CC5E" w14:textId="77777777" w:rsidR="009720AB" w:rsidRPr="003B2E29" w:rsidRDefault="009720AB" w:rsidP="00FC4CD4">
      <w:pPr>
        <w:pStyle w:val="Odstavecseseznamem"/>
        <w:spacing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1A782637" w14:textId="43B1EC12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Náklady Přechodu na DVB-T2 ovšem ponesou podnikatelé, zejména operátoři sítí pro šíření televizního signálu, kteří jednak musí mít např. kompenzovány ztráty z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předčasného vyřazení stávajících vysílacích zařízení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 xml:space="preserve">zvýšených předčasných nákladů na vybudování nových sítí (podrobněji viz výše). </w:t>
      </w:r>
    </w:p>
    <w:p w14:paraId="0E5ECD52" w14:textId="77777777" w:rsidR="009720AB" w:rsidRPr="003B2E29" w:rsidRDefault="009720AB" w:rsidP="00FC4CD4">
      <w:pPr>
        <w:pStyle w:val="Odstavecseseznamem"/>
        <w:spacing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65F78540" w14:textId="1BBA36B3" w:rsidR="009720AB" w:rsidRPr="003B2E29" w:rsidRDefault="009720AB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  <w:u w:val="single"/>
        </w:rPr>
        <w:t>Konkurenceschopnost</w:t>
      </w:r>
      <w:r w:rsidRPr="003B2E29">
        <w:rPr>
          <w:rFonts w:ascii="Arial" w:hAnsi="Arial" w:cs="Arial"/>
          <w:color w:val="000000"/>
        </w:rPr>
        <w:t>. Podstatným přínosem dopadů včas zahájeného Přechodu na DVB-T2 bude pochopitelně zvýšení konkurenceschopnosti na základě významného urychlení inovací dotčených technologických infrastruktur – tj. sítí DTT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sítí mobilního broadbandu</w:t>
      </w:r>
      <w:r w:rsidR="001D242F" w:rsidRPr="003B2E29">
        <w:rPr>
          <w:rFonts w:ascii="Arial" w:hAnsi="Arial" w:cs="Arial"/>
          <w:color w:val="000000"/>
        </w:rPr>
        <w:t xml:space="preserve"> v</w:t>
      </w:r>
      <w:r w:rsidR="0018674B" w:rsidRPr="003B2E29">
        <w:rPr>
          <w:rFonts w:ascii="Arial" w:hAnsi="Arial" w:cs="Arial"/>
          <w:color w:val="000000"/>
        </w:rPr>
        <w:t> </w:t>
      </w:r>
      <w:r w:rsidR="001D242F" w:rsidRPr="003B2E29">
        <w:rPr>
          <w:rFonts w:ascii="Arial" w:hAnsi="Arial" w:cs="Arial"/>
          <w:color w:val="000000"/>
        </w:rPr>
        <w:t>celé ČR</w:t>
      </w:r>
      <w:r w:rsidRPr="003B2E29">
        <w:rPr>
          <w:rFonts w:ascii="Arial" w:hAnsi="Arial" w:cs="Arial"/>
          <w:color w:val="000000"/>
        </w:rPr>
        <w:t>. Po dobu Přechodu na DVB-T2 je možno např. očekávat zvýšení zaměstnanosti ve firmách, poskytujících servis domácnostem.</w:t>
      </w:r>
    </w:p>
    <w:p w14:paraId="63BFC682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4F2F5665" w14:textId="51D1216E" w:rsidR="009720AB" w:rsidRPr="003B2E29" w:rsidRDefault="009720AB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b/>
          <w:color w:val="000000"/>
          <w:u w:val="single"/>
        </w:rPr>
        <w:t>Ekonomické a</w:t>
      </w:r>
      <w:r w:rsidR="0018674B" w:rsidRPr="003B2E29">
        <w:rPr>
          <w:rFonts w:ascii="Arial" w:hAnsi="Arial" w:cs="Arial"/>
          <w:b/>
          <w:color w:val="000000"/>
          <w:u w:val="single"/>
        </w:rPr>
        <w:t> </w:t>
      </w:r>
      <w:r w:rsidRPr="003B2E29">
        <w:rPr>
          <w:rFonts w:ascii="Arial" w:hAnsi="Arial" w:cs="Arial"/>
          <w:b/>
          <w:color w:val="000000"/>
          <w:u w:val="single"/>
        </w:rPr>
        <w:t>právní vztahy</w:t>
      </w:r>
      <w:r w:rsidRPr="003B2E29">
        <w:rPr>
          <w:rFonts w:ascii="Arial" w:hAnsi="Arial" w:cs="Arial"/>
          <w:color w:val="000000"/>
        </w:rPr>
        <w:t>.</w:t>
      </w:r>
    </w:p>
    <w:p w14:paraId="6612537B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68197A03" w14:textId="12F57DA5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Realizace Strategie nemá dopady do ekonomických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právních vztahů orgánů veřejné správy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soukromého sektoru</w:t>
      </w:r>
      <w:r w:rsidR="00255272" w:rsidRPr="003B2E29">
        <w:rPr>
          <w:rFonts w:ascii="Arial" w:hAnsi="Arial" w:cs="Arial"/>
        </w:rPr>
        <w:t xml:space="preserve"> s výjimkou zásahu do přídělů rádiových kmitočtů z hlediska lhůt platnosti</w:t>
      </w:r>
      <w:r w:rsidRPr="003B2E29">
        <w:rPr>
          <w:rFonts w:ascii="Arial" w:hAnsi="Arial" w:cs="Arial"/>
          <w:color w:val="000000"/>
        </w:rPr>
        <w:t xml:space="preserve">. </w:t>
      </w:r>
    </w:p>
    <w:p w14:paraId="346AA73F" w14:textId="77777777" w:rsidR="009720AB" w:rsidRPr="003B2E29" w:rsidRDefault="009720AB" w:rsidP="00FC4CD4">
      <w:pPr>
        <w:pStyle w:val="Odstavecseseznamem"/>
        <w:spacing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7A9EF3C6" w14:textId="77777777" w:rsidR="009720AB" w:rsidRPr="003B2E29" w:rsidRDefault="009720AB" w:rsidP="00FC4CD4">
      <w:pPr>
        <w:pStyle w:val="Odstavecseseznamem"/>
        <w:numPr>
          <w:ilvl w:val="1"/>
          <w:numId w:val="43"/>
        </w:numPr>
        <w:spacing w:after="240" w:line="276" w:lineRule="auto"/>
        <w:ind w:left="1080" w:hanging="720"/>
        <w:jc w:val="both"/>
        <w:rPr>
          <w:rFonts w:ascii="Arial" w:hAnsi="Arial" w:cs="Arial"/>
          <w:color w:val="000000"/>
        </w:rPr>
      </w:pPr>
      <w:r w:rsidRPr="003B2E29">
        <w:rPr>
          <w:rFonts w:ascii="Arial" w:hAnsi="Arial" w:cs="Arial"/>
          <w:color w:val="000000"/>
        </w:rPr>
        <w:t>Stávající komerční vztahy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televizním sektoru bude ovšem nutno v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rámci Přechodu na DVB-T2 modifikovat.</w:t>
      </w:r>
    </w:p>
    <w:p w14:paraId="3EFAF59B" w14:textId="77777777" w:rsidR="009720AB" w:rsidRPr="003B2E29" w:rsidRDefault="009720AB" w:rsidP="00FC4CD4">
      <w:pPr>
        <w:pStyle w:val="Odstavecseseznamem"/>
        <w:spacing w:after="240" w:line="276" w:lineRule="auto"/>
        <w:ind w:left="0"/>
        <w:jc w:val="both"/>
        <w:rPr>
          <w:rFonts w:ascii="Arial" w:hAnsi="Arial" w:cs="Arial"/>
          <w:color w:val="000000"/>
        </w:rPr>
      </w:pPr>
    </w:p>
    <w:p w14:paraId="79388300" w14:textId="5AE61CEC" w:rsidR="008316D7" w:rsidRPr="003B2E29" w:rsidRDefault="009720AB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3B2E29">
        <w:rPr>
          <w:rFonts w:ascii="Arial" w:hAnsi="Arial" w:cs="Arial"/>
          <w:color w:val="000000"/>
        </w:rPr>
        <w:t>Odložení Přechodu na DVB-T2 naopak může přinést do vztahů mezi orgány veřejné správy a</w:t>
      </w:r>
      <w:r w:rsidR="0018674B" w:rsidRPr="003B2E29">
        <w:rPr>
          <w:rFonts w:ascii="Arial" w:hAnsi="Arial" w:cs="Arial"/>
          <w:color w:val="000000"/>
        </w:rPr>
        <w:t> </w:t>
      </w:r>
      <w:r w:rsidRPr="003B2E29">
        <w:rPr>
          <w:rFonts w:ascii="Arial" w:hAnsi="Arial" w:cs="Arial"/>
          <w:color w:val="000000"/>
        </w:rPr>
        <w:t>televizního sektoru žaloby na ochranu investic.</w:t>
      </w:r>
    </w:p>
    <w:p w14:paraId="0806903D" w14:textId="77777777" w:rsidR="00AE425E" w:rsidRPr="003B2E29" w:rsidRDefault="00AE425E" w:rsidP="00FC4CD4">
      <w:pPr>
        <w:pStyle w:val="Odstavecseseznamem"/>
        <w:spacing w:line="276" w:lineRule="auto"/>
        <w:rPr>
          <w:rFonts w:ascii="Arial" w:hAnsi="Arial" w:cs="Arial"/>
        </w:rPr>
      </w:pPr>
    </w:p>
    <w:p w14:paraId="7ED823BC" w14:textId="56763FA9" w:rsidR="00AE425E" w:rsidRPr="003B2E29" w:rsidRDefault="00AE425E" w:rsidP="00FC4CD4">
      <w:pPr>
        <w:pStyle w:val="Odstavecseseznamem"/>
        <w:keepNext/>
        <w:numPr>
          <w:ilvl w:val="0"/>
          <w:numId w:val="43"/>
        </w:numPr>
        <w:spacing w:after="240" w:line="276" w:lineRule="auto"/>
        <w:ind w:left="357" w:hanging="357"/>
        <w:jc w:val="both"/>
        <w:rPr>
          <w:rFonts w:ascii="Arial" w:hAnsi="Arial" w:cs="Arial"/>
          <w:b/>
          <w:u w:val="single"/>
        </w:rPr>
      </w:pPr>
      <w:r w:rsidRPr="00786359">
        <w:rPr>
          <w:rFonts w:ascii="Arial" w:hAnsi="Arial" w:cs="Arial"/>
          <w:b/>
          <w:color w:val="000000"/>
          <w:u w:val="single"/>
        </w:rPr>
        <w:t>Životní</w:t>
      </w:r>
      <w:r w:rsidR="00786359">
        <w:rPr>
          <w:rFonts w:ascii="Arial" w:hAnsi="Arial" w:cs="Arial"/>
          <w:b/>
          <w:u w:val="single"/>
        </w:rPr>
        <w:t xml:space="preserve"> prostředí</w:t>
      </w:r>
    </w:p>
    <w:p w14:paraId="44DFF09D" w14:textId="77777777" w:rsidR="00AE425E" w:rsidRPr="003B2E29" w:rsidRDefault="00AE425E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3B2E29">
        <w:rPr>
          <w:rFonts w:ascii="Arial" w:hAnsi="Arial" w:cs="Arial"/>
        </w:rPr>
        <w:t xml:space="preserve">Přechodem na efektivnější vysílací technologie na stávajících stanovištích dojde k určitému snížení energetické náročnosti vysílání. </w:t>
      </w:r>
    </w:p>
    <w:p w14:paraId="5E1E80B0" w14:textId="77777777" w:rsidR="00F471AD" w:rsidRPr="003B2E29" w:rsidRDefault="00AE425E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3B2E29">
        <w:rPr>
          <w:rFonts w:ascii="Arial" w:hAnsi="Arial" w:cs="Arial"/>
        </w:rPr>
        <w:t xml:space="preserve">Využitím uvolněných kmitočtů </w:t>
      </w:r>
      <w:r w:rsidR="00F471AD" w:rsidRPr="003B2E29">
        <w:rPr>
          <w:rFonts w:ascii="Arial" w:hAnsi="Arial" w:cs="Arial"/>
        </w:rPr>
        <w:t>pro služby mobilního broadbandu ovšem dojde k dalšímu zatížení prostředí rádiovými vlnami.</w:t>
      </w:r>
    </w:p>
    <w:p w14:paraId="533BCEFB" w14:textId="36779992" w:rsidR="0048194B" w:rsidRPr="003B2E29" w:rsidRDefault="0048194B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3B2E29">
        <w:rPr>
          <w:rFonts w:ascii="Arial" w:hAnsi="Arial" w:cs="Arial"/>
        </w:rPr>
        <w:t xml:space="preserve">Většina nových přijímacích zařízení je zařízeními reagujícími na nutnost úspory spotřeby el. </w:t>
      </w:r>
      <w:r w:rsidR="00EF675B">
        <w:rPr>
          <w:rFonts w:ascii="Arial" w:hAnsi="Arial" w:cs="Arial"/>
        </w:rPr>
        <w:t>e</w:t>
      </w:r>
      <w:r w:rsidRPr="003B2E29">
        <w:rPr>
          <w:rFonts w:ascii="Arial" w:hAnsi="Arial" w:cs="Arial"/>
        </w:rPr>
        <w:t>nergie (v kategorii A++).</w:t>
      </w:r>
    </w:p>
    <w:p w14:paraId="3880545E" w14:textId="77777777" w:rsidR="0048194B" w:rsidRPr="003B2E29" w:rsidRDefault="0048194B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</w:p>
    <w:p w14:paraId="2E31642E" w14:textId="77777777" w:rsidR="00F471AD" w:rsidRPr="003B2E29" w:rsidRDefault="00F471AD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b/>
          <w:u w:val="single"/>
        </w:rPr>
      </w:pPr>
      <w:r w:rsidRPr="00786359">
        <w:rPr>
          <w:rFonts w:ascii="Arial" w:hAnsi="Arial" w:cs="Arial"/>
          <w:b/>
          <w:color w:val="000000"/>
          <w:u w:val="single"/>
        </w:rPr>
        <w:t xml:space="preserve">Vztah k zákazu diskriminace </w:t>
      </w:r>
    </w:p>
    <w:p w14:paraId="37DCFDDF" w14:textId="77777777" w:rsidR="00F471AD" w:rsidRPr="003B2E29" w:rsidRDefault="00F471AD" w:rsidP="00FC4CD4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u w:val="single"/>
        </w:rPr>
      </w:pPr>
    </w:p>
    <w:p w14:paraId="34042097" w14:textId="77777777" w:rsidR="00F471AD" w:rsidRPr="003B2E29" w:rsidRDefault="00F471AD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 xml:space="preserve">Realizace Strategie je vůči zákazu diskriminace </w:t>
      </w:r>
      <w:r w:rsidR="00DD3DC3" w:rsidRPr="003B2E29">
        <w:rPr>
          <w:rFonts w:ascii="Arial" w:hAnsi="Arial" w:cs="Arial"/>
        </w:rPr>
        <w:t xml:space="preserve">(muži/ženy) </w:t>
      </w:r>
      <w:r w:rsidRPr="003B2E29">
        <w:rPr>
          <w:rFonts w:ascii="Arial" w:hAnsi="Arial" w:cs="Arial"/>
        </w:rPr>
        <w:t xml:space="preserve">neutrální a </w:t>
      </w:r>
      <w:r w:rsidR="00DD3DC3" w:rsidRPr="003B2E29">
        <w:rPr>
          <w:rFonts w:ascii="Arial" w:hAnsi="Arial" w:cs="Arial"/>
        </w:rPr>
        <w:t xml:space="preserve">její dopady </w:t>
      </w:r>
      <w:r w:rsidRPr="003B2E29">
        <w:rPr>
          <w:rFonts w:ascii="Arial" w:hAnsi="Arial" w:cs="Arial"/>
        </w:rPr>
        <w:t>nesouvisí s žádným aspektem tohoto zákazu.</w:t>
      </w:r>
    </w:p>
    <w:p w14:paraId="1D630CC3" w14:textId="77777777" w:rsidR="00F471AD" w:rsidRPr="003B2E29" w:rsidRDefault="00F471AD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</w:p>
    <w:p w14:paraId="7BED4863" w14:textId="77777777" w:rsidR="00F471AD" w:rsidRPr="00786359" w:rsidRDefault="00F471AD" w:rsidP="00FC4CD4">
      <w:pPr>
        <w:pStyle w:val="Odstavecseseznamem"/>
        <w:numPr>
          <w:ilvl w:val="0"/>
          <w:numId w:val="43"/>
        </w:numPr>
        <w:spacing w:after="240" w:line="276" w:lineRule="auto"/>
        <w:jc w:val="both"/>
        <w:rPr>
          <w:rFonts w:ascii="Arial" w:hAnsi="Arial" w:cs="Arial"/>
          <w:b/>
          <w:color w:val="000000"/>
          <w:u w:val="single"/>
        </w:rPr>
      </w:pPr>
      <w:r w:rsidRPr="00786359">
        <w:rPr>
          <w:rFonts w:ascii="Arial" w:hAnsi="Arial" w:cs="Arial"/>
          <w:b/>
          <w:color w:val="000000"/>
          <w:u w:val="single"/>
        </w:rPr>
        <w:t>Dopady na výkon státní statistické služby</w:t>
      </w:r>
    </w:p>
    <w:p w14:paraId="58FEFCF8" w14:textId="77777777" w:rsidR="00F471AD" w:rsidRPr="003B2E29" w:rsidRDefault="00F471AD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</w:p>
    <w:p w14:paraId="493B8B70" w14:textId="77777777" w:rsidR="00AE425E" w:rsidRPr="003B2E29" w:rsidRDefault="00F471AD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3B2E29">
        <w:rPr>
          <w:rFonts w:ascii="Arial" w:hAnsi="Arial" w:cs="Arial"/>
        </w:rPr>
        <w:t>Strategie počítá sice s monitoringem výsledků opatření, ale příslušný sběr dat nebude mít vliv na výkon státní statistické služby, vzhledem k tomu, že bude organizován bez zatížení státní statistické služby.</w:t>
      </w:r>
      <w:r w:rsidR="00AE425E" w:rsidRPr="003B2E29">
        <w:rPr>
          <w:rFonts w:ascii="Arial" w:hAnsi="Arial" w:cs="Arial"/>
        </w:rPr>
        <w:t xml:space="preserve"> </w:t>
      </w:r>
    </w:p>
    <w:p w14:paraId="0C611D42" w14:textId="77777777" w:rsidR="00767880" w:rsidRPr="003B2E29" w:rsidRDefault="00767880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</w:p>
    <w:p w14:paraId="04AC3117" w14:textId="77777777" w:rsidR="00767880" w:rsidRPr="003B2E29" w:rsidRDefault="00767880" w:rsidP="00FC4CD4">
      <w:pPr>
        <w:pStyle w:val="Odstavecseseznamem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</w:p>
    <w:sectPr w:rsidR="00767880" w:rsidRPr="003B2E29" w:rsidSect="003B1A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20799" w14:textId="77777777" w:rsidR="003B2E29" w:rsidRDefault="003B2E29" w:rsidP="00580DA4">
      <w:pPr>
        <w:spacing w:after="0" w:line="240" w:lineRule="auto"/>
      </w:pPr>
      <w:r>
        <w:separator/>
      </w:r>
    </w:p>
  </w:endnote>
  <w:endnote w:type="continuationSeparator" w:id="0">
    <w:p w14:paraId="77FC4E69" w14:textId="77777777" w:rsidR="003B2E29" w:rsidRDefault="003B2E29" w:rsidP="00580DA4">
      <w:pPr>
        <w:spacing w:after="0" w:line="240" w:lineRule="auto"/>
      </w:pPr>
      <w:r>
        <w:continuationSeparator/>
      </w:r>
    </w:p>
  </w:endnote>
  <w:endnote w:type="continuationNotice" w:id="1">
    <w:p w14:paraId="11DCA4B4" w14:textId="77777777" w:rsidR="003B2E29" w:rsidRDefault="003B2E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F5F05" w14:textId="77777777" w:rsidR="003B2E29" w:rsidRPr="00785475" w:rsidRDefault="003B2E29">
    <w:pPr>
      <w:pStyle w:val="Zpat"/>
      <w:jc w:val="right"/>
      <w:rPr>
        <w:rFonts w:ascii="Arial" w:hAnsi="Arial" w:cs="Arial"/>
      </w:rPr>
    </w:pPr>
    <w:r w:rsidRPr="00785475">
      <w:rPr>
        <w:rFonts w:ascii="Arial" w:hAnsi="Arial" w:cs="Arial"/>
      </w:rPr>
      <w:fldChar w:fldCharType="begin"/>
    </w:r>
    <w:r w:rsidRPr="00785475">
      <w:rPr>
        <w:rFonts w:ascii="Arial" w:hAnsi="Arial" w:cs="Arial"/>
      </w:rPr>
      <w:instrText>PAGE   \* MERGEFORMAT</w:instrText>
    </w:r>
    <w:r w:rsidRPr="00785475">
      <w:rPr>
        <w:rFonts w:ascii="Arial" w:hAnsi="Arial" w:cs="Arial"/>
      </w:rPr>
      <w:fldChar w:fldCharType="separate"/>
    </w:r>
    <w:r w:rsidR="00EA1FB5">
      <w:rPr>
        <w:rFonts w:ascii="Arial" w:hAnsi="Arial" w:cs="Arial"/>
        <w:noProof/>
      </w:rPr>
      <w:t>12</w:t>
    </w:r>
    <w:r w:rsidRPr="00785475">
      <w:rPr>
        <w:rFonts w:ascii="Arial" w:hAnsi="Arial" w:cs="Arial"/>
      </w:rPr>
      <w:fldChar w:fldCharType="end"/>
    </w:r>
  </w:p>
  <w:p w14:paraId="55DCFC96" w14:textId="77777777" w:rsidR="003B2E29" w:rsidRPr="00785475" w:rsidRDefault="003B2E29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16029" w14:textId="77777777" w:rsidR="003B2E29" w:rsidRDefault="003B2E29" w:rsidP="00580DA4">
      <w:pPr>
        <w:spacing w:after="0" w:line="240" w:lineRule="auto"/>
      </w:pPr>
      <w:r>
        <w:separator/>
      </w:r>
    </w:p>
  </w:footnote>
  <w:footnote w:type="continuationSeparator" w:id="0">
    <w:p w14:paraId="1E23C0F1" w14:textId="77777777" w:rsidR="003B2E29" w:rsidRDefault="003B2E29" w:rsidP="00580DA4">
      <w:pPr>
        <w:spacing w:after="0" w:line="240" w:lineRule="auto"/>
      </w:pPr>
      <w:r>
        <w:continuationSeparator/>
      </w:r>
    </w:p>
  </w:footnote>
  <w:footnote w:type="continuationNotice" w:id="1">
    <w:p w14:paraId="19E43D52" w14:textId="77777777" w:rsidR="003B2E29" w:rsidRDefault="003B2E29">
      <w:pPr>
        <w:spacing w:after="0" w:line="240" w:lineRule="auto"/>
      </w:pPr>
    </w:p>
  </w:footnote>
  <w:footnote w:id="2">
    <w:p w14:paraId="60894D38" w14:textId="348B28F5" w:rsidR="00EF675B" w:rsidRPr="00EF675B" w:rsidRDefault="00EF675B" w:rsidP="00EF675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675B">
        <w:rPr>
          <w:rStyle w:val="Znakapoznpodarou"/>
          <w:rFonts w:ascii="Arial" w:hAnsi="Arial" w:cs="Arial"/>
          <w:sz w:val="18"/>
          <w:szCs w:val="18"/>
        </w:rPr>
        <w:footnoteRef/>
      </w:r>
      <w:r w:rsidRPr="00EF675B">
        <w:rPr>
          <w:rFonts w:ascii="Arial" w:hAnsi="Arial" w:cs="Arial"/>
          <w:sz w:val="18"/>
          <w:szCs w:val="18"/>
        </w:rPr>
        <w:t xml:space="preserve"> Další rozvoj DTT je podmíněn úspěšnou mezinárodní koordinací 6 finálních sítí. Návrhy právního rámce rozvoje DTT tak musí navazovat na výsledky koordinací kmitočtů, tak na vyhodnocení výsledků Přechodu.</w:t>
      </w:r>
    </w:p>
  </w:footnote>
  <w:footnote w:id="3">
    <w:p w14:paraId="55CF32F6" w14:textId="77777777" w:rsidR="003B2E29" w:rsidRPr="00EF675B" w:rsidRDefault="003B2E29" w:rsidP="00EF675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675B">
        <w:rPr>
          <w:rStyle w:val="Znakapoznpodarou"/>
          <w:rFonts w:ascii="Arial" w:hAnsi="Arial" w:cs="Arial"/>
          <w:sz w:val="18"/>
          <w:szCs w:val="18"/>
        </w:rPr>
        <w:footnoteRef/>
      </w:r>
      <w:r w:rsidRPr="00EF675B">
        <w:rPr>
          <w:rFonts w:ascii="Arial" w:hAnsi="Arial" w:cs="Arial"/>
          <w:sz w:val="18"/>
          <w:szCs w:val="18"/>
        </w:rPr>
        <w:t xml:space="preserve"> http://www.ctu.cz/cs/download/radiove_ruseni/postup_setreni_ruseni_radioveho_prijmu_provozem_lte_24_03_2014_upraveny.pdf.</w:t>
      </w:r>
    </w:p>
  </w:footnote>
  <w:footnote w:id="4">
    <w:p w14:paraId="08E2E1F6" w14:textId="77777777" w:rsidR="003B2E29" w:rsidRPr="00EF675B" w:rsidRDefault="003B2E29" w:rsidP="00EF675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675B">
        <w:rPr>
          <w:rStyle w:val="Znakapoznpodarou"/>
          <w:rFonts w:ascii="Arial" w:hAnsi="Arial" w:cs="Arial"/>
          <w:sz w:val="18"/>
          <w:szCs w:val="18"/>
        </w:rPr>
        <w:footnoteRef/>
      </w:r>
      <w:r w:rsidRPr="00EF675B">
        <w:rPr>
          <w:rFonts w:ascii="Arial" w:hAnsi="Arial" w:cs="Arial"/>
          <w:sz w:val="18"/>
          <w:szCs w:val="18"/>
        </w:rPr>
        <w:t xml:space="preserve"> Ve Velké Británii byla na problematiku rušení dedikována částka 180 milionů liber z výtěžku z aukce kmitočtů v pásmu 800 MHz – viz: https://at800.tv/.</w:t>
      </w:r>
    </w:p>
  </w:footnote>
  <w:footnote w:id="5">
    <w:p w14:paraId="03033EA3" w14:textId="77777777" w:rsidR="003B2E29" w:rsidRPr="00EF675B" w:rsidRDefault="003B2E29" w:rsidP="00EF675B">
      <w:pPr>
        <w:pStyle w:val="Textpoznpodarou"/>
        <w:ind w:left="360" w:hanging="360"/>
        <w:jc w:val="both"/>
        <w:rPr>
          <w:rFonts w:ascii="Arial" w:hAnsi="Arial" w:cs="Arial"/>
          <w:sz w:val="18"/>
          <w:szCs w:val="18"/>
        </w:rPr>
      </w:pPr>
      <w:r w:rsidRPr="00EF675B">
        <w:rPr>
          <w:rStyle w:val="Znakapoznpodarou"/>
          <w:rFonts w:ascii="Arial" w:hAnsi="Arial" w:cs="Arial"/>
          <w:sz w:val="18"/>
          <w:szCs w:val="18"/>
        </w:rPr>
        <w:footnoteRef/>
      </w:r>
      <w:r w:rsidRPr="00EF675B">
        <w:rPr>
          <w:rFonts w:ascii="Arial" w:hAnsi="Arial" w:cs="Arial"/>
          <w:sz w:val="18"/>
          <w:szCs w:val="18"/>
        </w:rPr>
        <w:t xml:space="preserve"> </w:t>
      </w:r>
      <w:r w:rsidRPr="00EF675B">
        <w:rPr>
          <w:rFonts w:ascii="Arial" w:hAnsi="Arial" w:cs="Arial"/>
          <w:sz w:val="18"/>
          <w:szCs w:val="18"/>
        </w:rPr>
        <w:tab/>
        <w:t xml:space="preserve">Dne 28. dubna 2008 vydala vláda nařízení vlády č. 161/2008 Sb., o technickém plánu přechodu zemského analogového televizního vysílání na zemské digitální televizní vysílání (nařízení vlády o technickém plánu přechodu).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6733"/>
    <w:multiLevelType w:val="hybridMultilevel"/>
    <w:tmpl w:val="99B2D24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821051"/>
    <w:multiLevelType w:val="hybridMultilevel"/>
    <w:tmpl w:val="280842A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057073"/>
    <w:multiLevelType w:val="hybridMultilevel"/>
    <w:tmpl w:val="76262FCE"/>
    <w:lvl w:ilvl="0" w:tplc="20DE6CEA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" w15:restartNumberingAfterBreak="0">
    <w:nsid w:val="08B95C54"/>
    <w:multiLevelType w:val="hybridMultilevel"/>
    <w:tmpl w:val="6D7C9F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6141F"/>
    <w:multiLevelType w:val="hybridMultilevel"/>
    <w:tmpl w:val="597AFAA8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F81E58"/>
    <w:multiLevelType w:val="hybridMultilevel"/>
    <w:tmpl w:val="08261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27CDF"/>
    <w:multiLevelType w:val="multilevel"/>
    <w:tmpl w:val="9E3E2B94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F3579EA"/>
    <w:multiLevelType w:val="hybridMultilevel"/>
    <w:tmpl w:val="971C9CF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4010EA"/>
    <w:multiLevelType w:val="hybridMultilevel"/>
    <w:tmpl w:val="1730FA6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AD7938"/>
    <w:multiLevelType w:val="hybridMultilevel"/>
    <w:tmpl w:val="665C6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86E44"/>
    <w:multiLevelType w:val="hybridMultilevel"/>
    <w:tmpl w:val="D80E0D6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443AD7"/>
    <w:multiLevelType w:val="hybridMultilevel"/>
    <w:tmpl w:val="F906F11A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CB4A47"/>
    <w:multiLevelType w:val="hybridMultilevel"/>
    <w:tmpl w:val="9A568220"/>
    <w:lvl w:ilvl="0" w:tplc="DDE2E038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DAE1F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A056AE"/>
    <w:multiLevelType w:val="hybridMultilevel"/>
    <w:tmpl w:val="4AE8F4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13165"/>
    <w:multiLevelType w:val="hybridMultilevel"/>
    <w:tmpl w:val="770698A2"/>
    <w:lvl w:ilvl="0" w:tplc="04050003">
      <w:start w:val="1"/>
      <w:numFmt w:val="bullet"/>
      <w:lvlText w:val="o"/>
      <w:lvlJc w:val="left"/>
      <w:pPr>
        <w:ind w:left="1577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6" w15:restartNumberingAfterBreak="0">
    <w:nsid w:val="323D089C"/>
    <w:multiLevelType w:val="hybridMultilevel"/>
    <w:tmpl w:val="14EAA4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C408DE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25E2E"/>
    <w:multiLevelType w:val="hybridMultilevel"/>
    <w:tmpl w:val="8D12648C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464256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780CFA"/>
    <w:multiLevelType w:val="hybridMultilevel"/>
    <w:tmpl w:val="5338F4E0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9D1309"/>
    <w:multiLevelType w:val="hybridMultilevel"/>
    <w:tmpl w:val="EE42E064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407D48E1"/>
    <w:multiLevelType w:val="hybridMultilevel"/>
    <w:tmpl w:val="082E50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012F632">
      <w:start w:val="1"/>
      <w:numFmt w:val="lowerRoman"/>
      <w:lvlText w:val="%5)"/>
      <w:lvlJc w:val="left"/>
      <w:pPr>
        <w:ind w:left="3960" w:hanging="720"/>
      </w:pPr>
      <w:rPr>
        <w:rFonts w:cs="Times New Roman" w:hint="default"/>
      </w:rPr>
    </w:lvl>
    <w:lvl w:ilvl="5" w:tplc="80A48276">
      <w:start w:val="1"/>
      <w:numFmt w:val="decimal"/>
      <w:lvlText w:val="%6)"/>
      <w:lvlJc w:val="left"/>
      <w:pPr>
        <w:ind w:left="360" w:hanging="360"/>
      </w:pPr>
      <w:rPr>
        <w:rFonts w:cs="Times New Roman" w:hint="default"/>
        <w:i w:val="0"/>
      </w:rPr>
    </w:lvl>
    <w:lvl w:ilvl="6" w:tplc="F460C578">
      <w:start w:val="1"/>
      <w:numFmt w:val="upperRoman"/>
      <w:lvlText w:val="%7."/>
      <w:lvlJc w:val="left"/>
      <w:pPr>
        <w:ind w:left="5400" w:hanging="720"/>
      </w:pPr>
      <w:rPr>
        <w:rFonts w:cs="Times New Roman" w:hint="default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9F34B8"/>
    <w:multiLevelType w:val="hybridMultilevel"/>
    <w:tmpl w:val="56F8FAEE"/>
    <w:lvl w:ilvl="0" w:tplc="20DE6CEA">
      <w:numFmt w:val="bullet"/>
      <w:lvlText w:val="-"/>
      <w:lvlJc w:val="left"/>
      <w:pPr>
        <w:ind w:left="1776" w:hanging="360"/>
      </w:pPr>
      <w:rPr>
        <w:rFonts w:ascii="Verdana" w:eastAsia="Times New Roman" w:hAnsi="Verdana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8AC21DD"/>
    <w:multiLevelType w:val="hybridMultilevel"/>
    <w:tmpl w:val="C9C8B1E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896099"/>
    <w:multiLevelType w:val="hybridMultilevel"/>
    <w:tmpl w:val="26EC921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D253DB7"/>
    <w:multiLevelType w:val="hybridMultilevel"/>
    <w:tmpl w:val="6C2C325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04C0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Calibri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C6E14"/>
    <w:multiLevelType w:val="hybridMultilevel"/>
    <w:tmpl w:val="89A88A60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6C7B1E"/>
    <w:multiLevelType w:val="hybridMultilevel"/>
    <w:tmpl w:val="EAE058FA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1770196"/>
    <w:multiLevelType w:val="hybridMultilevel"/>
    <w:tmpl w:val="2CB220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B4CB9"/>
    <w:multiLevelType w:val="hybridMultilevel"/>
    <w:tmpl w:val="37785BBA"/>
    <w:lvl w:ilvl="0" w:tplc="040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C0CC17E">
      <w:numFmt w:val="bullet"/>
      <w:lvlText w:val=""/>
      <w:lvlJc w:val="left"/>
      <w:pPr>
        <w:ind w:left="2520" w:hanging="360"/>
      </w:pPr>
      <w:rPr>
        <w:rFonts w:ascii="Symbol" w:eastAsia="Times New Roman" w:hAnsi="Symbol" w:hint="default"/>
      </w:rPr>
    </w:lvl>
    <w:lvl w:ilvl="4" w:tplc="9DEE3C84">
      <w:start w:val="1"/>
      <w:numFmt w:val="lowerLetter"/>
      <w:lvlText w:val="%5)"/>
      <w:lvlJc w:val="left"/>
      <w:pPr>
        <w:ind w:left="3240" w:hanging="360"/>
      </w:pPr>
      <w:rPr>
        <w:rFonts w:cs="Times New Roman" w:hint="default"/>
      </w:rPr>
    </w:lvl>
    <w:lvl w:ilvl="5" w:tplc="040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6" w:tplc="5E2A0D36">
      <w:start w:val="1"/>
      <w:numFmt w:val="upperLetter"/>
      <w:lvlText w:val="%7."/>
      <w:lvlJc w:val="left"/>
      <w:pPr>
        <w:ind w:left="4680" w:hanging="360"/>
      </w:pPr>
      <w:rPr>
        <w:rFonts w:cs="Times New Roman" w:hint="default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788370F"/>
    <w:multiLevelType w:val="hybridMultilevel"/>
    <w:tmpl w:val="93FE0258"/>
    <w:lvl w:ilvl="0" w:tplc="9B905692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831E0C"/>
    <w:multiLevelType w:val="hybridMultilevel"/>
    <w:tmpl w:val="C374DA38"/>
    <w:lvl w:ilvl="0" w:tplc="04050003">
      <w:start w:val="1"/>
      <w:numFmt w:val="bullet"/>
      <w:lvlText w:val="o"/>
      <w:lvlJc w:val="left"/>
      <w:pPr>
        <w:ind w:left="1577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32" w15:restartNumberingAfterBreak="0">
    <w:nsid w:val="5B244331"/>
    <w:multiLevelType w:val="hybridMultilevel"/>
    <w:tmpl w:val="E4681B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C936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010E76"/>
    <w:multiLevelType w:val="hybridMultilevel"/>
    <w:tmpl w:val="D5C8E1D6"/>
    <w:lvl w:ilvl="0" w:tplc="20DE6CEA">
      <w:numFmt w:val="bullet"/>
      <w:lvlText w:val="-"/>
      <w:lvlJc w:val="left"/>
      <w:pPr>
        <w:ind w:left="1776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146"/>
    <w:multiLevelType w:val="hybridMultilevel"/>
    <w:tmpl w:val="4F40D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442694"/>
    <w:multiLevelType w:val="hybridMultilevel"/>
    <w:tmpl w:val="B8007A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C2515E">
      <w:start w:val="1"/>
      <w:numFmt w:val="lowerRoman"/>
      <w:lvlText w:val="(%3)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E43E5B"/>
    <w:multiLevelType w:val="multilevel"/>
    <w:tmpl w:val="665C6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14E98"/>
    <w:multiLevelType w:val="multilevel"/>
    <w:tmpl w:val="DDCEED0C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cs="Times New Roman" w:hint="default"/>
      </w:rPr>
    </w:lvl>
  </w:abstractNum>
  <w:abstractNum w:abstractNumId="39" w15:restartNumberingAfterBreak="0">
    <w:nsid w:val="671677F0"/>
    <w:multiLevelType w:val="hybridMultilevel"/>
    <w:tmpl w:val="8C8EC94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74107EB"/>
    <w:multiLevelType w:val="hybridMultilevel"/>
    <w:tmpl w:val="6576D75A"/>
    <w:lvl w:ilvl="0" w:tplc="4522B1CE">
      <w:start w:val="1"/>
      <w:numFmt w:val="decimal"/>
      <w:pStyle w:val="Styl1-1"/>
      <w:lvlText w:val="%1."/>
      <w:lvlJc w:val="left"/>
      <w:pPr>
        <w:ind w:left="8441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9161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988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060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1132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1204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1276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1348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14201" w:hanging="180"/>
      </w:pPr>
      <w:rPr>
        <w:rFonts w:cs="Times New Roman"/>
      </w:rPr>
    </w:lvl>
  </w:abstractNum>
  <w:abstractNum w:abstractNumId="41" w15:restartNumberingAfterBreak="0">
    <w:nsid w:val="69150AC0"/>
    <w:multiLevelType w:val="hybridMultilevel"/>
    <w:tmpl w:val="4DD8F0B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BDF1C9F"/>
    <w:multiLevelType w:val="hybridMultilevel"/>
    <w:tmpl w:val="6784AED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0E66A93"/>
    <w:multiLevelType w:val="hybridMultilevel"/>
    <w:tmpl w:val="8F4CEE2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7721601"/>
    <w:multiLevelType w:val="multilevel"/>
    <w:tmpl w:val="6E1C9A14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5" w15:restartNumberingAfterBreak="0">
    <w:nsid w:val="78FA6B5F"/>
    <w:multiLevelType w:val="multilevel"/>
    <w:tmpl w:val="F1BECD24"/>
    <w:lvl w:ilvl="0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6" w15:restartNumberingAfterBreak="0">
    <w:nsid w:val="79E92F29"/>
    <w:multiLevelType w:val="hybridMultilevel"/>
    <w:tmpl w:val="D1960B7E"/>
    <w:lvl w:ilvl="0" w:tplc="35E63272">
      <w:start w:val="1"/>
      <w:numFmt w:val="lowerLetter"/>
      <w:pStyle w:val="Styl1-a"/>
      <w:lvlText w:val="%1)"/>
      <w:lvlJc w:val="left"/>
      <w:pPr>
        <w:ind w:left="1068" w:hanging="360"/>
      </w:pPr>
      <w:rPr>
        <w:rFonts w:cs="Times New Roman"/>
        <w:b w:val="0"/>
      </w:rPr>
    </w:lvl>
    <w:lvl w:ilvl="1" w:tplc="3F3890F0">
      <w:start w:val="1"/>
      <w:numFmt w:val="lowerLetter"/>
      <w:lvlText w:val="%2)"/>
      <w:lvlJc w:val="left"/>
      <w:pPr>
        <w:ind w:left="1788" w:hanging="360"/>
      </w:pPr>
      <w:rPr>
        <w:rFonts w:ascii="Palatino Linotype" w:eastAsia="Times New Roman" w:hAnsi="Palatino Linotype" w:cs="Arial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7" w15:restartNumberingAfterBreak="0">
    <w:nsid w:val="7BEB4919"/>
    <w:multiLevelType w:val="hybridMultilevel"/>
    <w:tmpl w:val="24D8C6A8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7DDD6489"/>
    <w:multiLevelType w:val="hybridMultilevel"/>
    <w:tmpl w:val="2E42FD7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38"/>
  </w:num>
  <w:num w:numId="4">
    <w:abstractNumId w:val="19"/>
  </w:num>
  <w:num w:numId="5">
    <w:abstractNumId w:val="44"/>
  </w:num>
  <w:num w:numId="6">
    <w:abstractNumId w:val="40"/>
  </w:num>
  <w:num w:numId="7">
    <w:abstractNumId w:val="46"/>
  </w:num>
  <w:num w:numId="8">
    <w:abstractNumId w:val="22"/>
  </w:num>
  <w:num w:numId="9">
    <w:abstractNumId w:val="48"/>
  </w:num>
  <w:num w:numId="10">
    <w:abstractNumId w:val="10"/>
  </w:num>
  <w:num w:numId="11">
    <w:abstractNumId w:val="31"/>
  </w:num>
  <w:num w:numId="12">
    <w:abstractNumId w:val="15"/>
  </w:num>
  <w:num w:numId="13">
    <w:abstractNumId w:val="0"/>
  </w:num>
  <w:num w:numId="14">
    <w:abstractNumId w:val="27"/>
  </w:num>
  <w:num w:numId="15">
    <w:abstractNumId w:val="47"/>
  </w:num>
  <w:num w:numId="16">
    <w:abstractNumId w:val="26"/>
  </w:num>
  <w:num w:numId="17">
    <w:abstractNumId w:val="23"/>
  </w:num>
  <w:num w:numId="18">
    <w:abstractNumId w:val="7"/>
  </w:num>
  <w:num w:numId="19">
    <w:abstractNumId w:val="8"/>
  </w:num>
  <w:num w:numId="20">
    <w:abstractNumId w:val="17"/>
  </w:num>
  <w:num w:numId="21">
    <w:abstractNumId w:val="20"/>
  </w:num>
  <w:num w:numId="22">
    <w:abstractNumId w:val="11"/>
  </w:num>
  <w:num w:numId="23">
    <w:abstractNumId w:val="43"/>
  </w:num>
  <w:num w:numId="24">
    <w:abstractNumId w:val="1"/>
  </w:num>
  <w:num w:numId="25">
    <w:abstractNumId w:val="12"/>
  </w:num>
  <w:num w:numId="26">
    <w:abstractNumId w:val="45"/>
  </w:num>
  <w:num w:numId="27">
    <w:abstractNumId w:val="28"/>
  </w:num>
  <w:num w:numId="28">
    <w:abstractNumId w:val="24"/>
  </w:num>
  <w:num w:numId="29">
    <w:abstractNumId w:val="5"/>
  </w:num>
  <w:num w:numId="30">
    <w:abstractNumId w:val="30"/>
  </w:num>
  <w:num w:numId="31">
    <w:abstractNumId w:val="6"/>
  </w:num>
  <w:num w:numId="32">
    <w:abstractNumId w:val="4"/>
  </w:num>
  <w:num w:numId="33">
    <w:abstractNumId w:val="25"/>
  </w:num>
  <w:num w:numId="34">
    <w:abstractNumId w:val="16"/>
  </w:num>
  <w:num w:numId="35">
    <w:abstractNumId w:val="36"/>
  </w:num>
  <w:num w:numId="36">
    <w:abstractNumId w:val="35"/>
  </w:num>
  <w:num w:numId="37">
    <w:abstractNumId w:val="39"/>
  </w:num>
  <w:num w:numId="38">
    <w:abstractNumId w:val="14"/>
  </w:num>
  <w:num w:numId="39">
    <w:abstractNumId w:val="42"/>
  </w:num>
  <w:num w:numId="40">
    <w:abstractNumId w:val="3"/>
  </w:num>
  <w:num w:numId="41">
    <w:abstractNumId w:val="34"/>
  </w:num>
  <w:num w:numId="42">
    <w:abstractNumId w:val="2"/>
  </w:num>
  <w:num w:numId="43">
    <w:abstractNumId w:val="13"/>
  </w:num>
  <w:num w:numId="44">
    <w:abstractNumId w:val="9"/>
  </w:num>
  <w:num w:numId="45">
    <w:abstractNumId w:val="37"/>
  </w:num>
  <w:num w:numId="46">
    <w:abstractNumId w:val="32"/>
  </w:num>
  <w:num w:numId="47">
    <w:abstractNumId w:val="41"/>
  </w:num>
  <w:num w:numId="48">
    <w:abstractNumId w:val="33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WDocIDDate" w:val="0"/>
    <w:docVar w:name="SWDocIDLocation" w:val="0"/>
  </w:docVars>
  <w:rsids>
    <w:rsidRoot w:val="00580DA4"/>
    <w:rsid w:val="00002FE9"/>
    <w:rsid w:val="00005563"/>
    <w:rsid w:val="000204D2"/>
    <w:rsid w:val="00021B2A"/>
    <w:rsid w:val="00034779"/>
    <w:rsid w:val="000379E3"/>
    <w:rsid w:val="0004692E"/>
    <w:rsid w:val="00052B55"/>
    <w:rsid w:val="000625A1"/>
    <w:rsid w:val="00066EA0"/>
    <w:rsid w:val="00070AD5"/>
    <w:rsid w:val="00073643"/>
    <w:rsid w:val="00096650"/>
    <w:rsid w:val="000A2E89"/>
    <w:rsid w:val="000B409E"/>
    <w:rsid w:val="000B482A"/>
    <w:rsid w:val="000C01D7"/>
    <w:rsid w:val="000C413B"/>
    <w:rsid w:val="000E1F66"/>
    <w:rsid w:val="000E33A7"/>
    <w:rsid w:val="000E5AB7"/>
    <w:rsid w:val="000E67C6"/>
    <w:rsid w:val="000F146A"/>
    <w:rsid w:val="001074DB"/>
    <w:rsid w:val="001119BA"/>
    <w:rsid w:val="001233C0"/>
    <w:rsid w:val="00130B37"/>
    <w:rsid w:val="00150814"/>
    <w:rsid w:val="00172050"/>
    <w:rsid w:val="001810DE"/>
    <w:rsid w:val="001822C6"/>
    <w:rsid w:val="00182E23"/>
    <w:rsid w:val="0018674B"/>
    <w:rsid w:val="00192D7E"/>
    <w:rsid w:val="00193634"/>
    <w:rsid w:val="0019641B"/>
    <w:rsid w:val="0019726D"/>
    <w:rsid w:val="001A2D57"/>
    <w:rsid w:val="001C66A1"/>
    <w:rsid w:val="001D1E6D"/>
    <w:rsid w:val="001D242F"/>
    <w:rsid w:val="001E13B1"/>
    <w:rsid w:val="001E55BD"/>
    <w:rsid w:val="001E69E0"/>
    <w:rsid w:val="001E7C5F"/>
    <w:rsid w:val="001F7B8D"/>
    <w:rsid w:val="00205872"/>
    <w:rsid w:val="00211157"/>
    <w:rsid w:val="00213BFF"/>
    <w:rsid w:val="00225626"/>
    <w:rsid w:val="00225872"/>
    <w:rsid w:val="00231C3C"/>
    <w:rsid w:val="00253BB3"/>
    <w:rsid w:val="00254E6F"/>
    <w:rsid w:val="00255272"/>
    <w:rsid w:val="00260AA2"/>
    <w:rsid w:val="00263B8D"/>
    <w:rsid w:val="00267D3B"/>
    <w:rsid w:val="00270991"/>
    <w:rsid w:val="00272774"/>
    <w:rsid w:val="0028036F"/>
    <w:rsid w:val="00295CFF"/>
    <w:rsid w:val="002A1841"/>
    <w:rsid w:val="002B279B"/>
    <w:rsid w:val="002B33D2"/>
    <w:rsid w:val="002B4660"/>
    <w:rsid w:val="002B51B0"/>
    <w:rsid w:val="002B69DD"/>
    <w:rsid w:val="002B75FA"/>
    <w:rsid w:val="002C11C7"/>
    <w:rsid w:val="002C619F"/>
    <w:rsid w:val="002D0A52"/>
    <w:rsid w:val="002D67FC"/>
    <w:rsid w:val="002E22F1"/>
    <w:rsid w:val="002F069D"/>
    <w:rsid w:val="002F2367"/>
    <w:rsid w:val="00310308"/>
    <w:rsid w:val="00317493"/>
    <w:rsid w:val="003251CA"/>
    <w:rsid w:val="00334079"/>
    <w:rsid w:val="0033538F"/>
    <w:rsid w:val="00341AD7"/>
    <w:rsid w:val="00341AFE"/>
    <w:rsid w:val="003444BC"/>
    <w:rsid w:val="00344FBC"/>
    <w:rsid w:val="0035105C"/>
    <w:rsid w:val="0036619C"/>
    <w:rsid w:val="003661D9"/>
    <w:rsid w:val="00366EB0"/>
    <w:rsid w:val="00371406"/>
    <w:rsid w:val="00380464"/>
    <w:rsid w:val="00383758"/>
    <w:rsid w:val="00387F1C"/>
    <w:rsid w:val="00393F12"/>
    <w:rsid w:val="00394F74"/>
    <w:rsid w:val="003B1A23"/>
    <w:rsid w:val="003B2E29"/>
    <w:rsid w:val="003B5129"/>
    <w:rsid w:val="003C03F8"/>
    <w:rsid w:val="003E0637"/>
    <w:rsid w:val="003E64F1"/>
    <w:rsid w:val="003E6598"/>
    <w:rsid w:val="003F03B3"/>
    <w:rsid w:val="003F135A"/>
    <w:rsid w:val="00414607"/>
    <w:rsid w:val="00416D84"/>
    <w:rsid w:val="004344DA"/>
    <w:rsid w:val="00441261"/>
    <w:rsid w:val="00444B9F"/>
    <w:rsid w:val="00446633"/>
    <w:rsid w:val="00452DE6"/>
    <w:rsid w:val="00470375"/>
    <w:rsid w:val="00470DB0"/>
    <w:rsid w:val="00474E5F"/>
    <w:rsid w:val="004763AF"/>
    <w:rsid w:val="00477A8C"/>
    <w:rsid w:val="0048134F"/>
    <w:rsid w:val="0048194B"/>
    <w:rsid w:val="00487135"/>
    <w:rsid w:val="00492B61"/>
    <w:rsid w:val="004A5B1B"/>
    <w:rsid w:val="004B1C0C"/>
    <w:rsid w:val="004B21E2"/>
    <w:rsid w:val="004B579A"/>
    <w:rsid w:val="004B6A5B"/>
    <w:rsid w:val="004C0F77"/>
    <w:rsid w:val="004C4F40"/>
    <w:rsid w:val="004C5798"/>
    <w:rsid w:val="004C7A41"/>
    <w:rsid w:val="004D0835"/>
    <w:rsid w:val="004E4298"/>
    <w:rsid w:val="004F22E9"/>
    <w:rsid w:val="004F4594"/>
    <w:rsid w:val="004F4B6F"/>
    <w:rsid w:val="004F6421"/>
    <w:rsid w:val="0050083C"/>
    <w:rsid w:val="00524391"/>
    <w:rsid w:val="00524FFC"/>
    <w:rsid w:val="00531A69"/>
    <w:rsid w:val="005330FC"/>
    <w:rsid w:val="00533165"/>
    <w:rsid w:val="0054305E"/>
    <w:rsid w:val="005577AE"/>
    <w:rsid w:val="005624F1"/>
    <w:rsid w:val="0056418D"/>
    <w:rsid w:val="00564947"/>
    <w:rsid w:val="00566E6A"/>
    <w:rsid w:val="00567EFC"/>
    <w:rsid w:val="00574456"/>
    <w:rsid w:val="00580DA4"/>
    <w:rsid w:val="00582C3A"/>
    <w:rsid w:val="00584DBB"/>
    <w:rsid w:val="005A5207"/>
    <w:rsid w:val="005A5AB5"/>
    <w:rsid w:val="005D29F3"/>
    <w:rsid w:val="005D3EFE"/>
    <w:rsid w:val="005D6104"/>
    <w:rsid w:val="005E428F"/>
    <w:rsid w:val="005E5F32"/>
    <w:rsid w:val="006067F1"/>
    <w:rsid w:val="00607F11"/>
    <w:rsid w:val="00614938"/>
    <w:rsid w:val="00620ADD"/>
    <w:rsid w:val="00622348"/>
    <w:rsid w:val="006235AB"/>
    <w:rsid w:val="00625363"/>
    <w:rsid w:val="0062579D"/>
    <w:rsid w:val="00631B71"/>
    <w:rsid w:val="006333E3"/>
    <w:rsid w:val="00634C12"/>
    <w:rsid w:val="00641473"/>
    <w:rsid w:val="00643543"/>
    <w:rsid w:val="00655A09"/>
    <w:rsid w:val="0066058B"/>
    <w:rsid w:val="00666A7C"/>
    <w:rsid w:val="00680635"/>
    <w:rsid w:val="0068367D"/>
    <w:rsid w:val="006846CA"/>
    <w:rsid w:val="00692DF7"/>
    <w:rsid w:val="006A33CA"/>
    <w:rsid w:val="006A4D83"/>
    <w:rsid w:val="006A5488"/>
    <w:rsid w:val="006B0C41"/>
    <w:rsid w:val="006C19A5"/>
    <w:rsid w:val="006D3D5D"/>
    <w:rsid w:val="006D562B"/>
    <w:rsid w:val="006E1A26"/>
    <w:rsid w:val="006E57E2"/>
    <w:rsid w:val="006F1143"/>
    <w:rsid w:val="006F698F"/>
    <w:rsid w:val="00702AF5"/>
    <w:rsid w:val="00705CE3"/>
    <w:rsid w:val="00715E86"/>
    <w:rsid w:val="00726E78"/>
    <w:rsid w:val="00750567"/>
    <w:rsid w:val="00750D9B"/>
    <w:rsid w:val="007533F1"/>
    <w:rsid w:val="007547B9"/>
    <w:rsid w:val="00756870"/>
    <w:rsid w:val="007614A4"/>
    <w:rsid w:val="00767880"/>
    <w:rsid w:val="00771A37"/>
    <w:rsid w:val="00785475"/>
    <w:rsid w:val="00785EF2"/>
    <w:rsid w:val="00786359"/>
    <w:rsid w:val="00787D86"/>
    <w:rsid w:val="00790292"/>
    <w:rsid w:val="00793A53"/>
    <w:rsid w:val="00795084"/>
    <w:rsid w:val="007957FB"/>
    <w:rsid w:val="00795FC2"/>
    <w:rsid w:val="0079693C"/>
    <w:rsid w:val="007A3E67"/>
    <w:rsid w:val="007B0468"/>
    <w:rsid w:val="007B425C"/>
    <w:rsid w:val="007B644A"/>
    <w:rsid w:val="007B6663"/>
    <w:rsid w:val="007C5BE9"/>
    <w:rsid w:val="008135CE"/>
    <w:rsid w:val="00813DC6"/>
    <w:rsid w:val="00817CF3"/>
    <w:rsid w:val="00821FA1"/>
    <w:rsid w:val="00825EE3"/>
    <w:rsid w:val="0082707E"/>
    <w:rsid w:val="00830C41"/>
    <w:rsid w:val="008316D7"/>
    <w:rsid w:val="008417BE"/>
    <w:rsid w:val="00845F9A"/>
    <w:rsid w:val="00851C9F"/>
    <w:rsid w:val="00855D64"/>
    <w:rsid w:val="00862BF7"/>
    <w:rsid w:val="00863D75"/>
    <w:rsid w:val="00870432"/>
    <w:rsid w:val="00872509"/>
    <w:rsid w:val="00874035"/>
    <w:rsid w:val="008748E7"/>
    <w:rsid w:val="008762AB"/>
    <w:rsid w:val="00887E83"/>
    <w:rsid w:val="00894587"/>
    <w:rsid w:val="008A27A5"/>
    <w:rsid w:val="008A74A8"/>
    <w:rsid w:val="008A7D70"/>
    <w:rsid w:val="008B30EF"/>
    <w:rsid w:val="008C02DD"/>
    <w:rsid w:val="008C2E86"/>
    <w:rsid w:val="008C395A"/>
    <w:rsid w:val="008C77F4"/>
    <w:rsid w:val="008D7F49"/>
    <w:rsid w:val="008E7875"/>
    <w:rsid w:val="008F145B"/>
    <w:rsid w:val="008F27A3"/>
    <w:rsid w:val="008F5457"/>
    <w:rsid w:val="00904438"/>
    <w:rsid w:val="0090637C"/>
    <w:rsid w:val="009104CC"/>
    <w:rsid w:val="00910E16"/>
    <w:rsid w:val="00911EB1"/>
    <w:rsid w:val="00913CFF"/>
    <w:rsid w:val="00915C26"/>
    <w:rsid w:val="009225CB"/>
    <w:rsid w:val="00923B46"/>
    <w:rsid w:val="00924AE6"/>
    <w:rsid w:val="00931D1E"/>
    <w:rsid w:val="00942AE5"/>
    <w:rsid w:val="00947345"/>
    <w:rsid w:val="00947B28"/>
    <w:rsid w:val="0096438F"/>
    <w:rsid w:val="00964B78"/>
    <w:rsid w:val="009720AB"/>
    <w:rsid w:val="00980B2D"/>
    <w:rsid w:val="00980C7B"/>
    <w:rsid w:val="00982AF4"/>
    <w:rsid w:val="009863B8"/>
    <w:rsid w:val="00986E78"/>
    <w:rsid w:val="00994833"/>
    <w:rsid w:val="00997F85"/>
    <w:rsid w:val="009A04CF"/>
    <w:rsid w:val="009A177C"/>
    <w:rsid w:val="009A281C"/>
    <w:rsid w:val="009C5BFD"/>
    <w:rsid w:val="009D4939"/>
    <w:rsid w:val="009D562A"/>
    <w:rsid w:val="009E21BE"/>
    <w:rsid w:val="009F2077"/>
    <w:rsid w:val="00A32791"/>
    <w:rsid w:val="00A37409"/>
    <w:rsid w:val="00A45379"/>
    <w:rsid w:val="00A50134"/>
    <w:rsid w:val="00A5183B"/>
    <w:rsid w:val="00A61CBD"/>
    <w:rsid w:val="00A63E6F"/>
    <w:rsid w:val="00A72684"/>
    <w:rsid w:val="00A7320E"/>
    <w:rsid w:val="00A865A5"/>
    <w:rsid w:val="00A94FEA"/>
    <w:rsid w:val="00AB0E0F"/>
    <w:rsid w:val="00AB27A4"/>
    <w:rsid w:val="00AC3BAE"/>
    <w:rsid w:val="00AC4716"/>
    <w:rsid w:val="00AC5A31"/>
    <w:rsid w:val="00AC5BFF"/>
    <w:rsid w:val="00AD0F23"/>
    <w:rsid w:val="00AD32F9"/>
    <w:rsid w:val="00AD5849"/>
    <w:rsid w:val="00AD5D99"/>
    <w:rsid w:val="00AE38D7"/>
    <w:rsid w:val="00AE425E"/>
    <w:rsid w:val="00B03750"/>
    <w:rsid w:val="00B05A9E"/>
    <w:rsid w:val="00B1364C"/>
    <w:rsid w:val="00B228E4"/>
    <w:rsid w:val="00B2655D"/>
    <w:rsid w:val="00B33B95"/>
    <w:rsid w:val="00B33E15"/>
    <w:rsid w:val="00B44C75"/>
    <w:rsid w:val="00B47231"/>
    <w:rsid w:val="00B52EDB"/>
    <w:rsid w:val="00B54867"/>
    <w:rsid w:val="00B61D74"/>
    <w:rsid w:val="00B64008"/>
    <w:rsid w:val="00B66116"/>
    <w:rsid w:val="00B67AD9"/>
    <w:rsid w:val="00B8680B"/>
    <w:rsid w:val="00BA5BC2"/>
    <w:rsid w:val="00BC4AB5"/>
    <w:rsid w:val="00BC587C"/>
    <w:rsid w:val="00BC69A6"/>
    <w:rsid w:val="00BD291B"/>
    <w:rsid w:val="00BE2E4D"/>
    <w:rsid w:val="00BE64E2"/>
    <w:rsid w:val="00BF1761"/>
    <w:rsid w:val="00BF3BE0"/>
    <w:rsid w:val="00BF6341"/>
    <w:rsid w:val="00C00873"/>
    <w:rsid w:val="00C036E2"/>
    <w:rsid w:val="00C24904"/>
    <w:rsid w:val="00C24CA4"/>
    <w:rsid w:val="00C25A21"/>
    <w:rsid w:val="00C31E1D"/>
    <w:rsid w:val="00C32059"/>
    <w:rsid w:val="00C55805"/>
    <w:rsid w:val="00C56910"/>
    <w:rsid w:val="00C57DDF"/>
    <w:rsid w:val="00C66463"/>
    <w:rsid w:val="00C715EE"/>
    <w:rsid w:val="00C72084"/>
    <w:rsid w:val="00C7710F"/>
    <w:rsid w:val="00CB2923"/>
    <w:rsid w:val="00CB2FED"/>
    <w:rsid w:val="00CB4043"/>
    <w:rsid w:val="00CD2BD4"/>
    <w:rsid w:val="00CD2F7F"/>
    <w:rsid w:val="00CD4D53"/>
    <w:rsid w:val="00CD7E8E"/>
    <w:rsid w:val="00CE4FD4"/>
    <w:rsid w:val="00CF050F"/>
    <w:rsid w:val="00CF21E4"/>
    <w:rsid w:val="00D04EF5"/>
    <w:rsid w:val="00D104F1"/>
    <w:rsid w:val="00D15DD8"/>
    <w:rsid w:val="00D16842"/>
    <w:rsid w:val="00D172EA"/>
    <w:rsid w:val="00D22BD8"/>
    <w:rsid w:val="00D36314"/>
    <w:rsid w:val="00D373B8"/>
    <w:rsid w:val="00D40D0F"/>
    <w:rsid w:val="00D4204C"/>
    <w:rsid w:val="00D459C9"/>
    <w:rsid w:val="00D50F8E"/>
    <w:rsid w:val="00D76C86"/>
    <w:rsid w:val="00D83642"/>
    <w:rsid w:val="00D837DE"/>
    <w:rsid w:val="00D870F2"/>
    <w:rsid w:val="00D93873"/>
    <w:rsid w:val="00D97596"/>
    <w:rsid w:val="00DA4B04"/>
    <w:rsid w:val="00DB7BE7"/>
    <w:rsid w:val="00DC0482"/>
    <w:rsid w:val="00DC4588"/>
    <w:rsid w:val="00DC5237"/>
    <w:rsid w:val="00DD3DC3"/>
    <w:rsid w:val="00DE3EA7"/>
    <w:rsid w:val="00DE4A46"/>
    <w:rsid w:val="00DE5238"/>
    <w:rsid w:val="00DF0F37"/>
    <w:rsid w:val="00E06C85"/>
    <w:rsid w:val="00E1341B"/>
    <w:rsid w:val="00E25BBC"/>
    <w:rsid w:val="00E40ACF"/>
    <w:rsid w:val="00E45CCB"/>
    <w:rsid w:val="00E5738A"/>
    <w:rsid w:val="00E6125D"/>
    <w:rsid w:val="00E7325B"/>
    <w:rsid w:val="00E74D92"/>
    <w:rsid w:val="00E80C43"/>
    <w:rsid w:val="00E82F74"/>
    <w:rsid w:val="00E84FEF"/>
    <w:rsid w:val="00E922BA"/>
    <w:rsid w:val="00EA1FB5"/>
    <w:rsid w:val="00EA3A8C"/>
    <w:rsid w:val="00ED0FD5"/>
    <w:rsid w:val="00ED3175"/>
    <w:rsid w:val="00ED4A8A"/>
    <w:rsid w:val="00EF1221"/>
    <w:rsid w:val="00EF12E2"/>
    <w:rsid w:val="00EF1C09"/>
    <w:rsid w:val="00EF675B"/>
    <w:rsid w:val="00F05BA4"/>
    <w:rsid w:val="00F1106A"/>
    <w:rsid w:val="00F159ED"/>
    <w:rsid w:val="00F27B2A"/>
    <w:rsid w:val="00F33A97"/>
    <w:rsid w:val="00F471AD"/>
    <w:rsid w:val="00F50A7C"/>
    <w:rsid w:val="00F52443"/>
    <w:rsid w:val="00F52AB3"/>
    <w:rsid w:val="00F60056"/>
    <w:rsid w:val="00F7085E"/>
    <w:rsid w:val="00F75FDD"/>
    <w:rsid w:val="00F906DF"/>
    <w:rsid w:val="00FB1977"/>
    <w:rsid w:val="00FB4489"/>
    <w:rsid w:val="00FC4CD4"/>
    <w:rsid w:val="00FC550C"/>
    <w:rsid w:val="00FC6082"/>
    <w:rsid w:val="00FD22C6"/>
    <w:rsid w:val="00FD5FEE"/>
    <w:rsid w:val="00FD63FA"/>
    <w:rsid w:val="00FE0A47"/>
    <w:rsid w:val="00FE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5F672D"/>
  <w15:chartTrackingRefBased/>
  <w15:docId w15:val="{C38A63D6-248A-4F34-98F1-59E32C30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0DA4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580DA4"/>
    <w:pPr>
      <w:ind w:left="720"/>
    </w:pPr>
  </w:style>
  <w:style w:type="paragraph" w:styleId="Textpoznpodarou">
    <w:name w:val="footnote text"/>
    <w:basedOn w:val="Normln"/>
    <w:link w:val="TextpoznpodarouChar"/>
    <w:semiHidden/>
    <w:rsid w:val="00580D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580DA4"/>
    <w:rPr>
      <w:rFonts w:ascii="Calibri" w:hAnsi="Calibri" w:cs="Times New Roman"/>
      <w:sz w:val="20"/>
      <w:szCs w:val="20"/>
      <w:lang w:val="x-none" w:eastAsia="cs-CZ"/>
    </w:rPr>
  </w:style>
  <w:style w:type="character" w:styleId="Znakapoznpodarou">
    <w:name w:val="footnote reference"/>
    <w:aliases w:val="Appel note de bas de p,Footnote symbol,Footnote"/>
    <w:semiHidden/>
    <w:rsid w:val="00580DA4"/>
    <w:rPr>
      <w:rFonts w:cs="Times New Roman"/>
      <w:vertAlign w:val="superscript"/>
    </w:rPr>
  </w:style>
  <w:style w:type="paragraph" w:styleId="Normlnweb">
    <w:name w:val="Normal (Web)"/>
    <w:basedOn w:val="Normln"/>
    <w:rsid w:val="00580DA4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1-1">
    <w:name w:val="Styl1 - 1."/>
    <w:basedOn w:val="Normln"/>
    <w:link w:val="Styl1-1Char"/>
    <w:rsid w:val="00580DA4"/>
    <w:pPr>
      <w:numPr>
        <w:numId w:val="6"/>
      </w:numPr>
      <w:overflowPunct w:val="0"/>
      <w:autoSpaceDE w:val="0"/>
      <w:autoSpaceDN w:val="0"/>
      <w:adjustRightInd w:val="0"/>
      <w:spacing w:before="120" w:after="240" w:line="240" w:lineRule="auto"/>
      <w:ind w:left="357" w:hanging="35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tyl1-a">
    <w:name w:val="Styl1 - a)"/>
    <w:basedOn w:val="Styl1-1"/>
    <w:link w:val="Styl1-aChar"/>
    <w:rsid w:val="00580DA4"/>
    <w:pPr>
      <w:numPr>
        <w:numId w:val="7"/>
      </w:numPr>
    </w:pPr>
  </w:style>
  <w:style w:type="character" w:customStyle="1" w:styleId="Styl1-1Char">
    <w:name w:val="Styl1 - 1. Char"/>
    <w:link w:val="Styl1-1"/>
    <w:rsid w:val="00580DA4"/>
    <w:rPr>
      <w:rFonts w:ascii="Arial" w:hAnsi="Arial"/>
      <w:lang w:val="x-none" w:eastAsia="cs-CZ"/>
    </w:rPr>
  </w:style>
  <w:style w:type="character" w:customStyle="1" w:styleId="Styl1-aChar">
    <w:name w:val="Styl1 - a) Char"/>
    <w:link w:val="Styl1-a"/>
    <w:rsid w:val="00580DA4"/>
    <w:rPr>
      <w:rFonts w:ascii="Arial" w:hAnsi="Arial" w:cs="Arial"/>
      <w:lang w:val="x-none" w:eastAsia="cs-CZ"/>
    </w:rPr>
  </w:style>
  <w:style w:type="paragraph" w:customStyle="1" w:styleId="Textlnku">
    <w:name w:val="Text článku"/>
    <w:basedOn w:val="Normln"/>
    <w:rsid w:val="00ED4A8A"/>
    <w:pPr>
      <w:spacing w:before="240" w:after="0" w:line="240" w:lineRule="auto"/>
      <w:ind w:firstLine="425"/>
      <w:jc w:val="both"/>
      <w:outlineLvl w:val="5"/>
    </w:pPr>
    <w:rPr>
      <w:rFonts w:ascii="Times New Roman" w:hAnsi="Times New Roman"/>
      <w:sz w:val="24"/>
      <w:szCs w:val="20"/>
    </w:rPr>
  </w:style>
  <w:style w:type="table" w:styleId="Mkatabulky">
    <w:name w:val="Table Grid"/>
    <w:basedOn w:val="Normlntabulka"/>
    <w:rsid w:val="00ED4A8A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42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D4204C"/>
    <w:rPr>
      <w:rFonts w:ascii="Calibri" w:hAnsi="Calibri" w:cs="Times New Roman"/>
      <w:lang w:val="x-none" w:eastAsia="cs-CZ"/>
    </w:rPr>
  </w:style>
  <w:style w:type="paragraph" w:styleId="Zpat">
    <w:name w:val="footer"/>
    <w:basedOn w:val="Normln"/>
    <w:link w:val="ZpatChar"/>
    <w:rsid w:val="00D42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rsid w:val="00D4204C"/>
    <w:rPr>
      <w:rFonts w:ascii="Calibri" w:hAnsi="Calibri" w:cs="Times New Roman"/>
      <w:lang w:val="x-none" w:eastAsia="cs-CZ"/>
    </w:rPr>
  </w:style>
  <w:style w:type="character" w:customStyle="1" w:styleId="Char5">
    <w:name w:val="Char5"/>
    <w:rsid w:val="00FE0E7D"/>
    <w:rPr>
      <w:rFonts w:ascii="Calibri" w:hAnsi="Calibri" w:cs="Times New Roman"/>
      <w:sz w:val="20"/>
      <w:szCs w:val="20"/>
      <w:lang w:val="x-none" w:eastAsia="cs-CZ"/>
    </w:rPr>
  </w:style>
  <w:style w:type="character" w:styleId="Odkaznakoment">
    <w:name w:val="annotation reference"/>
    <w:semiHidden/>
    <w:unhideWhenUsed/>
    <w:rsid w:val="00FE0E7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E0E7D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FE0E7D"/>
    <w:rPr>
      <w:rFonts w:ascii="Calibri" w:eastAsia="Calibri" w:hAnsi="Calibri"/>
      <w:lang w:val="cs-CZ" w:eastAsia="cs-CZ" w:bidi="ar-SA"/>
    </w:rPr>
  </w:style>
  <w:style w:type="paragraph" w:styleId="Odstavecseseznamem">
    <w:name w:val="List Paragraph"/>
    <w:basedOn w:val="Normln"/>
    <w:qFormat/>
    <w:rsid w:val="00FE0E7D"/>
    <w:pPr>
      <w:spacing w:after="160" w:line="259" w:lineRule="auto"/>
      <w:ind w:left="720"/>
      <w:contextualSpacing/>
    </w:pPr>
    <w:rPr>
      <w:lang w:eastAsia="en-US"/>
    </w:rPr>
  </w:style>
  <w:style w:type="character" w:styleId="PromnnHTML">
    <w:name w:val="HTML Variable"/>
    <w:semiHidden/>
    <w:unhideWhenUsed/>
    <w:rsid w:val="00FE0E7D"/>
    <w:rPr>
      <w:b/>
      <w:bCs/>
      <w:i w:val="0"/>
      <w:iCs w:val="0"/>
    </w:rPr>
  </w:style>
  <w:style w:type="character" w:customStyle="1" w:styleId="h1a1">
    <w:name w:val="h1a1"/>
    <w:rsid w:val="00FE0E7D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"/>
    <w:link w:val="TextbublinyChar"/>
    <w:semiHidden/>
    <w:rsid w:val="00FE0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7C5BE9"/>
    <w:rPr>
      <w:rFonts w:ascii="Tahoma" w:eastAsia="Calibri" w:hAnsi="Tahoma" w:cs="Tahoma"/>
      <w:sz w:val="16"/>
      <w:szCs w:val="16"/>
      <w:lang w:val="cs-CZ" w:eastAsia="cs-CZ" w:bidi="ar-SA"/>
    </w:rPr>
  </w:style>
  <w:style w:type="character" w:customStyle="1" w:styleId="Char6">
    <w:name w:val="Char6"/>
    <w:rsid w:val="009720AB"/>
    <w:rPr>
      <w:rFonts w:ascii="Calibri" w:hAnsi="Calibri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234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22348"/>
    <w:rPr>
      <w:rFonts w:ascii="Calibri" w:eastAsia="Calibri" w:hAnsi="Calibri"/>
      <w:b/>
      <w:bCs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1851-768D-44B2-B32B-425DB6B2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C38DDD9A.dotm</Template>
  <TotalTime>182</TotalTime>
  <Pages>12</Pages>
  <Words>4691</Words>
  <Characters>27792</Characters>
  <Application>Microsoft Office Word</Application>
  <DocSecurity>0</DocSecurity>
  <Lines>231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MSO</dc:creator>
  <cp:keywords/>
  <cp:lastModifiedBy>Veselý Vilém</cp:lastModifiedBy>
  <cp:revision>14</cp:revision>
  <cp:lastPrinted>2016-01-27T13:48:00Z</cp:lastPrinted>
  <dcterms:created xsi:type="dcterms:W3CDTF">2016-01-17T14:03:00Z</dcterms:created>
  <dcterms:modified xsi:type="dcterms:W3CDTF">2016-06-29T07:26:00Z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/>
  </property>
</Properties>
</file>